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71351" w:rsidR="00F826D2" w:rsidP="00F826D2" w:rsidRDefault="00F826D2" w14:paraId="130AC8E1" w14:textId="46DFA4D6">
      <w:pPr>
        <w:autoSpaceDN w:val="0"/>
        <w:spacing w:before="240" w:after="0" w:line="240" w:lineRule="exact"/>
        <w:textAlignment w:val="baseline"/>
        <w:outlineLvl w:val="0"/>
        <w:rPr>
          <w:rFonts w:eastAsia="DejaVu Sans" w:cs="Lohit Hindi"/>
          <w:b/>
          <w:color w:val="000000"/>
          <w:kern w:val="0"/>
          <w:szCs w:val="18"/>
          <w:lang w:val="nl-NL" w:eastAsia="nl-NL"/>
          <w14:ligatures w14:val="none"/>
        </w:rPr>
      </w:pPr>
      <w:r w:rsidRPr="00F71351">
        <w:rPr>
          <w:rFonts w:eastAsia="DejaVu Sans" w:cs="Lohit Hindi"/>
          <w:b/>
          <w:color w:val="000000"/>
          <w:kern w:val="0"/>
          <w:szCs w:val="18"/>
          <w:lang w:val="nl-NL" w:eastAsia="nl-NL"/>
          <w14:ligatures w14:val="none"/>
        </w:rPr>
        <w:t xml:space="preserve">Bijlage 1 – </w:t>
      </w:r>
      <w:r w:rsidRPr="00F71351" w:rsidR="008E3E1A">
        <w:rPr>
          <w:rFonts w:eastAsia="DejaVu Sans" w:cs="Lohit Hindi"/>
          <w:b/>
          <w:color w:val="000000"/>
          <w:kern w:val="0"/>
          <w:szCs w:val="18"/>
          <w:lang w:val="nl-NL" w:eastAsia="nl-NL"/>
          <w14:ligatures w14:val="none"/>
        </w:rPr>
        <w:t>Ambtelijke inventarisatie kinderopvangtoeslag bij een Wlz-indicatie</w:t>
      </w:r>
    </w:p>
    <w:p w:rsidRPr="00F71351" w:rsidR="00F826D2" w:rsidP="00F826D2" w:rsidRDefault="00F826D2" w14:paraId="1FC92AAB" w14:textId="77777777">
      <w:pPr>
        <w:autoSpaceDN w:val="0"/>
        <w:spacing w:after="0" w:line="240" w:lineRule="exact"/>
        <w:textAlignment w:val="baseline"/>
        <w:rPr>
          <w:rFonts w:eastAsia="DejaVu Sans" w:cs="Lohit Hindi"/>
          <w:color w:val="000000"/>
          <w:kern w:val="0"/>
          <w:szCs w:val="18"/>
          <w:lang w:val="nl-NL" w:eastAsia="nl-NL"/>
          <w14:ligatures w14:val="none"/>
        </w:rPr>
      </w:pPr>
    </w:p>
    <w:p w:rsidRPr="00F71351" w:rsidR="00B07E64" w:rsidP="00F826D2" w:rsidRDefault="00F826D2" w14:paraId="2DD2E56D" w14:textId="77777777">
      <w:pPr>
        <w:autoSpaceDN w:val="0"/>
        <w:spacing w:after="0" w:line="240" w:lineRule="exact"/>
        <w:textAlignment w:val="baseline"/>
        <w:rPr>
          <w:rFonts w:eastAsia="DejaVu Sans" w:cs="Lohit Hindi"/>
          <w:color w:val="000000"/>
          <w:kern w:val="0"/>
          <w:szCs w:val="18"/>
          <w:lang w:val="nl-NL" w:eastAsia="nl-NL"/>
          <w14:ligatures w14:val="none"/>
        </w:rPr>
      </w:pPr>
      <w:r w:rsidRPr="00F71351">
        <w:rPr>
          <w:rFonts w:eastAsia="DejaVu Sans" w:cs="Lohit Hindi"/>
          <w:i/>
          <w:iCs/>
          <w:color w:val="000000"/>
          <w:kern w:val="0"/>
          <w:szCs w:val="18"/>
          <w:lang w:val="nl-NL" w:eastAsia="nl-NL"/>
          <w14:ligatures w14:val="none"/>
        </w:rPr>
        <w:t>Hoofdvraag</w:t>
      </w:r>
      <w:r w:rsidRPr="00F71351">
        <w:rPr>
          <w:rFonts w:eastAsia="DejaVu Sans" w:cs="Lohit Hindi"/>
          <w:color w:val="000000"/>
          <w:kern w:val="0"/>
          <w:szCs w:val="18"/>
          <w:lang w:val="nl-NL" w:eastAsia="nl-NL"/>
          <w14:ligatures w14:val="none"/>
        </w:rPr>
        <w:t xml:space="preserve">: </w:t>
      </w:r>
    </w:p>
    <w:p w:rsidRPr="00F71351" w:rsidR="008E3E1A" w:rsidP="00F826D2" w:rsidRDefault="00F826D2" w14:paraId="007C638C" w14:textId="451610E0">
      <w:pPr>
        <w:autoSpaceDN w:val="0"/>
        <w:spacing w:after="0" w:line="240" w:lineRule="exact"/>
        <w:textAlignment w:val="baseline"/>
        <w:rPr>
          <w:rFonts w:eastAsia="DejaVu Sans" w:cs="Lohit Hindi"/>
          <w:color w:val="000000"/>
          <w:kern w:val="0"/>
          <w:szCs w:val="18"/>
          <w:lang w:val="nl-NL" w:eastAsia="nl-NL"/>
          <w14:ligatures w14:val="none"/>
        </w:rPr>
      </w:pPr>
      <w:r w:rsidRPr="00F71351">
        <w:rPr>
          <w:rFonts w:eastAsia="DejaVu Sans" w:cs="Lohit Hindi"/>
          <w:color w:val="000000"/>
          <w:kern w:val="0"/>
          <w:szCs w:val="18"/>
          <w:lang w:val="nl-NL" w:eastAsia="nl-NL"/>
          <w14:ligatures w14:val="none"/>
        </w:rPr>
        <w:t>Is het wenselijk om het recht op K</w:t>
      </w:r>
      <w:r w:rsidRPr="00F71351" w:rsidR="003579CC">
        <w:rPr>
          <w:rFonts w:eastAsia="DejaVu Sans" w:cs="Lohit Hindi"/>
          <w:color w:val="000000"/>
          <w:kern w:val="0"/>
          <w:szCs w:val="18"/>
          <w:lang w:val="nl-NL" w:eastAsia="nl-NL"/>
          <w14:ligatures w14:val="none"/>
        </w:rPr>
        <w:t>inderopvangtoeslag (KOT)</w:t>
      </w:r>
      <w:r w:rsidRPr="00F71351">
        <w:rPr>
          <w:rFonts w:eastAsia="DejaVu Sans" w:cs="Lohit Hindi"/>
          <w:color w:val="000000"/>
          <w:kern w:val="0"/>
          <w:szCs w:val="18"/>
          <w:lang w:val="nl-NL" w:eastAsia="nl-NL"/>
          <w14:ligatures w14:val="none"/>
        </w:rPr>
        <w:t xml:space="preserve"> voor alleenstaanden of tweeoudergezinnen met beide een Wlz-indicatie</w:t>
      </w:r>
      <w:r w:rsidRPr="00F71351" w:rsidR="003579CC">
        <w:rPr>
          <w:rFonts w:eastAsia="DejaVu Sans" w:cs="Lohit Hindi"/>
          <w:color w:val="000000"/>
          <w:kern w:val="0"/>
          <w:szCs w:val="18"/>
          <w:lang w:val="nl-NL" w:eastAsia="nl-NL"/>
          <w14:ligatures w14:val="none"/>
        </w:rPr>
        <w:t xml:space="preserve"> (</w:t>
      </w:r>
      <w:r w:rsidRPr="00F71351" w:rsidR="00091753">
        <w:rPr>
          <w:rFonts w:eastAsia="DejaVu Sans" w:cs="Lohit Hindi"/>
          <w:color w:val="000000"/>
          <w:kern w:val="0"/>
          <w:szCs w:val="18"/>
          <w:lang w:val="nl-NL" w:eastAsia="nl-NL"/>
          <w14:ligatures w14:val="none"/>
        </w:rPr>
        <w:t>W</w:t>
      </w:r>
      <w:r w:rsidRPr="00F71351" w:rsidR="003579CC">
        <w:rPr>
          <w:rFonts w:eastAsia="DejaVu Sans" w:cs="Lohit Hindi"/>
          <w:color w:val="000000"/>
          <w:kern w:val="0"/>
          <w:szCs w:val="18"/>
          <w:lang w:val="nl-NL" w:eastAsia="nl-NL"/>
          <w14:ligatures w14:val="none"/>
        </w:rPr>
        <w:t>et langdurige zorg)</w:t>
      </w:r>
      <w:r w:rsidRPr="00F71351">
        <w:rPr>
          <w:rFonts w:eastAsia="DejaVu Sans" w:cs="Lohit Hindi"/>
          <w:color w:val="000000"/>
          <w:kern w:val="0"/>
          <w:szCs w:val="18"/>
          <w:lang w:val="nl-NL" w:eastAsia="nl-NL"/>
          <w14:ligatures w14:val="none"/>
        </w:rPr>
        <w:t xml:space="preserve"> te verruimen? </w:t>
      </w:r>
    </w:p>
    <w:p w:rsidRPr="00F71351" w:rsidR="008E3E1A" w:rsidP="008E3E1A" w:rsidRDefault="00F82E36" w14:paraId="1328C2A7" w14:textId="19BAC3F5">
      <w:pPr>
        <w:autoSpaceDN w:val="0"/>
        <w:spacing w:before="240" w:after="0" w:line="240" w:lineRule="exact"/>
        <w:textAlignment w:val="baseline"/>
        <w:outlineLvl w:val="1"/>
        <w:rPr>
          <w:rFonts w:eastAsia="DejaVu Sans" w:cs="Lohit Hindi"/>
          <w:i/>
          <w:iCs/>
          <w:color w:val="000000"/>
          <w:kern w:val="0"/>
          <w:szCs w:val="18"/>
          <w:lang w:val="nl-NL" w:eastAsia="nl-NL"/>
          <w14:ligatures w14:val="none"/>
        </w:rPr>
      </w:pPr>
      <w:r w:rsidRPr="00F71351">
        <w:rPr>
          <w:rFonts w:eastAsia="DejaVu Sans" w:cs="Lohit Hindi"/>
          <w:i/>
          <w:iCs/>
          <w:color w:val="000000"/>
          <w:kern w:val="0"/>
          <w:szCs w:val="18"/>
          <w:lang w:val="nl-NL" w:eastAsia="nl-NL"/>
          <w14:ligatures w14:val="none"/>
        </w:rPr>
        <w:t>Conclusie</w:t>
      </w:r>
      <w:r w:rsidRPr="00F71351" w:rsidR="005D2FDD">
        <w:rPr>
          <w:rFonts w:eastAsia="DejaVu Sans" w:cs="Lohit Hindi"/>
          <w:i/>
          <w:iCs/>
          <w:color w:val="000000"/>
          <w:kern w:val="0"/>
          <w:szCs w:val="18"/>
          <w:lang w:val="nl-NL" w:eastAsia="nl-NL"/>
          <w14:ligatures w14:val="none"/>
        </w:rPr>
        <w:t>:</w:t>
      </w:r>
    </w:p>
    <w:p w:rsidRPr="00F71351" w:rsidR="00F82E36" w:rsidP="008E3E1A" w:rsidRDefault="008E3E1A" w14:paraId="07923214" w14:textId="31893AF0">
      <w:pPr>
        <w:autoSpaceDN w:val="0"/>
        <w:spacing w:after="0" w:line="240" w:lineRule="exact"/>
        <w:textAlignment w:val="baseline"/>
        <w:rPr>
          <w:rFonts w:eastAsia="DejaVu Sans" w:cs="Lohit Hindi"/>
          <w:color w:val="000000"/>
          <w:kern w:val="0"/>
          <w:szCs w:val="18"/>
          <w:lang w:val="nl-NL" w:eastAsia="nl-NL"/>
          <w14:ligatures w14:val="none"/>
        </w:rPr>
      </w:pPr>
      <w:r w:rsidRPr="00F71351">
        <w:rPr>
          <w:rFonts w:eastAsia="DejaVu Sans" w:cs="Lohit Hindi"/>
          <w:color w:val="000000"/>
          <w:kern w:val="0"/>
          <w:szCs w:val="18"/>
          <w:lang w:val="nl-NL" w:eastAsia="nl-NL"/>
          <w14:ligatures w14:val="none"/>
        </w:rPr>
        <w:t xml:space="preserve">Er zijn verschillende aspecten die afgewogen </w:t>
      </w:r>
      <w:r w:rsidRPr="00F71351" w:rsidR="00ED71CC">
        <w:rPr>
          <w:rFonts w:eastAsia="DejaVu Sans" w:cs="Lohit Hindi"/>
          <w:color w:val="000000"/>
          <w:kern w:val="0"/>
          <w:szCs w:val="18"/>
          <w:lang w:val="nl-NL" w:eastAsia="nl-NL"/>
          <w14:ligatures w14:val="none"/>
        </w:rPr>
        <w:t xml:space="preserve">moeten </w:t>
      </w:r>
      <w:r w:rsidRPr="00F71351">
        <w:rPr>
          <w:rFonts w:eastAsia="DejaVu Sans" w:cs="Lohit Hindi"/>
          <w:color w:val="000000"/>
          <w:kern w:val="0"/>
          <w:szCs w:val="18"/>
          <w:lang w:val="nl-NL" w:eastAsia="nl-NL"/>
          <w14:ligatures w14:val="none"/>
        </w:rPr>
        <w:t>worden bij het beantwoorden van de hoofdvraag</w:t>
      </w:r>
      <w:r w:rsidRPr="00F71351" w:rsidR="00F82E36">
        <w:rPr>
          <w:rFonts w:eastAsia="DejaVu Sans" w:cs="Lohit Hindi"/>
          <w:color w:val="000000"/>
          <w:kern w:val="0"/>
          <w:szCs w:val="18"/>
          <w:lang w:val="nl-NL" w:eastAsia="nl-NL"/>
          <w14:ligatures w14:val="none"/>
        </w:rPr>
        <w:t xml:space="preserve">: </w:t>
      </w:r>
    </w:p>
    <w:p w:rsidRPr="00F71351" w:rsidR="00F82E36" w:rsidP="00F82E36" w:rsidRDefault="00EC1981" w14:paraId="4288099C" w14:textId="7B8771A7">
      <w:pPr>
        <w:pStyle w:val="Lijstalinea"/>
        <w:numPr>
          <w:ilvl w:val="0"/>
          <w:numId w:val="12"/>
        </w:numPr>
        <w:autoSpaceDN w:val="0"/>
        <w:spacing w:after="0" w:line="240" w:lineRule="exact"/>
        <w:textAlignment w:val="baseline"/>
        <w:rPr>
          <w:rFonts w:ascii="Verdana" w:hAnsi="Verdana" w:eastAsia="DejaVu Sans" w:cs="Lohit Hindi"/>
          <w:color w:val="000000"/>
          <w:kern w:val="0"/>
          <w:sz w:val="18"/>
          <w:szCs w:val="18"/>
          <w:lang w:val="nl-NL" w:eastAsia="nl-NL"/>
          <w14:ligatures w14:val="none"/>
        </w:rPr>
      </w:pPr>
      <w:r w:rsidRPr="00F71351">
        <w:rPr>
          <w:rFonts w:ascii="Verdana" w:hAnsi="Verdana" w:eastAsia="DejaVu Sans" w:cs="Lohit Hindi"/>
          <w:color w:val="000000"/>
          <w:kern w:val="0"/>
          <w:sz w:val="18"/>
          <w:szCs w:val="18"/>
          <w:lang w:val="nl-NL" w:eastAsia="nl-NL"/>
          <w14:ligatures w14:val="none"/>
        </w:rPr>
        <w:t>Een</w:t>
      </w:r>
      <w:r w:rsidRPr="00F71351" w:rsidR="008E3E1A">
        <w:rPr>
          <w:rFonts w:ascii="Verdana" w:hAnsi="Verdana" w:eastAsia="DejaVu Sans" w:cs="Lohit Hindi"/>
          <w:color w:val="000000"/>
          <w:kern w:val="0"/>
          <w:sz w:val="18"/>
          <w:szCs w:val="18"/>
          <w:lang w:val="nl-NL" w:eastAsia="nl-NL"/>
          <w14:ligatures w14:val="none"/>
        </w:rPr>
        <w:t xml:space="preserve"> wetswijziging </w:t>
      </w:r>
      <w:r w:rsidRPr="00F71351">
        <w:rPr>
          <w:rFonts w:ascii="Verdana" w:hAnsi="Verdana" w:eastAsia="DejaVu Sans" w:cs="Lohit Hindi"/>
          <w:color w:val="000000"/>
          <w:kern w:val="0"/>
          <w:sz w:val="18"/>
          <w:szCs w:val="18"/>
          <w:lang w:val="nl-NL" w:eastAsia="nl-NL"/>
          <w14:ligatures w14:val="none"/>
        </w:rPr>
        <w:t xml:space="preserve">is </w:t>
      </w:r>
      <w:r w:rsidRPr="00F71351" w:rsidR="008E3E1A">
        <w:rPr>
          <w:rFonts w:ascii="Verdana" w:hAnsi="Verdana" w:eastAsia="DejaVu Sans" w:cs="Lohit Hindi"/>
          <w:color w:val="000000"/>
          <w:kern w:val="0"/>
          <w:sz w:val="18"/>
          <w:szCs w:val="18"/>
          <w:lang w:val="nl-NL" w:eastAsia="nl-NL"/>
          <w14:ligatures w14:val="none"/>
        </w:rPr>
        <w:t xml:space="preserve">een versimpeling van </w:t>
      </w:r>
      <w:r w:rsidRPr="00F71351" w:rsidR="00091753">
        <w:rPr>
          <w:rFonts w:ascii="Verdana" w:hAnsi="Verdana" w:eastAsia="DejaVu Sans" w:cs="Lohit Hindi"/>
          <w:color w:val="000000"/>
          <w:kern w:val="0"/>
          <w:sz w:val="18"/>
          <w:szCs w:val="18"/>
          <w:lang w:val="nl-NL" w:eastAsia="nl-NL"/>
          <w14:ligatures w14:val="none"/>
        </w:rPr>
        <w:t>de kinderopvang</w:t>
      </w:r>
      <w:r w:rsidRPr="00F71351" w:rsidR="008E3E1A">
        <w:rPr>
          <w:rFonts w:ascii="Verdana" w:hAnsi="Verdana" w:eastAsia="DejaVu Sans" w:cs="Lohit Hindi"/>
          <w:color w:val="000000"/>
          <w:kern w:val="0"/>
          <w:sz w:val="18"/>
          <w:szCs w:val="18"/>
          <w:lang w:val="nl-NL" w:eastAsia="nl-NL"/>
          <w14:ligatures w14:val="none"/>
        </w:rPr>
        <w:t xml:space="preserve">toeslag. </w:t>
      </w:r>
    </w:p>
    <w:p w:rsidRPr="00F71351" w:rsidR="00F82E36" w:rsidP="00F82E36" w:rsidRDefault="00EC1981" w14:paraId="24E3942C" w14:textId="2DA7BA85">
      <w:pPr>
        <w:pStyle w:val="Lijstalinea"/>
        <w:numPr>
          <w:ilvl w:val="0"/>
          <w:numId w:val="12"/>
        </w:numPr>
        <w:autoSpaceDN w:val="0"/>
        <w:spacing w:after="0" w:line="240" w:lineRule="exact"/>
        <w:textAlignment w:val="baseline"/>
        <w:rPr>
          <w:rFonts w:ascii="Verdana" w:hAnsi="Verdana" w:eastAsia="DejaVu Sans" w:cs="Lohit Hindi"/>
          <w:color w:val="000000"/>
          <w:kern w:val="0"/>
          <w:sz w:val="18"/>
          <w:szCs w:val="18"/>
          <w:lang w:val="nl-NL" w:eastAsia="nl-NL"/>
          <w14:ligatures w14:val="none"/>
        </w:rPr>
      </w:pPr>
      <w:r w:rsidRPr="00F71351">
        <w:rPr>
          <w:rFonts w:ascii="Verdana" w:hAnsi="Verdana" w:eastAsia="DejaVu Sans" w:cs="Lohit Hindi"/>
          <w:color w:val="000000"/>
          <w:kern w:val="0"/>
          <w:sz w:val="18"/>
          <w:szCs w:val="18"/>
          <w:lang w:val="nl-NL" w:eastAsia="nl-NL"/>
          <w14:ligatures w14:val="none"/>
        </w:rPr>
        <w:t>Een</w:t>
      </w:r>
      <w:r w:rsidRPr="00F71351" w:rsidR="008E3E1A">
        <w:rPr>
          <w:rFonts w:ascii="Verdana" w:hAnsi="Verdana" w:eastAsia="DejaVu Sans" w:cs="Lohit Hindi"/>
          <w:color w:val="000000"/>
          <w:kern w:val="0"/>
          <w:sz w:val="18"/>
          <w:szCs w:val="18"/>
          <w:lang w:val="nl-NL" w:eastAsia="nl-NL"/>
          <w14:ligatures w14:val="none"/>
        </w:rPr>
        <w:t xml:space="preserve"> wijziging </w:t>
      </w:r>
      <w:r w:rsidRPr="00F71351">
        <w:rPr>
          <w:rFonts w:ascii="Verdana" w:hAnsi="Verdana" w:eastAsia="DejaVu Sans" w:cs="Lohit Hindi"/>
          <w:color w:val="000000"/>
          <w:kern w:val="0"/>
          <w:sz w:val="18"/>
          <w:szCs w:val="18"/>
          <w:lang w:val="nl-NL" w:eastAsia="nl-NL"/>
          <w14:ligatures w14:val="none"/>
        </w:rPr>
        <w:t xml:space="preserve">kost structureel </w:t>
      </w:r>
      <w:r w:rsidRPr="00F71351" w:rsidR="008E3E1A">
        <w:rPr>
          <w:rFonts w:ascii="Verdana" w:hAnsi="Verdana" w:eastAsia="DejaVu Sans" w:cs="Lohit Hindi"/>
          <w:color w:val="000000"/>
          <w:kern w:val="0"/>
          <w:sz w:val="18"/>
          <w:szCs w:val="18"/>
          <w:lang w:val="nl-NL" w:eastAsia="nl-NL"/>
          <w14:ligatures w14:val="none"/>
        </w:rPr>
        <w:t>circa 12 miljoen euro</w:t>
      </w:r>
      <w:r w:rsidRPr="00F71351" w:rsidR="000E2656">
        <w:rPr>
          <w:rFonts w:ascii="Verdana" w:hAnsi="Verdana" w:eastAsia="DejaVu Sans" w:cs="Lohit Hindi"/>
          <w:color w:val="000000"/>
          <w:kern w:val="0"/>
          <w:sz w:val="18"/>
          <w:szCs w:val="18"/>
          <w:lang w:val="nl-NL" w:eastAsia="nl-NL"/>
          <w14:ligatures w14:val="none"/>
        </w:rPr>
        <w:t xml:space="preserve"> (</w:t>
      </w:r>
      <w:r w:rsidRPr="00F71351">
        <w:rPr>
          <w:rFonts w:ascii="Verdana" w:hAnsi="Verdana" w:eastAsia="DejaVu Sans" w:cs="Lohit Hindi"/>
          <w:color w:val="000000"/>
          <w:kern w:val="0"/>
          <w:sz w:val="18"/>
          <w:szCs w:val="18"/>
          <w:lang w:val="nl-NL" w:eastAsia="nl-NL"/>
          <w14:ligatures w14:val="none"/>
        </w:rPr>
        <w:t>hiervoor is geen budget gereserveerd</w:t>
      </w:r>
      <w:r w:rsidRPr="00F71351" w:rsidR="000E2656">
        <w:rPr>
          <w:rFonts w:ascii="Verdana" w:hAnsi="Verdana" w:eastAsia="DejaVu Sans" w:cs="Lohit Hindi"/>
          <w:color w:val="000000"/>
          <w:kern w:val="0"/>
          <w:sz w:val="18"/>
          <w:szCs w:val="18"/>
          <w:lang w:val="nl-NL" w:eastAsia="nl-NL"/>
          <w14:ligatures w14:val="none"/>
        </w:rPr>
        <w:t>)</w:t>
      </w:r>
      <w:r w:rsidRPr="00F71351" w:rsidR="008E3E1A">
        <w:rPr>
          <w:rFonts w:ascii="Verdana" w:hAnsi="Verdana" w:eastAsia="DejaVu Sans" w:cs="Lohit Hindi"/>
          <w:color w:val="000000"/>
          <w:kern w:val="0"/>
          <w:sz w:val="18"/>
          <w:szCs w:val="18"/>
          <w:lang w:val="nl-NL" w:eastAsia="nl-NL"/>
          <w14:ligatures w14:val="none"/>
        </w:rPr>
        <w:t xml:space="preserve">. </w:t>
      </w:r>
    </w:p>
    <w:p w:rsidRPr="00F71351" w:rsidR="00EC1981" w:rsidP="00EC1981" w:rsidRDefault="00F82E36" w14:paraId="0E2849FE" w14:textId="6C64402F">
      <w:pPr>
        <w:pStyle w:val="Lijstalinea"/>
        <w:numPr>
          <w:ilvl w:val="0"/>
          <w:numId w:val="12"/>
        </w:numPr>
        <w:autoSpaceDN w:val="0"/>
        <w:spacing w:after="0" w:line="240" w:lineRule="exact"/>
        <w:textAlignment w:val="baseline"/>
        <w:rPr>
          <w:rFonts w:ascii="Verdana" w:hAnsi="Verdana" w:eastAsia="DejaVu Sans" w:cs="Lohit Hindi"/>
          <w:color w:val="000000"/>
          <w:kern w:val="0"/>
          <w:sz w:val="18"/>
          <w:szCs w:val="18"/>
          <w:lang w:val="nl-NL" w:eastAsia="nl-NL"/>
          <w14:ligatures w14:val="none"/>
        </w:rPr>
      </w:pPr>
      <w:r w:rsidRPr="00F71351">
        <w:rPr>
          <w:rFonts w:ascii="Verdana" w:hAnsi="Verdana" w:eastAsia="DejaVu Sans" w:cs="Lohit Hindi"/>
          <w:color w:val="000000"/>
          <w:kern w:val="0"/>
          <w:sz w:val="18"/>
          <w:szCs w:val="18"/>
          <w:lang w:val="nl-NL" w:eastAsia="nl-NL"/>
          <w14:ligatures w14:val="none"/>
        </w:rPr>
        <w:t>Uitbreiding van de doelgroep draagt naar verwachting op een positieve manier bij aan de ontwikkeling van kinderen</w:t>
      </w:r>
      <w:r w:rsidRPr="00F71351" w:rsidR="00EC1981">
        <w:rPr>
          <w:rFonts w:ascii="Verdana" w:hAnsi="Verdana" w:eastAsia="DejaVu Sans" w:cs="Lohit Hindi"/>
          <w:color w:val="000000"/>
          <w:kern w:val="0"/>
          <w:sz w:val="18"/>
          <w:szCs w:val="18"/>
          <w:lang w:val="nl-NL" w:eastAsia="nl-NL"/>
          <w14:ligatures w14:val="none"/>
        </w:rPr>
        <w:t xml:space="preserve">. </w:t>
      </w:r>
    </w:p>
    <w:p w:rsidRPr="00F71351" w:rsidR="00EC1981" w:rsidP="00EB0335" w:rsidRDefault="00EC1981" w14:paraId="3D27F87C" w14:textId="77777777">
      <w:pPr>
        <w:pStyle w:val="Lijstalinea"/>
        <w:numPr>
          <w:ilvl w:val="0"/>
          <w:numId w:val="12"/>
        </w:numPr>
        <w:autoSpaceDN w:val="0"/>
        <w:spacing w:after="0" w:line="240" w:lineRule="exact"/>
        <w:textAlignment w:val="baseline"/>
        <w:rPr>
          <w:rFonts w:ascii="Verdana" w:hAnsi="Verdana" w:eastAsia="DejaVu Sans" w:cs="Lohit Hindi"/>
          <w:color w:val="000000"/>
          <w:kern w:val="0"/>
          <w:sz w:val="18"/>
          <w:szCs w:val="18"/>
          <w:lang w:val="nl-NL" w:eastAsia="nl-NL"/>
          <w14:ligatures w14:val="none"/>
        </w:rPr>
      </w:pPr>
      <w:r w:rsidRPr="00F71351">
        <w:rPr>
          <w:rFonts w:ascii="Verdana" w:hAnsi="Verdana" w:eastAsia="DejaVu Sans" w:cs="Lohit Hindi"/>
          <w:color w:val="000000"/>
          <w:kern w:val="0"/>
          <w:sz w:val="18"/>
          <w:szCs w:val="18"/>
          <w:lang w:val="nl-NL" w:eastAsia="nl-NL"/>
          <w14:ligatures w14:val="none"/>
        </w:rPr>
        <w:t>Uitbreiding</w:t>
      </w:r>
      <w:r w:rsidRPr="00F71351">
        <w:rPr>
          <w:rFonts w:ascii="Verdana" w:hAnsi="Verdana"/>
          <w:sz w:val="18"/>
          <w:szCs w:val="18"/>
          <w:lang w:val="nl-NL"/>
        </w:rPr>
        <w:t xml:space="preserve"> </w:t>
      </w:r>
      <w:r w:rsidRPr="00F71351">
        <w:rPr>
          <w:rFonts w:ascii="Verdana" w:hAnsi="Verdana" w:eastAsia="DejaVu Sans" w:cs="Lohit Hindi"/>
          <w:color w:val="000000"/>
          <w:kern w:val="0"/>
          <w:sz w:val="18"/>
          <w:szCs w:val="18"/>
          <w:lang w:val="nl-NL" w:eastAsia="nl-NL"/>
          <w14:ligatures w14:val="none"/>
        </w:rPr>
        <w:t>zorgt niet voor meer</w:t>
      </w:r>
      <w:r w:rsidRPr="00F71351">
        <w:rPr>
          <w:rFonts w:ascii="Verdana" w:hAnsi="Verdana"/>
          <w:sz w:val="18"/>
          <w:szCs w:val="18"/>
          <w:lang w:val="nl-NL"/>
        </w:rPr>
        <w:t xml:space="preserve"> arbeidsparticipatie. </w:t>
      </w:r>
    </w:p>
    <w:p w:rsidRPr="00F71351" w:rsidR="008E3E1A" w:rsidP="00BB1AD8" w:rsidRDefault="00EC1981" w14:paraId="23C46B03" w14:textId="50D1C1C6">
      <w:pPr>
        <w:pStyle w:val="Lijstalinea"/>
        <w:numPr>
          <w:ilvl w:val="0"/>
          <w:numId w:val="12"/>
        </w:numPr>
        <w:autoSpaceDN w:val="0"/>
        <w:spacing w:after="0" w:line="240" w:lineRule="exact"/>
        <w:textAlignment w:val="baseline"/>
        <w:rPr>
          <w:rFonts w:ascii="Verdana" w:hAnsi="Verdana" w:eastAsia="DejaVu Sans" w:cs="Lohit Hindi"/>
          <w:color w:val="000000"/>
          <w:kern w:val="0"/>
          <w:sz w:val="18"/>
          <w:szCs w:val="18"/>
          <w:lang w:val="nl-NL" w:eastAsia="nl-NL"/>
          <w14:ligatures w14:val="none"/>
        </w:rPr>
      </w:pPr>
      <w:r w:rsidRPr="00F71351">
        <w:rPr>
          <w:rFonts w:ascii="Verdana" w:hAnsi="Verdana" w:eastAsia="DejaVu Sans" w:cs="Lohit Hindi"/>
          <w:color w:val="000000"/>
          <w:kern w:val="0"/>
          <w:sz w:val="18"/>
          <w:szCs w:val="18"/>
          <w:lang w:val="nl-NL" w:eastAsia="nl-NL"/>
          <w14:ligatures w14:val="none"/>
        </w:rPr>
        <w:t>De uitzonderingen op de arbeidseis zijn er allemaal op gericht op arbeidsparticipatie bevorderen. Deze aanpassing doet dat niet, d</w:t>
      </w:r>
      <w:r w:rsidRPr="00F71351" w:rsidR="00DD26E4">
        <w:rPr>
          <w:rFonts w:ascii="Verdana" w:hAnsi="Verdana" w:eastAsia="DejaVu Sans" w:cs="Lohit Hindi"/>
          <w:color w:val="000000"/>
          <w:kern w:val="0"/>
          <w:sz w:val="18"/>
          <w:szCs w:val="18"/>
          <w:lang w:val="nl-NL" w:eastAsia="nl-NL"/>
          <w14:ligatures w14:val="none"/>
        </w:rPr>
        <w:t xml:space="preserve">aarom </w:t>
      </w:r>
      <w:r w:rsidRPr="00F71351">
        <w:rPr>
          <w:rFonts w:ascii="Verdana" w:hAnsi="Verdana" w:eastAsia="DejaVu Sans" w:cs="Lohit Hindi"/>
          <w:color w:val="000000"/>
          <w:kern w:val="0"/>
          <w:sz w:val="18"/>
          <w:szCs w:val="18"/>
          <w:lang w:val="nl-NL" w:eastAsia="nl-NL"/>
          <w14:ligatures w14:val="none"/>
        </w:rPr>
        <w:t>is het advies</w:t>
      </w:r>
      <w:r w:rsidRPr="00F71351" w:rsidR="008E3E1A">
        <w:rPr>
          <w:rFonts w:ascii="Verdana" w:hAnsi="Verdana" w:eastAsia="DejaVu Sans" w:cs="Lohit Hindi"/>
          <w:color w:val="000000"/>
          <w:kern w:val="0"/>
          <w:sz w:val="18"/>
          <w:szCs w:val="18"/>
          <w:lang w:val="nl-NL" w:eastAsia="nl-NL"/>
          <w14:ligatures w14:val="none"/>
        </w:rPr>
        <w:t xml:space="preserve"> het recht op </w:t>
      </w:r>
      <w:r w:rsidRPr="00F71351" w:rsidR="006B2BB6">
        <w:rPr>
          <w:rFonts w:ascii="Verdana" w:hAnsi="Verdana" w:eastAsia="DejaVu Sans" w:cs="Lohit Hindi"/>
          <w:color w:val="000000"/>
          <w:kern w:val="0"/>
          <w:sz w:val="18"/>
          <w:szCs w:val="18"/>
          <w:lang w:val="nl-NL" w:eastAsia="nl-NL"/>
          <w14:ligatures w14:val="none"/>
        </w:rPr>
        <w:t xml:space="preserve">de KOT voor deze groep </w:t>
      </w:r>
      <w:r w:rsidRPr="00F71351" w:rsidR="008E3E1A">
        <w:rPr>
          <w:rFonts w:ascii="Verdana" w:hAnsi="Verdana" w:eastAsia="DejaVu Sans" w:cs="Lohit Hindi"/>
          <w:color w:val="000000"/>
          <w:kern w:val="0"/>
          <w:sz w:val="18"/>
          <w:szCs w:val="18"/>
          <w:lang w:val="nl-NL" w:eastAsia="nl-NL"/>
          <w14:ligatures w14:val="none"/>
        </w:rPr>
        <w:t xml:space="preserve">niet </w:t>
      </w:r>
      <w:r w:rsidRPr="00F71351" w:rsidR="00BB7820">
        <w:rPr>
          <w:rFonts w:ascii="Verdana" w:hAnsi="Verdana" w:eastAsia="DejaVu Sans" w:cs="Lohit Hindi"/>
          <w:color w:val="000000"/>
          <w:kern w:val="0"/>
          <w:sz w:val="18"/>
          <w:szCs w:val="18"/>
          <w:lang w:val="nl-NL" w:eastAsia="nl-NL"/>
          <w14:ligatures w14:val="none"/>
        </w:rPr>
        <w:t>te verruimen</w:t>
      </w:r>
      <w:r w:rsidRPr="00F71351" w:rsidR="008E3E1A">
        <w:rPr>
          <w:rFonts w:ascii="Verdana" w:hAnsi="Verdana" w:eastAsia="DejaVu Sans" w:cs="Lohit Hindi"/>
          <w:color w:val="000000"/>
          <w:kern w:val="0"/>
          <w:sz w:val="18"/>
          <w:szCs w:val="18"/>
          <w:lang w:val="nl-NL" w:eastAsia="nl-NL"/>
          <w14:ligatures w14:val="none"/>
        </w:rPr>
        <w:t>.</w:t>
      </w:r>
      <w:r w:rsidRPr="00F71351">
        <w:rPr>
          <w:rFonts w:ascii="Verdana" w:hAnsi="Verdana" w:eastAsia="DejaVu Sans" w:cs="Lohit Hindi"/>
          <w:color w:val="000000"/>
          <w:kern w:val="0"/>
          <w:sz w:val="18"/>
          <w:szCs w:val="18"/>
          <w:lang w:val="nl-NL" w:eastAsia="nl-NL"/>
          <w14:ligatures w14:val="none"/>
        </w:rPr>
        <w:t xml:space="preserve"> </w:t>
      </w:r>
    </w:p>
    <w:p w:rsidRPr="00F71351" w:rsidR="00017C35" w:rsidP="008E3E1A" w:rsidRDefault="00017C35" w14:paraId="1CFEAB2A" w14:textId="77777777">
      <w:pPr>
        <w:autoSpaceDN w:val="0"/>
        <w:spacing w:after="0" w:line="240" w:lineRule="exact"/>
        <w:textAlignment w:val="baseline"/>
        <w:rPr>
          <w:rFonts w:eastAsia="DejaVu Sans" w:cs="Lohit Hindi"/>
          <w:color w:val="000000"/>
          <w:kern w:val="0"/>
          <w:szCs w:val="18"/>
          <w:lang w:val="nl-NL" w:eastAsia="nl-NL"/>
          <w14:ligatures w14:val="none"/>
        </w:rPr>
      </w:pPr>
    </w:p>
    <w:p w:rsidRPr="00F71351" w:rsidR="00017C35" w:rsidP="008E3E1A" w:rsidRDefault="00017C35" w14:paraId="7F406C67" w14:textId="2D6298E0">
      <w:pPr>
        <w:autoSpaceDN w:val="0"/>
        <w:spacing w:after="0" w:line="240" w:lineRule="exact"/>
        <w:textAlignment w:val="baseline"/>
        <w:rPr>
          <w:rFonts w:eastAsia="DejaVu Sans" w:cs="Lohit Hindi"/>
          <w:b/>
          <w:bCs/>
          <w:color w:val="000000"/>
          <w:kern w:val="0"/>
          <w:szCs w:val="18"/>
          <w:lang w:val="nl-NL" w:eastAsia="nl-NL"/>
          <w14:ligatures w14:val="none"/>
        </w:rPr>
      </w:pPr>
      <w:r w:rsidRPr="00F71351">
        <w:rPr>
          <w:rFonts w:eastAsia="DejaVu Sans" w:cs="Lohit Hindi"/>
          <w:b/>
          <w:bCs/>
          <w:color w:val="000000"/>
          <w:kern w:val="0"/>
          <w:szCs w:val="18"/>
          <w:lang w:val="nl-NL" w:eastAsia="nl-NL"/>
          <w14:ligatures w14:val="none"/>
        </w:rPr>
        <w:t>Toelichting</w:t>
      </w:r>
    </w:p>
    <w:p w:rsidRPr="00F71351" w:rsidR="00F826D2" w:rsidP="00F826D2" w:rsidRDefault="00F826D2" w14:paraId="7EC0A323" w14:textId="1327021F">
      <w:pPr>
        <w:autoSpaceDN w:val="0"/>
        <w:spacing w:after="0" w:line="240" w:lineRule="exact"/>
        <w:textAlignment w:val="baseline"/>
        <w:rPr>
          <w:rFonts w:eastAsia="DejaVu Sans" w:cs="Lohit Hindi"/>
          <w:color w:val="000000"/>
          <w:kern w:val="0"/>
          <w:szCs w:val="18"/>
          <w:lang w:val="nl-NL" w:eastAsia="nl-NL"/>
          <w14:ligatures w14:val="none"/>
        </w:rPr>
      </w:pPr>
      <w:r w:rsidRPr="00F71351">
        <w:rPr>
          <w:rFonts w:eastAsia="DejaVu Sans" w:cs="Lohit Hindi"/>
          <w:color w:val="000000"/>
          <w:kern w:val="0"/>
          <w:szCs w:val="18"/>
          <w:lang w:val="nl-NL" w:eastAsia="nl-NL"/>
          <w14:ligatures w14:val="none"/>
        </w:rPr>
        <w:t xml:space="preserve">Voor deze </w:t>
      </w:r>
      <w:r w:rsidRPr="00F71351" w:rsidR="00696A6C">
        <w:rPr>
          <w:rFonts w:eastAsia="DejaVu Sans" w:cs="Lohit Hindi"/>
          <w:color w:val="000000"/>
          <w:kern w:val="0"/>
          <w:szCs w:val="18"/>
          <w:lang w:val="nl-NL" w:eastAsia="nl-NL"/>
          <w14:ligatures w14:val="none"/>
        </w:rPr>
        <w:t>inventarisatie</w:t>
      </w:r>
      <w:r w:rsidRPr="00F71351">
        <w:rPr>
          <w:rFonts w:eastAsia="DejaVu Sans" w:cs="Lohit Hindi"/>
          <w:color w:val="000000"/>
          <w:kern w:val="0"/>
          <w:szCs w:val="18"/>
          <w:lang w:val="nl-NL" w:eastAsia="nl-NL"/>
          <w14:ligatures w14:val="none"/>
        </w:rPr>
        <w:t xml:space="preserve"> is gekeken naar de maatschappelijke, juridische, financiële en uitvoering</w:t>
      </w:r>
      <w:r w:rsidRPr="00F71351" w:rsidR="00760AE6">
        <w:rPr>
          <w:rFonts w:eastAsia="DejaVu Sans" w:cs="Lohit Hindi"/>
          <w:color w:val="000000"/>
          <w:kern w:val="0"/>
          <w:szCs w:val="18"/>
          <w:lang w:val="nl-NL" w:eastAsia="nl-NL"/>
          <w14:ligatures w14:val="none"/>
        </w:rPr>
        <w:t>s</w:t>
      </w:r>
      <w:r w:rsidRPr="00F71351">
        <w:rPr>
          <w:rFonts w:eastAsia="DejaVu Sans" w:cs="Lohit Hindi"/>
          <w:color w:val="000000"/>
          <w:kern w:val="0"/>
          <w:szCs w:val="18"/>
          <w:lang w:val="nl-NL" w:eastAsia="nl-NL"/>
          <w14:ligatures w14:val="none"/>
        </w:rPr>
        <w:t>gevolgen. E</w:t>
      </w:r>
      <w:r w:rsidRPr="00F71351" w:rsidR="00696A6C">
        <w:rPr>
          <w:rFonts w:eastAsia="DejaVu Sans" w:cs="Lohit Hindi"/>
          <w:color w:val="000000"/>
          <w:kern w:val="0"/>
          <w:szCs w:val="18"/>
          <w:lang w:val="nl-NL" w:eastAsia="nl-NL"/>
          <w14:ligatures w14:val="none"/>
        </w:rPr>
        <w:t>é</w:t>
      </w:r>
      <w:r w:rsidRPr="00F71351">
        <w:rPr>
          <w:rFonts w:eastAsia="DejaVu Sans" w:cs="Lohit Hindi"/>
          <w:color w:val="000000"/>
          <w:kern w:val="0"/>
          <w:szCs w:val="18"/>
          <w:lang w:val="nl-NL" w:eastAsia="nl-NL"/>
          <w14:ligatures w14:val="none"/>
        </w:rPr>
        <w:t xml:space="preserve">n van de aanbevelingen uit de invoeringstoets </w:t>
      </w:r>
      <w:r w:rsidRPr="00F71351" w:rsidR="0020534E">
        <w:rPr>
          <w:rFonts w:eastAsia="DejaVu Sans" w:cs="Lohit Hindi"/>
          <w:color w:val="000000"/>
          <w:kern w:val="0"/>
          <w:szCs w:val="18"/>
          <w:lang w:val="nl-NL" w:eastAsia="nl-NL"/>
          <w14:ligatures w14:val="none"/>
        </w:rPr>
        <w:t xml:space="preserve">van </w:t>
      </w:r>
      <w:r w:rsidRPr="00F71351">
        <w:rPr>
          <w:rFonts w:eastAsia="DejaVu Sans" w:cs="Lohit Hindi"/>
          <w:color w:val="000000"/>
          <w:kern w:val="0"/>
          <w:szCs w:val="18"/>
          <w:lang w:val="nl-NL" w:eastAsia="nl-NL"/>
          <w14:ligatures w14:val="none"/>
        </w:rPr>
        <w:t>Dienst Toeslagen uit 2023 was dat de doelgroep beter betrokken moet worden in het beleidsproces.</w:t>
      </w:r>
      <w:r w:rsidRPr="00F71351" w:rsidR="00D82A46">
        <w:rPr>
          <w:rStyle w:val="Voetnootmarkering"/>
          <w:rFonts w:eastAsia="DejaVu Sans" w:cs="Lohit Hindi"/>
          <w:color w:val="000000"/>
          <w:kern w:val="0"/>
          <w:szCs w:val="18"/>
          <w14:ligatures w14:val="none"/>
        </w:rPr>
        <w:footnoteReference w:id="1"/>
      </w:r>
      <w:r w:rsidRPr="00F71351">
        <w:rPr>
          <w:rFonts w:eastAsia="DejaVu Sans" w:cs="Lohit Hindi"/>
          <w:color w:val="000000"/>
          <w:kern w:val="0"/>
          <w:szCs w:val="18"/>
          <w:lang w:val="nl-NL" w:eastAsia="nl-NL"/>
          <w14:ligatures w14:val="none"/>
        </w:rPr>
        <w:t xml:space="preserve"> Daarom is er gesproken met onderzoekers, cliëntondersteuners en andere ondersteuning die betrokken is bij de doelgroep. </w:t>
      </w:r>
      <w:r w:rsidRPr="00F71351" w:rsidR="00760AE6">
        <w:rPr>
          <w:rFonts w:eastAsia="DejaVu Sans" w:cs="Lohit Hindi"/>
          <w:color w:val="000000"/>
          <w:kern w:val="0"/>
          <w:szCs w:val="18"/>
          <w:lang w:val="nl-NL" w:eastAsia="nl-NL"/>
          <w14:ligatures w14:val="none"/>
        </w:rPr>
        <w:t xml:space="preserve">Tijdens de inventarisatie bleek het niet mogelijk om </w:t>
      </w:r>
      <w:r w:rsidRPr="00F71351" w:rsidR="004D4BF9">
        <w:rPr>
          <w:rFonts w:eastAsia="DejaVu Sans" w:cs="Lohit Hindi"/>
          <w:color w:val="000000"/>
          <w:kern w:val="0"/>
          <w:szCs w:val="18"/>
          <w:lang w:val="nl-NL" w:eastAsia="nl-NL"/>
          <w14:ligatures w14:val="none"/>
        </w:rPr>
        <w:t>de</w:t>
      </w:r>
      <w:r w:rsidRPr="00F71351" w:rsidR="00760AE6">
        <w:rPr>
          <w:rFonts w:eastAsia="DejaVu Sans" w:cs="Lohit Hindi"/>
          <w:color w:val="000000"/>
          <w:kern w:val="0"/>
          <w:szCs w:val="18"/>
          <w:lang w:val="nl-NL" w:eastAsia="nl-NL"/>
          <w14:ligatures w14:val="none"/>
        </w:rPr>
        <w:t xml:space="preserve"> ouders zelf te spreken</w:t>
      </w:r>
      <w:r w:rsidRPr="00F71351" w:rsidR="00ED45C0">
        <w:rPr>
          <w:rFonts w:eastAsia="DejaVu Sans" w:cs="Lohit Hindi"/>
          <w:color w:val="000000"/>
          <w:kern w:val="0"/>
          <w:szCs w:val="18"/>
          <w:lang w:val="nl-NL" w:eastAsia="nl-NL"/>
          <w14:ligatures w14:val="none"/>
        </w:rPr>
        <w:t xml:space="preserve">, dit vanwege de aard van </w:t>
      </w:r>
      <w:r w:rsidRPr="00F71351" w:rsidR="00FE2AA5">
        <w:rPr>
          <w:rFonts w:eastAsia="DejaVu Sans" w:cs="Lohit Hindi"/>
          <w:color w:val="000000"/>
          <w:kern w:val="0"/>
          <w:szCs w:val="18"/>
          <w:lang w:val="nl-NL" w:eastAsia="nl-NL"/>
          <w14:ligatures w14:val="none"/>
        </w:rPr>
        <w:t xml:space="preserve">hun </w:t>
      </w:r>
      <w:r w:rsidRPr="00F71351" w:rsidR="00ED45C0">
        <w:rPr>
          <w:rFonts w:eastAsia="DejaVu Sans" w:cs="Lohit Hindi"/>
          <w:color w:val="000000"/>
          <w:kern w:val="0"/>
          <w:szCs w:val="18"/>
          <w:lang w:val="nl-NL" w:eastAsia="nl-NL"/>
          <w14:ligatures w14:val="none"/>
        </w:rPr>
        <w:t>problematiek</w:t>
      </w:r>
      <w:r w:rsidRPr="00F71351" w:rsidR="00760AE6">
        <w:rPr>
          <w:rFonts w:eastAsia="DejaVu Sans" w:cs="Lohit Hindi"/>
          <w:color w:val="000000"/>
          <w:kern w:val="0"/>
          <w:szCs w:val="18"/>
          <w:lang w:val="nl-NL" w:eastAsia="nl-NL"/>
          <w14:ligatures w14:val="none"/>
        </w:rPr>
        <w:t>.</w:t>
      </w:r>
    </w:p>
    <w:p w:rsidRPr="00F71351" w:rsidR="00F826D2" w:rsidP="00F826D2" w:rsidRDefault="00F826D2" w14:paraId="3F3F722C" w14:textId="7AE46687">
      <w:pPr>
        <w:autoSpaceDN w:val="0"/>
        <w:spacing w:before="240" w:after="0" w:line="240" w:lineRule="exact"/>
        <w:textAlignment w:val="baseline"/>
        <w:outlineLvl w:val="1"/>
        <w:rPr>
          <w:rFonts w:eastAsia="DejaVu Sans" w:cs="Lohit Hindi"/>
          <w:i/>
          <w:color w:val="000000"/>
          <w:kern w:val="0"/>
          <w:szCs w:val="18"/>
          <w:lang w:val="nl-NL" w:eastAsia="nl-NL"/>
          <w14:ligatures w14:val="none"/>
        </w:rPr>
      </w:pPr>
      <w:r w:rsidRPr="00F71351">
        <w:rPr>
          <w:rFonts w:eastAsia="DejaVu Sans" w:cs="Lohit Hindi"/>
          <w:i/>
          <w:color w:val="000000"/>
          <w:kern w:val="0"/>
          <w:szCs w:val="18"/>
          <w:lang w:val="nl-NL" w:eastAsia="nl-NL"/>
          <w14:ligatures w14:val="none"/>
        </w:rPr>
        <w:t>Over de doelgroep</w:t>
      </w:r>
    </w:p>
    <w:p w:rsidRPr="00F71351" w:rsidR="00F826D2" w:rsidP="00F826D2" w:rsidRDefault="00F826D2" w14:paraId="000BD097" w14:textId="5B300F8D">
      <w:pPr>
        <w:autoSpaceDN w:val="0"/>
        <w:spacing w:after="0" w:line="240" w:lineRule="exact"/>
        <w:textAlignment w:val="baseline"/>
        <w:rPr>
          <w:rFonts w:eastAsia="DejaVu Sans" w:cs="Lohit Hindi"/>
          <w:color w:val="000000"/>
          <w:kern w:val="0"/>
          <w:szCs w:val="18"/>
          <w:lang w:val="nl-NL" w:eastAsia="nl-NL"/>
          <w14:ligatures w14:val="none"/>
        </w:rPr>
      </w:pPr>
      <w:r w:rsidRPr="00F71351">
        <w:rPr>
          <w:rFonts w:eastAsia="DejaVu Sans" w:cs="Lohit Hindi"/>
          <w:color w:val="000000"/>
          <w:kern w:val="0"/>
          <w:szCs w:val="18"/>
          <w:lang w:val="nl-NL" w:eastAsia="nl-NL"/>
          <w14:ligatures w14:val="none"/>
        </w:rPr>
        <w:t>De doelgroep ‘</w:t>
      </w:r>
      <w:r w:rsidRPr="00F71351">
        <w:rPr>
          <w:rFonts w:eastAsia="DejaVu Sans" w:cs="Lohit Hindi"/>
          <w:i/>
          <w:iCs/>
          <w:color w:val="000000"/>
          <w:kern w:val="0"/>
          <w:szCs w:val="18"/>
          <w:lang w:val="nl-NL" w:eastAsia="nl-NL"/>
          <w14:ligatures w14:val="none"/>
        </w:rPr>
        <w:t>ouders met een Wlz-indicatie</w:t>
      </w:r>
      <w:r w:rsidRPr="00F71351">
        <w:rPr>
          <w:rFonts w:eastAsia="DejaVu Sans" w:cs="Lohit Hindi"/>
          <w:color w:val="000000"/>
          <w:kern w:val="0"/>
          <w:szCs w:val="18"/>
          <w:lang w:val="nl-NL" w:eastAsia="nl-NL"/>
          <w14:ligatures w14:val="none"/>
        </w:rPr>
        <w:t xml:space="preserve">’ is klein en zeer divers. Casussen variëren van mensen met (licht) verstandelijke beperking tot mensen met niet-aangeboren hersenletsel. Cijfers van VWS tonen dat wanneer beide ouders een Wlz-indicatie hebben, er vaak sprake is van een (licht) verstandelijke beperking. Bij specifiek alleenstaande ouders met een Wlz-indicatie gaat het vaak om mensen met een complexe psychische aandoening. In beide situaties geldt dat er in de thuissituatie </w:t>
      </w:r>
      <w:r w:rsidRPr="00F71351" w:rsidR="004D600F">
        <w:rPr>
          <w:rFonts w:eastAsia="DejaVu Sans" w:cs="Lohit Hindi"/>
          <w:color w:val="000000"/>
          <w:kern w:val="0"/>
          <w:szCs w:val="18"/>
          <w:lang w:val="nl-NL" w:eastAsia="nl-NL"/>
          <w14:ligatures w14:val="none"/>
        </w:rPr>
        <w:t>vaak</w:t>
      </w:r>
      <w:r w:rsidRPr="00F71351">
        <w:rPr>
          <w:rFonts w:eastAsia="DejaVu Sans" w:cs="Lohit Hindi"/>
          <w:color w:val="000000"/>
          <w:kern w:val="0"/>
          <w:szCs w:val="18"/>
          <w:lang w:val="nl-NL" w:eastAsia="nl-NL"/>
          <w14:ligatures w14:val="none"/>
        </w:rPr>
        <w:t xml:space="preserve"> uitdagingen zijn bij het creëren van een stabiel opvoedklimaat. </w:t>
      </w:r>
    </w:p>
    <w:p w:rsidRPr="00F71351" w:rsidR="00F826D2" w:rsidP="00F826D2" w:rsidRDefault="00F826D2" w14:paraId="604DD2B9" w14:textId="77777777">
      <w:pPr>
        <w:autoSpaceDN w:val="0"/>
        <w:spacing w:after="0" w:line="240" w:lineRule="exact"/>
        <w:textAlignment w:val="baseline"/>
        <w:rPr>
          <w:rFonts w:eastAsia="DejaVu Sans" w:cs="Lohit Hindi"/>
          <w:color w:val="000000"/>
          <w:kern w:val="0"/>
          <w:szCs w:val="18"/>
          <w:lang w:val="nl-NL" w:eastAsia="nl-NL"/>
          <w14:ligatures w14:val="none"/>
        </w:rPr>
      </w:pPr>
    </w:p>
    <w:p w:rsidRPr="00F71351" w:rsidR="00F826D2" w:rsidP="00F826D2" w:rsidRDefault="00F826D2" w14:paraId="2499E0F2" w14:textId="77777777">
      <w:pPr>
        <w:autoSpaceDN w:val="0"/>
        <w:spacing w:after="0" w:line="240" w:lineRule="exact"/>
        <w:textAlignment w:val="baseline"/>
        <w:rPr>
          <w:rFonts w:eastAsia="DejaVu Sans" w:cs="Lohit Hindi"/>
          <w:i/>
          <w:iCs/>
          <w:color w:val="000000"/>
          <w:kern w:val="0"/>
          <w:szCs w:val="18"/>
          <w:lang w:val="nl-NL" w:eastAsia="nl-NL"/>
          <w14:ligatures w14:val="none"/>
        </w:rPr>
      </w:pPr>
      <w:r w:rsidRPr="00F71351">
        <w:rPr>
          <w:rFonts w:eastAsia="DejaVu Sans" w:cs="Lohit Hindi"/>
          <w:i/>
          <w:iCs/>
          <w:color w:val="000000"/>
          <w:kern w:val="0"/>
          <w:szCs w:val="18"/>
          <w:lang w:val="nl-NL" w:eastAsia="nl-NL"/>
          <w14:ligatures w14:val="none"/>
        </w:rPr>
        <w:t>Gebruik kinderopvang in huidige situatie</w:t>
      </w:r>
    </w:p>
    <w:p w:rsidRPr="00F71351" w:rsidR="00F826D2" w:rsidP="00F826D2" w:rsidRDefault="00F826D2" w14:paraId="3E576DF2" w14:textId="7DCA0E7C">
      <w:pPr>
        <w:autoSpaceDN w:val="0"/>
        <w:spacing w:after="0" w:line="240" w:lineRule="exact"/>
        <w:textAlignment w:val="baseline"/>
        <w:rPr>
          <w:rFonts w:eastAsia="DejaVu Sans" w:cs="Lohit Hindi"/>
          <w:color w:val="000000"/>
          <w:kern w:val="0"/>
          <w:szCs w:val="18"/>
          <w:lang w:val="nl-NL" w:eastAsia="nl-NL"/>
          <w14:ligatures w14:val="none"/>
        </w:rPr>
      </w:pPr>
      <w:r w:rsidRPr="00F71351">
        <w:rPr>
          <w:rFonts w:eastAsia="DejaVu Sans" w:cs="Lohit Hindi"/>
          <w:color w:val="000000"/>
          <w:kern w:val="0"/>
          <w:szCs w:val="18"/>
          <w:lang w:val="nl-NL" w:eastAsia="nl-NL"/>
          <w14:ligatures w14:val="none"/>
        </w:rPr>
        <w:t xml:space="preserve">Het is lastig te duiden hoe groot de vraag naar kinderopvang onder de doelgroep is. In de huidige situatie is de doelgroep afhankelijk van gemeentelijke regelingen als zij gebruik willen maken van kinderopvang. Vaak wordt er een beroep gedaan op de Sociaal Medische Indicatie (SMI). Bij een SMI-aanvraag worden ouders vaak begeleid vanuit de gemeente. </w:t>
      </w:r>
      <w:r w:rsidR="00D82A46">
        <w:rPr>
          <w:rFonts w:eastAsia="DejaVu Sans" w:cs="Lohit Hindi"/>
          <w:color w:val="000000"/>
          <w:kern w:val="0"/>
          <w:szCs w:val="18"/>
          <w:lang w:val="nl-NL" w:eastAsia="nl-NL"/>
          <w14:ligatures w14:val="none"/>
        </w:rPr>
        <w:t>Gemeenten kunnen</w:t>
      </w:r>
      <w:r w:rsidRPr="00F71351">
        <w:rPr>
          <w:rFonts w:eastAsia="DejaVu Sans" w:cs="Lohit Hindi"/>
          <w:color w:val="000000"/>
          <w:kern w:val="0"/>
          <w:szCs w:val="18"/>
          <w:lang w:val="nl-NL" w:eastAsia="nl-NL"/>
          <w14:ligatures w14:val="none"/>
        </w:rPr>
        <w:t xml:space="preserve"> via SMI de volledige kosten van de kinderopvang vergoeden.</w:t>
      </w:r>
    </w:p>
    <w:p w:rsidRPr="00F71351" w:rsidR="00F826D2" w:rsidP="00F826D2" w:rsidRDefault="00F826D2" w14:paraId="3B21A213" w14:textId="77777777">
      <w:pPr>
        <w:autoSpaceDN w:val="0"/>
        <w:spacing w:after="0" w:line="240" w:lineRule="exact"/>
        <w:textAlignment w:val="baseline"/>
        <w:rPr>
          <w:rFonts w:eastAsia="DejaVu Sans" w:cs="Lohit Hindi"/>
          <w:color w:val="000000"/>
          <w:kern w:val="0"/>
          <w:szCs w:val="18"/>
          <w:lang w:val="nl-NL" w:eastAsia="nl-NL"/>
          <w14:ligatures w14:val="none"/>
        </w:rPr>
      </w:pPr>
    </w:p>
    <w:p w:rsidRPr="00F71351" w:rsidR="00F826D2" w:rsidP="00F826D2" w:rsidRDefault="00F826D2" w14:paraId="14537F7B" w14:textId="5DD186A3">
      <w:pPr>
        <w:autoSpaceDN w:val="0"/>
        <w:spacing w:after="0" w:line="240" w:lineRule="exact"/>
        <w:textAlignment w:val="baseline"/>
        <w:rPr>
          <w:rFonts w:eastAsia="DejaVu Sans" w:cs="Lohit Hindi"/>
          <w:color w:val="000000"/>
          <w:kern w:val="0"/>
          <w:szCs w:val="18"/>
          <w:lang w:val="nl-NL" w:eastAsia="nl-NL"/>
          <w14:ligatures w14:val="none"/>
        </w:rPr>
      </w:pPr>
      <w:r w:rsidRPr="00F71351">
        <w:rPr>
          <w:rFonts w:eastAsia="DejaVu Sans" w:cs="Lohit Hindi"/>
          <w:color w:val="000000"/>
          <w:kern w:val="0"/>
          <w:szCs w:val="18"/>
          <w:lang w:val="nl-NL" w:eastAsia="nl-NL"/>
          <w14:ligatures w14:val="none"/>
        </w:rPr>
        <w:t xml:space="preserve">Tegelijkertijd genieten gemeenten beleidsvrijheid op SMI. Gemeenten bepalen zelf welke gezinnen in aanmerking komen voor de regeling. Daardoor is het niet eenduidig te zeggen in welke gemeenten de doelgroep in aanmerking komt voor ondersteuning. Bijkomend geven bijna alle gemeenten SMI tijdelijk af. De beschreven groep heeft daarentegen een langdurige ziekte en daarom een blijvende behoefte aan </w:t>
      </w:r>
      <w:r w:rsidRPr="00F71351" w:rsidR="003579CC">
        <w:rPr>
          <w:rFonts w:eastAsia="DejaVu Sans" w:cs="Lohit Hindi"/>
          <w:color w:val="000000"/>
          <w:kern w:val="0"/>
          <w:szCs w:val="18"/>
          <w:lang w:val="nl-NL" w:eastAsia="nl-NL"/>
          <w14:ligatures w14:val="none"/>
        </w:rPr>
        <w:t>kinderopvang</w:t>
      </w:r>
      <w:r w:rsidRPr="00F71351">
        <w:rPr>
          <w:rFonts w:eastAsia="DejaVu Sans" w:cs="Lohit Hindi"/>
          <w:color w:val="000000"/>
          <w:kern w:val="0"/>
          <w:szCs w:val="18"/>
          <w:lang w:val="nl-NL" w:eastAsia="nl-NL"/>
          <w14:ligatures w14:val="none"/>
        </w:rPr>
        <w:t xml:space="preserve">. Dit was destijds ook één van de argumenten van de initiële wetswijziging om huishoudens met een Wlz-indicatie en werkende partner over te hevelen van SMI naar de KOT. </w:t>
      </w:r>
    </w:p>
    <w:p w:rsidRPr="00F71351" w:rsidR="00F826D2" w:rsidP="00F826D2" w:rsidRDefault="00F826D2" w14:paraId="624E5D96" w14:textId="77777777">
      <w:pPr>
        <w:autoSpaceDN w:val="0"/>
        <w:spacing w:after="0" w:line="240" w:lineRule="exact"/>
        <w:textAlignment w:val="baseline"/>
        <w:rPr>
          <w:rFonts w:eastAsia="DejaVu Sans" w:cs="Lohit Hindi"/>
          <w:color w:val="000000"/>
          <w:kern w:val="0"/>
          <w:szCs w:val="18"/>
          <w:lang w:val="nl-NL" w:eastAsia="nl-NL"/>
          <w14:ligatures w14:val="none"/>
        </w:rPr>
      </w:pPr>
    </w:p>
    <w:p w:rsidRPr="00F71351" w:rsidR="00F826D2" w:rsidP="00F826D2" w:rsidRDefault="00F826D2" w14:paraId="2299F76C" w14:textId="25A965CB">
      <w:pPr>
        <w:autoSpaceDN w:val="0"/>
        <w:spacing w:after="0" w:line="240" w:lineRule="exact"/>
        <w:textAlignment w:val="baseline"/>
        <w:rPr>
          <w:rFonts w:eastAsia="DejaVu Sans" w:cs="Lohit Hindi"/>
          <w:i/>
          <w:iCs/>
          <w:color w:val="000000"/>
          <w:kern w:val="0"/>
          <w:szCs w:val="18"/>
          <w:lang w:val="nl-NL" w:eastAsia="nl-NL"/>
          <w14:ligatures w14:val="none"/>
        </w:rPr>
      </w:pPr>
      <w:r w:rsidRPr="00F71351">
        <w:rPr>
          <w:rFonts w:eastAsia="DejaVu Sans" w:cs="Lohit Hindi"/>
          <w:color w:val="000000"/>
          <w:kern w:val="0"/>
          <w:szCs w:val="18"/>
          <w:lang w:val="nl-NL" w:eastAsia="nl-NL"/>
          <w14:ligatures w14:val="none"/>
        </w:rPr>
        <w:t xml:space="preserve">Daarnaast </w:t>
      </w:r>
      <w:r w:rsidRPr="00F71351" w:rsidR="00C50B47">
        <w:rPr>
          <w:rFonts w:eastAsia="DejaVu Sans" w:cs="Lohit Hindi"/>
          <w:color w:val="000000"/>
          <w:kern w:val="0"/>
          <w:szCs w:val="18"/>
          <w:lang w:val="nl-NL" w:eastAsia="nl-NL"/>
          <w14:ligatures w14:val="none"/>
        </w:rPr>
        <w:t xml:space="preserve">kunnen ouders </w:t>
      </w:r>
      <w:r w:rsidRPr="00F71351">
        <w:rPr>
          <w:rFonts w:eastAsia="DejaVu Sans" w:cs="Lohit Hindi"/>
          <w:color w:val="000000"/>
          <w:kern w:val="0"/>
          <w:szCs w:val="18"/>
          <w:lang w:val="nl-NL" w:eastAsia="nl-NL"/>
          <w14:ligatures w14:val="none"/>
        </w:rPr>
        <w:t xml:space="preserve">een beroep </w:t>
      </w:r>
      <w:r w:rsidRPr="00F71351" w:rsidR="00C50B47">
        <w:rPr>
          <w:rFonts w:eastAsia="DejaVu Sans" w:cs="Lohit Hindi"/>
          <w:color w:val="000000"/>
          <w:kern w:val="0"/>
          <w:szCs w:val="18"/>
          <w:lang w:val="nl-NL" w:eastAsia="nl-NL"/>
          <w14:ligatures w14:val="none"/>
        </w:rPr>
        <w:t xml:space="preserve">doen </w:t>
      </w:r>
      <w:r w:rsidRPr="00F71351">
        <w:rPr>
          <w:rFonts w:eastAsia="DejaVu Sans" w:cs="Lohit Hindi"/>
          <w:color w:val="000000"/>
          <w:kern w:val="0"/>
          <w:szCs w:val="18"/>
          <w:lang w:val="nl-NL" w:eastAsia="nl-NL"/>
          <w14:ligatures w14:val="none"/>
        </w:rPr>
        <w:t xml:space="preserve">op peuteropvang en voorschoolse educatie (VE). Beide zijn er voor peuters van 2,5 tot 4 jaar. Via peuteropvang kunnen peuters 2 dagdelen per week naar de opvang. VE is er specifiek voor kinderen die een risico hebben op een </w:t>
      </w:r>
      <w:r w:rsidRPr="00F71351" w:rsidR="008043DE">
        <w:rPr>
          <w:rFonts w:eastAsia="DejaVu Sans" w:cs="Lohit Hindi"/>
          <w:color w:val="000000"/>
          <w:kern w:val="0"/>
          <w:szCs w:val="18"/>
          <w:lang w:val="nl-NL" w:eastAsia="nl-NL"/>
          <w14:ligatures w14:val="none"/>
        </w:rPr>
        <w:t>taal</w:t>
      </w:r>
      <w:r w:rsidRPr="00F71351">
        <w:rPr>
          <w:rFonts w:eastAsia="DejaVu Sans" w:cs="Lohit Hindi"/>
          <w:color w:val="000000"/>
          <w:kern w:val="0"/>
          <w:szCs w:val="18"/>
          <w:lang w:val="nl-NL" w:eastAsia="nl-NL"/>
          <w14:ligatures w14:val="none"/>
        </w:rPr>
        <w:t xml:space="preserve">achterstand. </w:t>
      </w:r>
      <w:r w:rsidRPr="00F71351" w:rsidR="00B91894">
        <w:rPr>
          <w:rFonts w:eastAsia="DejaVu Sans" w:cs="Lohit Hindi"/>
          <w:color w:val="000000"/>
          <w:kern w:val="0"/>
          <w:szCs w:val="18"/>
          <w:lang w:val="nl-NL" w:eastAsia="nl-NL"/>
          <w14:ligatures w14:val="none"/>
        </w:rPr>
        <w:t xml:space="preserve">Deze </w:t>
      </w:r>
      <w:r w:rsidRPr="00F71351">
        <w:rPr>
          <w:rFonts w:eastAsia="DejaVu Sans" w:cs="Lohit Hindi"/>
          <w:color w:val="000000"/>
          <w:kern w:val="0"/>
          <w:szCs w:val="18"/>
          <w:lang w:val="nl-NL" w:eastAsia="nl-NL"/>
          <w14:ligatures w14:val="none"/>
        </w:rPr>
        <w:t>kind</w:t>
      </w:r>
      <w:r w:rsidRPr="00F71351" w:rsidR="00B91894">
        <w:rPr>
          <w:rFonts w:eastAsia="DejaVu Sans" w:cs="Lohit Hindi"/>
          <w:color w:val="000000"/>
          <w:kern w:val="0"/>
          <w:szCs w:val="18"/>
          <w:lang w:val="nl-NL" w:eastAsia="nl-NL"/>
          <w14:ligatures w14:val="none"/>
        </w:rPr>
        <w:t xml:space="preserve">eren gaan </w:t>
      </w:r>
      <w:r w:rsidRPr="00F71351">
        <w:rPr>
          <w:rFonts w:eastAsia="DejaVu Sans" w:cs="Lohit Hindi"/>
          <w:color w:val="000000"/>
          <w:kern w:val="0"/>
          <w:szCs w:val="18"/>
          <w:lang w:val="nl-NL" w:eastAsia="nl-NL"/>
          <w14:ligatures w14:val="none"/>
        </w:rPr>
        <w:t xml:space="preserve">dan 16 uur per week naar de kinderopvang en </w:t>
      </w:r>
      <w:r w:rsidRPr="00F71351" w:rsidR="00154CDC">
        <w:rPr>
          <w:rFonts w:eastAsia="DejaVu Sans" w:cs="Lohit Hindi"/>
          <w:color w:val="000000"/>
          <w:kern w:val="0"/>
          <w:szCs w:val="18"/>
          <w:lang w:val="nl-NL" w:eastAsia="nl-NL"/>
          <w14:ligatures w14:val="none"/>
        </w:rPr>
        <w:t xml:space="preserve">volgen </w:t>
      </w:r>
      <w:r w:rsidRPr="00F71351">
        <w:rPr>
          <w:rFonts w:eastAsia="DejaVu Sans" w:cs="Lohit Hindi"/>
          <w:color w:val="000000"/>
          <w:kern w:val="0"/>
          <w:szCs w:val="18"/>
          <w:lang w:val="nl-NL" w:eastAsia="nl-NL"/>
          <w14:ligatures w14:val="none"/>
        </w:rPr>
        <w:t xml:space="preserve">een speciaal programma om </w:t>
      </w:r>
      <w:r w:rsidRPr="00F71351" w:rsidR="001F4F9F">
        <w:rPr>
          <w:rFonts w:eastAsia="DejaVu Sans" w:cs="Lohit Hindi"/>
          <w:color w:val="000000"/>
          <w:kern w:val="0"/>
          <w:szCs w:val="18"/>
          <w:lang w:val="nl-NL" w:eastAsia="nl-NL"/>
          <w14:ligatures w14:val="none"/>
        </w:rPr>
        <w:t xml:space="preserve">de </w:t>
      </w:r>
      <w:r w:rsidRPr="00F71351">
        <w:rPr>
          <w:rFonts w:eastAsia="DejaVu Sans" w:cs="Lohit Hindi"/>
          <w:color w:val="000000"/>
          <w:kern w:val="0"/>
          <w:szCs w:val="18"/>
          <w:lang w:val="nl-NL" w:eastAsia="nl-NL"/>
          <w14:ligatures w14:val="none"/>
        </w:rPr>
        <w:t xml:space="preserve">ontwikkeling te stimuleren. </w:t>
      </w:r>
    </w:p>
    <w:p w:rsidRPr="00F71351" w:rsidR="00C50B47" w:rsidP="00F826D2" w:rsidRDefault="00C50B47" w14:paraId="75CF85F5" w14:textId="77777777">
      <w:pPr>
        <w:autoSpaceDN w:val="0"/>
        <w:spacing w:after="0" w:line="240" w:lineRule="exact"/>
        <w:textAlignment w:val="baseline"/>
        <w:rPr>
          <w:rFonts w:eastAsia="DejaVu Sans" w:cs="Lohit Hindi"/>
          <w:i/>
          <w:iCs/>
          <w:color w:val="000000"/>
          <w:kern w:val="0"/>
          <w:szCs w:val="18"/>
          <w:lang w:val="nl-NL" w:eastAsia="nl-NL"/>
          <w14:ligatures w14:val="none"/>
        </w:rPr>
      </w:pPr>
    </w:p>
    <w:p w:rsidRPr="00F71351" w:rsidR="00F826D2" w:rsidP="00F826D2" w:rsidRDefault="00F826D2" w14:paraId="07B5BF95" w14:textId="77777777">
      <w:pPr>
        <w:autoSpaceDN w:val="0"/>
        <w:spacing w:after="0" w:line="240" w:lineRule="exact"/>
        <w:textAlignment w:val="baseline"/>
        <w:rPr>
          <w:rFonts w:eastAsia="DejaVu Sans" w:cs="Lohit Hindi"/>
          <w:i/>
          <w:iCs/>
          <w:color w:val="000000"/>
          <w:kern w:val="0"/>
          <w:szCs w:val="18"/>
          <w:lang w:val="nl-NL" w:eastAsia="nl-NL"/>
          <w14:ligatures w14:val="none"/>
        </w:rPr>
      </w:pPr>
      <w:r w:rsidRPr="00F71351">
        <w:rPr>
          <w:rFonts w:eastAsia="DejaVu Sans" w:cs="Lohit Hindi"/>
          <w:i/>
          <w:iCs/>
          <w:color w:val="000000"/>
          <w:kern w:val="0"/>
          <w:szCs w:val="18"/>
          <w:lang w:val="nl-NL" w:eastAsia="nl-NL"/>
          <w14:ligatures w14:val="none"/>
        </w:rPr>
        <w:t>Maatschappelijke effecten verruimen</w:t>
      </w:r>
    </w:p>
    <w:p w:rsidRPr="00F71351" w:rsidR="00F826D2" w:rsidP="00F826D2" w:rsidRDefault="00DD281A" w14:paraId="62836655" w14:textId="521F309F">
      <w:pPr>
        <w:autoSpaceDN w:val="0"/>
        <w:spacing w:after="0" w:line="240" w:lineRule="exact"/>
        <w:textAlignment w:val="baseline"/>
        <w:rPr>
          <w:rFonts w:eastAsia="DejaVu Sans" w:cs="Lohit Hindi"/>
          <w:color w:val="000000"/>
          <w:kern w:val="0"/>
          <w:szCs w:val="18"/>
          <w:lang w:val="nl-NL" w:eastAsia="nl-NL"/>
          <w14:ligatures w14:val="none"/>
        </w:rPr>
      </w:pPr>
      <w:r w:rsidRPr="00F71351">
        <w:rPr>
          <w:rFonts w:eastAsia="DejaVu Sans" w:cs="Lohit Hindi"/>
          <w:color w:val="000000"/>
          <w:kern w:val="0"/>
          <w:szCs w:val="18"/>
          <w:lang w:val="nl-NL" w:eastAsia="nl-NL"/>
          <w14:ligatures w14:val="none"/>
        </w:rPr>
        <w:t xml:space="preserve">De beleidsdoelen van kinderopvang zijn (1) het </w:t>
      </w:r>
      <w:r w:rsidRPr="00F71351" w:rsidR="002610B3">
        <w:rPr>
          <w:rFonts w:eastAsia="DejaVu Sans" w:cs="Lohit Hindi"/>
          <w:color w:val="000000"/>
          <w:kern w:val="0"/>
          <w:szCs w:val="18"/>
          <w:lang w:val="nl-NL" w:eastAsia="nl-NL"/>
          <w14:ligatures w14:val="none"/>
        </w:rPr>
        <w:t>bevorderen</w:t>
      </w:r>
      <w:r w:rsidRPr="00F71351">
        <w:rPr>
          <w:rFonts w:eastAsia="DejaVu Sans" w:cs="Lohit Hindi"/>
          <w:color w:val="000000"/>
          <w:kern w:val="0"/>
          <w:szCs w:val="18"/>
          <w:lang w:val="nl-NL" w:eastAsia="nl-NL"/>
          <w14:ligatures w14:val="none"/>
        </w:rPr>
        <w:t xml:space="preserve"> van de arbeidsparticipatie en (2) het stimuleren van de ontwikkeling van kinderen. </w:t>
      </w:r>
      <w:r w:rsidRPr="00F71351" w:rsidR="002F6C5E">
        <w:rPr>
          <w:rFonts w:eastAsia="DejaVu Sans" w:cs="Lohit Hindi"/>
          <w:color w:val="000000"/>
          <w:kern w:val="0"/>
          <w:szCs w:val="18"/>
          <w:lang w:val="nl-NL" w:eastAsia="nl-NL"/>
          <w14:ligatures w14:val="none"/>
        </w:rPr>
        <w:t xml:space="preserve">Het verruimen van het recht op KOT voor voorliggende doelgroep draagt bij aan </w:t>
      </w:r>
      <w:r w:rsidRPr="00F71351" w:rsidR="002C1DF8">
        <w:rPr>
          <w:rFonts w:eastAsia="DejaVu Sans" w:cs="Lohit Hindi"/>
          <w:color w:val="000000"/>
          <w:kern w:val="0"/>
          <w:szCs w:val="18"/>
          <w:lang w:val="nl-NL" w:eastAsia="nl-NL"/>
          <w14:ligatures w14:val="none"/>
        </w:rPr>
        <w:t>de ontwikkeling van kinderen</w:t>
      </w:r>
      <w:r w:rsidRPr="00F71351" w:rsidR="002F6C5E">
        <w:rPr>
          <w:rFonts w:eastAsia="DejaVu Sans" w:cs="Lohit Hindi"/>
          <w:color w:val="000000"/>
          <w:kern w:val="0"/>
          <w:szCs w:val="18"/>
          <w:lang w:val="nl-NL" w:eastAsia="nl-NL"/>
          <w14:ligatures w14:val="none"/>
        </w:rPr>
        <w:t xml:space="preserve">. </w:t>
      </w:r>
      <w:r w:rsidRPr="00F71351" w:rsidR="00F826D2">
        <w:rPr>
          <w:rFonts w:eastAsia="DejaVu Sans" w:cs="Lohit Hindi"/>
          <w:color w:val="000000"/>
          <w:kern w:val="0"/>
          <w:szCs w:val="18"/>
          <w:lang w:val="nl-NL" w:eastAsia="nl-NL"/>
          <w14:ligatures w14:val="none"/>
        </w:rPr>
        <w:t xml:space="preserve">Uit de gesprekken met ondersteuners en de literatuur volgen </w:t>
      </w:r>
      <w:r w:rsidRPr="00F71351" w:rsidR="00440BA6">
        <w:rPr>
          <w:rFonts w:eastAsia="DejaVu Sans" w:cs="Lohit Hindi"/>
          <w:color w:val="000000"/>
          <w:kern w:val="0"/>
          <w:szCs w:val="18"/>
          <w:lang w:val="nl-NL" w:eastAsia="nl-NL"/>
          <w14:ligatures w14:val="none"/>
        </w:rPr>
        <w:t xml:space="preserve">namelijk </w:t>
      </w:r>
      <w:r w:rsidRPr="00F71351" w:rsidR="00F826D2">
        <w:rPr>
          <w:rFonts w:eastAsia="DejaVu Sans" w:cs="Lohit Hindi"/>
          <w:color w:val="000000"/>
          <w:kern w:val="0"/>
          <w:szCs w:val="18"/>
          <w:lang w:val="nl-NL" w:eastAsia="nl-NL"/>
          <w14:ligatures w14:val="none"/>
        </w:rPr>
        <w:t xml:space="preserve">een aantal voordelen van het gebruik van formele kinderopvang voor de kinderen van de doelgroep. Het blijkt dat de ouders uit de doelgroep over het algemeen moeite hebben met het bieden van stabiele en uitdagende thuissituatie. Dit kan tot ontwikkelingsachterstanden leiden. Daarbij komt dat een (licht) verstandelijke beperking een erfelijk component heeft. Daardoor is er een verhoogde kans dat hun kinderen ook een ontwikkelingsachterstand oplopen. Gunstige opgroeiomstandigheden kunnen de kans hierop </w:t>
      </w:r>
      <w:r w:rsidRPr="00F71351" w:rsidR="00715555">
        <w:rPr>
          <w:rFonts w:eastAsia="DejaVu Sans" w:cs="Lohit Hindi"/>
          <w:color w:val="000000"/>
          <w:kern w:val="0"/>
          <w:szCs w:val="18"/>
          <w:lang w:val="nl-NL" w:eastAsia="nl-NL"/>
          <w14:ligatures w14:val="none"/>
        </w:rPr>
        <w:t>verkleinen</w:t>
      </w:r>
      <w:r w:rsidRPr="00F71351" w:rsidR="00F826D2">
        <w:rPr>
          <w:rFonts w:eastAsia="DejaVu Sans" w:cs="Lohit Hindi"/>
          <w:color w:val="000000"/>
          <w:kern w:val="0"/>
          <w:szCs w:val="18"/>
          <w:lang w:val="nl-NL" w:eastAsia="nl-NL"/>
          <w14:ligatures w14:val="none"/>
        </w:rPr>
        <w:t>.</w:t>
      </w:r>
      <w:r w:rsidRPr="00F71351" w:rsidR="00F826D2">
        <w:rPr>
          <w:rFonts w:eastAsia="DejaVu Sans" w:cs="Lohit Hindi"/>
          <w:color w:val="000000"/>
          <w:kern w:val="0"/>
          <w:szCs w:val="18"/>
          <w:vertAlign w:val="superscript"/>
          <w:lang w:val="nl-NL" w:eastAsia="nl-NL"/>
          <w14:ligatures w14:val="none"/>
        </w:rPr>
        <w:footnoteReference w:id="2"/>
      </w:r>
      <w:r w:rsidRPr="00F71351" w:rsidR="00F826D2">
        <w:rPr>
          <w:rFonts w:eastAsia="DejaVu Sans" w:cs="Lohit Hindi"/>
          <w:color w:val="000000"/>
          <w:kern w:val="0"/>
          <w:szCs w:val="18"/>
          <w:lang w:val="nl-NL" w:eastAsia="nl-NL"/>
          <w14:ligatures w14:val="none"/>
        </w:rPr>
        <w:t xml:space="preserve"> </w:t>
      </w:r>
    </w:p>
    <w:p w:rsidRPr="00F71351" w:rsidR="00F826D2" w:rsidP="00F826D2" w:rsidRDefault="00F826D2" w14:paraId="65F9B55A" w14:textId="77777777">
      <w:pPr>
        <w:autoSpaceDN w:val="0"/>
        <w:spacing w:after="0" w:line="240" w:lineRule="exact"/>
        <w:textAlignment w:val="baseline"/>
        <w:rPr>
          <w:rFonts w:eastAsia="DejaVu Sans" w:cs="Lohit Hindi"/>
          <w:color w:val="000000"/>
          <w:kern w:val="0"/>
          <w:szCs w:val="18"/>
          <w:lang w:val="nl-NL" w:eastAsia="nl-NL"/>
          <w14:ligatures w14:val="none"/>
        </w:rPr>
      </w:pPr>
    </w:p>
    <w:p w:rsidRPr="00F71351" w:rsidR="00B637F1" w:rsidP="00F826D2" w:rsidRDefault="00F826D2" w14:paraId="7C9C709D" w14:textId="057719D0">
      <w:pPr>
        <w:autoSpaceDN w:val="0"/>
        <w:spacing w:after="0" w:line="240" w:lineRule="exact"/>
        <w:textAlignment w:val="baseline"/>
        <w:rPr>
          <w:rFonts w:eastAsia="DejaVu Sans" w:cs="Lohit Hindi"/>
          <w:color w:val="000000"/>
          <w:kern w:val="0"/>
          <w:szCs w:val="18"/>
          <w:lang w:val="nl-NL" w:eastAsia="nl-NL"/>
          <w14:ligatures w14:val="none"/>
        </w:rPr>
      </w:pPr>
      <w:r w:rsidRPr="00F71351">
        <w:rPr>
          <w:rFonts w:eastAsia="DejaVu Sans" w:cs="Lohit Hindi"/>
          <w:color w:val="000000"/>
          <w:kern w:val="0"/>
          <w:szCs w:val="18"/>
          <w:lang w:val="nl-NL" w:eastAsia="nl-NL"/>
          <w14:ligatures w14:val="none"/>
        </w:rPr>
        <w:t xml:space="preserve">Kinderopvang biedt </w:t>
      </w:r>
      <w:r w:rsidRPr="00F71351" w:rsidR="005177FA">
        <w:rPr>
          <w:rFonts w:eastAsia="DejaVu Sans" w:cs="Lohit Hindi"/>
          <w:color w:val="000000"/>
          <w:kern w:val="0"/>
          <w:szCs w:val="18"/>
          <w:lang w:val="nl-NL" w:eastAsia="nl-NL"/>
          <w14:ligatures w14:val="none"/>
        </w:rPr>
        <w:t xml:space="preserve">deze </w:t>
      </w:r>
      <w:r w:rsidRPr="00F71351">
        <w:rPr>
          <w:rFonts w:eastAsia="DejaVu Sans" w:cs="Lohit Hindi"/>
          <w:color w:val="000000"/>
          <w:kern w:val="0"/>
          <w:szCs w:val="18"/>
          <w:lang w:val="nl-NL" w:eastAsia="nl-NL"/>
          <w14:ligatures w14:val="none"/>
        </w:rPr>
        <w:t>stabiele en uitdagende omgeving voor kinderen.</w:t>
      </w:r>
      <w:r w:rsidRPr="00F71351">
        <w:rPr>
          <w:rFonts w:eastAsia="Times New Roman" w:cs="Lohit Hindi"/>
          <w:color w:val="000000"/>
          <w:kern w:val="0"/>
          <w:szCs w:val="18"/>
          <w:vertAlign w:val="superscript"/>
          <w:lang w:val="nl-NL" w:eastAsia="nl-NL"/>
          <w14:ligatures w14:val="none"/>
        </w:rPr>
        <w:footnoteReference w:id="3"/>
      </w:r>
      <w:r w:rsidRPr="00F71351">
        <w:rPr>
          <w:rFonts w:eastAsia="Times New Roman" w:cs="Lohit Hindi"/>
          <w:color w:val="000000"/>
          <w:kern w:val="0"/>
          <w:szCs w:val="18"/>
          <w:lang w:val="nl-NL" w:eastAsia="nl-NL"/>
          <w14:ligatures w14:val="none"/>
        </w:rPr>
        <w:t xml:space="preserve"> </w:t>
      </w:r>
      <w:r w:rsidRPr="00F71351">
        <w:rPr>
          <w:rFonts w:eastAsia="DejaVu Sans" w:cs="Lohit Hindi"/>
          <w:color w:val="000000"/>
          <w:kern w:val="0"/>
          <w:szCs w:val="18"/>
          <w:lang w:val="nl-NL" w:eastAsia="nl-NL"/>
          <w14:ligatures w14:val="none"/>
        </w:rPr>
        <w:t>Kinderen profiteren hiervan waardoor de kans op ontwikkelingsachterstanden afneemt.</w:t>
      </w:r>
      <w:r w:rsidRPr="00F71351">
        <w:rPr>
          <w:rFonts w:eastAsia="DejaVu Sans" w:cs="Lohit Hindi"/>
          <w:color w:val="000000"/>
          <w:kern w:val="0"/>
          <w:szCs w:val="18"/>
          <w:vertAlign w:val="superscript"/>
          <w:lang w:val="nl-NL" w:eastAsia="nl-NL"/>
          <w14:ligatures w14:val="none"/>
        </w:rPr>
        <w:footnoteReference w:id="4"/>
      </w:r>
      <w:r w:rsidRPr="00F71351">
        <w:rPr>
          <w:rFonts w:eastAsia="DejaVu Sans" w:cs="Lohit Hindi"/>
          <w:color w:val="000000"/>
          <w:kern w:val="0"/>
          <w:szCs w:val="18"/>
          <w:lang w:val="nl-NL" w:eastAsia="nl-NL"/>
          <w14:ligatures w14:val="none"/>
        </w:rPr>
        <w:t xml:space="preserve"> Bovendien hebben ouders zelf ook baat bij de stabiliteit en structuur die formele kinderopvang biedt. De doelgroep kan in de huidige situatie ondersteuning krijgen voor kinderopvang via gemeentelijke regelingen. </w:t>
      </w:r>
      <w:r w:rsidRPr="00F71351" w:rsidR="002A16EA">
        <w:rPr>
          <w:rFonts w:eastAsia="DejaVu Sans" w:cs="Lohit Hindi"/>
          <w:color w:val="000000"/>
          <w:kern w:val="0"/>
          <w:szCs w:val="18"/>
          <w:lang w:val="nl-NL" w:eastAsia="nl-NL"/>
          <w14:ligatures w14:val="none"/>
        </w:rPr>
        <w:t xml:space="preserve">Het voorliggende </w:t>
      </w:r>
      <w:r w:rsidRPr="00F71351">
        <w:rPr>
          <w:rFonts w:eastAsia="DejaVu Sans" w:cs="Lohit Hindi"/>
          <w:color w:val="000000"/>
          <w:kern w:val="0"/>
          <w:szCs w:val="18"/>
          <w:lang w:val="nl-NL" w:eastAsia="nl-NL"/>
          <w14:ligatures w14:val="none"/>
        </w:rPr>
        <w:t>alternatief is om het recht op KOT uit te breiden</w:t>
      </w:r>
      <w:r w:rsidRPr="00F71351" w:rsidR="0097069D">
        <w:rPr>
          <w:rFonts w:eastAsia="DejaVu Sans" w:cs="Lohit Hindi"/>
          <w:color w:val="000000"/>
          <w:kern w:val="0"/>
          <w:szCs w:val="18"/>
          <w:lang w:val="nl-NL" w:eastAsia="nl-NL"/>
          <w14:ligatures w14:val="none"/>
        </w:rPr>
        <w:t xml:space="preserve"> voor alleenstaanden of tweeoudergezinnen met beide een Wlz-indicatie</w:t>
      </w:r>
      <w:r w:rsidRPr="00F71351">
        <w:rPr>
          <w:rFonts w:eastAsia="DejaVu Sans" w:cs="Lohit Hindi"/>
          <w:color w:val="000000"/>
          <w:kern w:val="0"/>
          <w:szCs w:val="18"/>
          <w:lang w:val="nl-NL" w:eastAsia="nl-NL"/>
          <w14:ligatures w14:val="none"/>
        </w:rPr>
        <w:t xml:space="preserve">. </w:t>
      </w:r>
    </w:p>
    <w:p w:rsidRPr="00F71351" w:rsidR="00B637F1" w:rsidP="00F826D2" w:rsidRDefault="00B637F1" w14:paraId="231A4490" w14:textId="77777777">
      <w:pPr>
        <w:autoSpaceDN w:val="0"/>
        <w:spacing w:after="0" w:line="240" w:lineRule="exact"/>
        <w:textAlignment w:val="baseline"/>
        <w:rPr>
          <w:rFonts w:eastAsia="DejaVu Sans" w:cs="Lohit Hindi"/>
          <w:color w:val="000000"/>
          <w:kern w:val="0"/>
          <w:szCs w:val="18"/>
          <w:lang w:val="nl-NL" w:eastAsia="nl-NL"/>
          <w14:ligatures w14:val="none"/>
        </w:rPr>
      </w:pPr>
    </w:p>
    <w:p w:rsidRPr="00F71351" w:rsidR="00F826D2" w:rsidP="00BB1AD8" w:rsidRDefault="00B637F1" w14:paraId="102E9895" w14:textId="50C7D515">
      <w:pPr>
        <w:autoSpaceDN w:val="0"/>
        <w:spacing w:after="0" w:line="240" w:lineRule="exact"/>
        <w:textAlignment w:val="baseline"/>
        <w:rPr>
          <w:rFonts w:eastAsia="DejaVu Sans" w:cs="Lohit Hindi"/>
          <w:color w:val="000000"/>
          <w:kern w:val="0"/>
          <w:szCs w:val="18"/>
          <w:lang w:val="nl-NL" w:eastAsia="nl-NL"/>
          <w14:ligatures w14:val="none"/>
        </w:rPr>
      </w:pPr>
      <w:r w:rsidRPr="00F71351">
        <w:rPr>
          <w:rFonts w:eastAsia="DejaVu Sans" w:cs="Lohit Hindi"/>
          <w:color w:val="000000"/>
          <w:kern w:val="0"/>
          <w:szCs w:val="18"/>
          <w:lang w:val="nl-NL" w:eastAsia="nl-NL"/>
          <w14:ligatures w14:val="none"/>
        </w:rPr>
        <w:t>Aandachtspunt bij KOT voor de voorliggende doelgroep is dat er een eigen bijdrage betaald dient te worden</w:t>
      </w:r>
      <w:r w:rsidRPr="00F71351" w:rsidR="008533EC">
        <w:rPr>
          <w:rFonts w:eastAsia="DejaVu Sans" w:cs="Lohit Hindi"/>
          <w:color w:val="000000"/>
          <w:kern w:val="0"/>
          <w:szCs w:val="18"/>
          <w:lang w:val="nl-NL" w:eastAsia="nl-NL"/>
          <w14:ligatures w14:val="none"/>
        </w:rPr>
        <w:t xml:space="preserve">. Ook vraagt </w:t>
      </w:r>
      <w:r w:rsidRPr="00F71351">
        <w:rPr>
          <w:rFonts w:eastAsia="DejaVu Sans" w:cs="Lohit Hindi"/>
          <w:color w:val="000000"/>
          <w:kern w:val="0"/>
          <w:szCs w:val="18"/>
          <w:lang w:val="nl-NL" w:eastAsia="nl-NL"/>
          <w14:ligatures w14:val="none"/>
        </w:rPr>
        <w:t>h</w:t>
      </w:r>
      <w:r w:rsidRPr="00F71351" w:rsidR="00F826D2">
        <w:rPr>
          <w:rFonts w:eastAsia="DejaVu Sans" w:cs="Lohit Hindi"/>
          <w:color w:val="000000"/>
          <w:kern w:val="0"/>
          <w:szCs w:val="18"/>
          <w:lang w:val="nl-NL" w:eastAsia="nl-NL"/>
          <w14:ligatures w14:val="none"/>
        </w:rPr>
        <w:t xml:space="preserve">et toeslagenstelsel om een </w:t>
      </w:r>
      <w:r w:rsidR="00D82A46">
        <w:rPr>
          <w:rFonts w:eastAsia="DejaVu Sans" w:cs="Lohit Hindi"/>
          <w:color w:val="000000"/>
          <w:kern w:val="0"/>
          <w:szCs w:val="18"/>
          <w:lang w:val="nl-NL" w:eastAsia="nl-NL"/>
          <w14:ligatures w14:val="none"/>
        </w:rPr>
        <w:t>bepaald doenvermogen</w:t>
      </w:r>
      <w:r w:rsidRPr="00F71351" w:rsidR="00F826D2">
        <w:rPr>
          <w:rFonts w:eastAsia="DejaVu Sans" w:cs="Lohit Hindi"/>
          <w:color w:val="000000"/>
          <w:kern w:val="0"/>
          <w:szCs w:val="18"/>
          <w:lang w:val="nl-NL" w:eastAsia="nl-NL"/>
          <w14:ligatures w14:val="none"/>
        </w:rPr>
        <w:t xml:space="preserve"> </w:t>
      </w:r>
      <w:r w:rsidRPr="00F71351" w:rsidR="008533EC">
        <w:rPr>
          <w:rFonts w:eastAsia="DejaVu Sans" w:cs="Lohit Hindi"/>
          <w:color w:val="000000"/>
          <w:kern w:val="0"/>
          <w:szCs w:val="18"/>
          <w:lang w:val="nl-NL" w:eastAsia="nl-NL"/>
          <w14:ligatures w14:val="none"/>
        </w:rPr>
        <w:t xml:space="preserve">en </w:t>
      </w:r>
      <w:r w:rsidRPr="00F71351" w:rsidR="00641C05">
        <w:rPr>
          <w:rFonts w:eastAsia="DejaVu Sans" w:cs="Lohit Hindi"/>
          <w:color w:val="000000"/>
          <w:kern w:val="0"/>
          <w:szCs w:val="18"/>
          <w:lang w:val="nl-NL" w:eastAsia="nl-NL"/>
          <w14:ligatures w14:val="none"/>
        </w:rPr>
        <w:t xml:space="preserve">gaat </w:t>
      </w:r>
      <w:r w:rsidRPr="00F71351" w:rsidR="008533EC">
        <w:rPr>
          <w:rFonts w:eastAsia="DejaVu Sans" w:cs="Lohit Hindi"/>
          <w:color w:val="000000"/>
          <w:kern w:val="0"/>
          <w:szCs w:val="18"/>
          <w:lang w:val="nl-NL" w:eastAsia="nl-NL"/>
          <w14:ligatures w14:val="none"/>
        </w:rPr>
        <w:t xml:space="preserve">gepaard </w:t>
      </w:r>
      <w:r w:rsidRPr="00F71351" w:rsidR="00F826D2">
        <w:rPr>
          <w:rFonts w:eastAsia="DejaVu Sans" w:cs="Lohit Hindi"/>
          <w:color w:val="000000"/>
          <w:kern w:val="0"/>
          <w:szCs w:val="18"/>
          <w:lang w:val="nl-NL" w:eastAsia="nl-NL"/>
          <w14:ligatures w14:val="none"/>
        </w:rPr>
        <w:t xml:space="preserve">met een risico op terugvorderingen. Ouders moeten zelf veranderingen in het inkomen of in het gebruik doorgeven. </w:t>
      </w:r>
      <w:r w:rsidRPr="00F71351" w:rsidR="00B45AAE">
        <w:rPr>
          <w:rFonts w:eastAsia="DejaVu Sans" w:cs="Lohit Hindi"/>
          <w:color w:val="000000"/>
          <w:kern w:val="0"/>
          <w:szCs w:val="18"/>
          <w:lang w:val="nl-NL" w:eastAsia="nl-NL"/>
          <w14:ligatures w14:val="none"/>
        </w:rPr>
        <w:t>Van cliëntondersteuners horen we terug dat d</w:t>
      </w:r>
      <w:r w:rsidRPr="00F71351" w:rsidR="00F826D2">
        <w:rPr>
          <w:rFonts w:eastAsia="DejaVu Sans" w:cs="Lohit Hindi"/>
          <w:color w:val="000000"/>
          <w:kern w:val="0"/>
          <w:szCs w:val="18"/>
          <w:lang w:val="nl-NL" w:eastAsia="nl-NL"/>
          <w14:ligatures w14:val="none"/>
        </w:rPr>
        <w:t xml:space="preserve">e doelgroep </w:t>
      </w:r>
      <w:r w:rsidRPr="00F71351" w:rsidR="00B45AAE">
        <w:rPr>
          <w:rFonts w:eastAsia="DejaVu Sans" w:cs="Lohit Hindi"/>
          <w:color w:val="000000"/>
          <w:kern w:val="0"/>
          <w:szCs w:val="18"/>
          <w:lang w:val="nl-NL" w:eastAsia="nl-NL"/>
          <w14:ligatures w14:val="none"/>
        </w:rPr>
        <w:t>meestal</w:t>
      </w:r>
      <w:r w:rsidRPr="00F71351" w:rsidR="00F826D2">
        <w:rPr>
          <w:rFonts w:eastAsia="DejaVu Sans" w:cs="Lohit Hindi"/>
          <w:color w:val="000000"/>
          <w:kern w:val="0"/>
          <w:szCs w:val="18"/>
          <w:lang w:val="nl-NL" w:eastAsia="nl-NL"/>
          <w14:ligatures w14:val="none"/>
        </w:rPr>
        <w:t xml:space="preserve"> een uitkering </w:t>
      </w:r>
      <w:r w:rsidRPr="00F71351" w:rsidR="00B45AAE">
        <w:rPr>
          <w:rFonts w:eastAsia="DejaVu Sans" w:cs="Lohit Hindi"/>
          <w:color w:val="000000"/>
          <w:kern w:val="0"/>
          <w:szCs w:val="18"/>
          <w:lang w:val="nl-NL" w:eastAsia="nl-NL"/>
          <w14:ligatures w14:val="none"/>
        </w:rPr>
        <w:t xml:space="preserve">ontvangt </w:t>
      </w:r>
      <w:r w:rsidRPr="00F71351" w:rsidR="00F826D2">
        <w:rPr>
          <w:rFonts w:eastAsia="DejaVu Sans" w:cs="Lohit Hindi"/>
          <w:color w:val="000000"/>
          <w:kern w:val="0"/>
          <w:szCs w:val="18"/>
          <w:lang w:val="nl-NL" w:eastAsia="nl-NL"/>
          <w14:ligatures w14:val="none"/>
        </w:rPr>
        <w:t>die relatief stabiel is</w:t>
      </w:r>
      <w:r w:rsidRPr="00F71351" w:rsidR="005E11FF">
        <w:rPr>
          <w:rFonts w:eastAsia="DejaVu Sans" w:cs="Lohit Hindi"/>
          <w:color w:val="000000"/>
          <w:kern w:val="0"/>
          <w:szCs w:val="18"/>
          <w:lang w:val="nl-NL" w:eastAsia="nl-NL"/>
          <w14:ligatures w14:val="none"/>
        </w:rPr>
        <w:t xml:space="preserve">. Dit </w:t>
      </w:r>
      <w:r w:rsidRPr="00F71351" w:rsidR="00D82A46">
        <w:rPr>
          <w:rFonts w:eastAsia="DejaVu Sans" w:cs="Lohit Hindi"/>
          <w:color w:val="000000"/>
          <w:kern w:val="0"/>
          <w:szCs w:val="18"/>
          <w:lang w:val="nl-NL" w:eastAsia="nl-NL"/>
          <w14:ligatures w14:val="none"/>
        </w:rPr>
        <w:t>verlaag</w:t>
      </w:r>
      <w:r w:rsidR="00D82A46">
        <w:rPr>
          <w:rFonts w:eastAsia="DejaVu Sans" w:cs="Lohit Hindi"/>
          <w:color w:val="000000"/>
          <w:kern w:val="0"/>
          <w:szCs w:val="18"/>
          <w:lang w:val="nl-NL" w:eastAsia="nl-NL"/>
          <w14:ligatures w14:val="none"/>
        </w:rPr>
        <w:t>t</w:t>
      </w:r>
      <w:r w:rsidRPr="00F71351" w:rsidR="00D82A46">
        <w:rPr>
          <w:rFonts w:eastAsia="DejaVu Sans" w:cs="Lohit Hindi"/>
          <w:color w:val="000000"/>
          <w:kern w:val="0"/>
          <w:szCs w:val="18"/>
          <w:lang w:val="nl-NL" w:eastAsia="nl-NL"/>
          <w14:ligatures w14:val="none"/>
        </w:rPr>
        <w:t xml:space="preserve"> </w:t>
      </w:r>
      <w:r w:rsidRPr="00F71351" w:rsidR="005E11FF">
        <w:rPr>
          <w:rFonts w:eastAsia="DejaVu Sans" w:cs="Lohit Hindi"/>
          <w:color w:val="000000"/>
          <w:kern w:val="0"/>
          <w:szCs w:val="18"/>
          <w:lang w:val="nl-NL" w:eastAsia="nl-NL"/>
          <w14:ligatures w14:val="none"/>
        </w:rPr>
        <w:t xml:space="preserve">het risico op terugvorderingen. </w:t>
      </w:r>
      <w:r w:rsidRPr="00F71351" w:rsidR="00596693">
        <w:rPr>
          <w:rFonts w:eastAsia="DejaVu Sans" w:cs="Lohit Hindi"/>
          <w:color w:val="000000"/>
          <w:kern w:val="0"/>
          <w:szCs w:val="18"/>
          <w:lang w:val="nl-NL" w:eastAsia="nl-NL"/>
          <w14:ligatures w14:val="none"/>
        </w:rPr>
        <w:t xml:space="preserve">Cliëntondersteuners </w:t>
      </w:r>
      <w:r w:rsidRPr="00F71351" w:rsidR="005E11FF">
        <w:rPr>
          <w:rFonts w:eastAsia="DejaVu Sans" w:cs="Lohit Hindi"/>
          <w:color w:val="000000"/>
          <w:kern w:val="0"/>
          <w:szCs w:val="18"/>
          <w:lang w:val="nl-NL" w:eastAsia="nl-NL"/>
          <w14:ligatures w14:val="none"/>
        </w:rPr>
        <w:t>noemen dat wi</w:t>
      </w:r>
      <w:r w:rsidRPr="00F71351" w:rsidR="00F826D2">
        <w:rPr>
          <w:rFonts w:eastAsia="DejaVu Sans" w:cs="Lohit Hindi"/>
          <w:color w:val="000000"/>
          <w:kern w:val="0"/>
          <w:szCs w:val="18"/>
          <w:lang w:val="nl-NL" w:eastAsia="nl-NL"/>
          <w14:ligatures w14:val="none"/>
        </w:rPr>
        <w:t xml:space="preserve">jzigingen in afgenomen uren </w:t>
      </w:r>
      <w:r w:rsidRPr="00F71351" w:rsidR="005E11FF">
        <w:rPr>
          <w:rFonts w:eastAsia="DejaVu Sans" w:cs="Lohit Hindi"/>
          <w:color w:val="000000"/>
          <w:kern w:val="0"/>
          <w:szCs w:val="18"/>
          <w:lang w:val="nl-NL" w:eastAsia="nl-NL"/>
          <w14:ligatures w14:val="none"/>
        </w:rPr>
        <w:t xml:space="preserve">daarentegen </w:t>
      </w:r>
      <w:r w:rsidRPr="00F71351" w:rsidR="00F826D2">
        <w:rPr>
          <w:rFonts w:eastAsia="DejaVu Sans" w:cs="Lohit Hindi"/>
          <w:color w:val="000000"/>
          <w:kern w:val="0"/>
          <w:szCs w:val="18"/>
          <w:lang w:val="nl-NL" w:eastAsia="nl-NL"/>
          <w14:ligatures w14:val="none"/>
        </w:rPr>
        <w:t xml:space="preserve">wel van invloed </w:t>
      </w:r>
      <w:r w:rsidRPr="00F71351" w:rsidR="005E11FF">
        <w:rPr>
          <w:rFonts w:eastAsia="DejaVu Sans" w:cs="Lohit Hindi"/>
          <w:color w:val="000000"/>
          <w:kern w:val="0"/>
          <w:szCs w:val="18"/>
          <w:lang w:val="nl-NL" w:eastAsia="nl-NL"/>
          <w14:ligatures w14:val="none"/>
        </w:rPr>
        <w:t xml:space="preserve">kunnen </w:t>
      </w:r>
      <w:r w:rsidRPr="00F71351" w:rsidR="00F826D2">
        <w:rPr>
          <w:rFonts w:eastAsia="DejaVu Sans" w:cs="Lohit Hindi"/>
          <w:color w:val="000000"/>
          <w:kern w:val="0"/>
          <w:szCs w:val="18"/>
          <w:lang w:val="nl-NL" w:eastAsia="nl-NL"/>
          <w14:ligatures w14:val="none"/>
        </w:rPr>
        <w:t xml:space="preserve">zijn. </w:t>
      </w:r>
    </w:p>
    <w:p w:rsidRPr="00F71351" w:rsidR="00F826D2" w:rsidP="00F826D2" w:rsidRDefault="00345117" w14:paraId="66A04080" w14:textId="10E013CF">
      <w:pPr>
        <w:autoSpaceDN w:val="0"/>
        <w:spacing w:before="240" w:after="0" w:line="240" w:lineRule="exact"/>
        <w:textAlignment w:val="baseline"/>
        <w:outlineLvl w:val="1"/>
        <w:rPr>
          <w:rFonts w:eastAsia="DejaVu Sans" w:cs="Lohit Hindi"/>
          <w:i/>
          <w:color w:val="000000"/>
          <w:kern w:val="0"/>
          <w:szCs w:val="18"/>
          <w:lang w:val="nl-NL" w:eastAsia="nl-NL"/>
          <w14:ligatures w14:val="none"/>
        </w:rPr>
      </w:pPr>
      <w:r w:rsidRPr="00F71351">
        <w:rPr>
          <w:rFonts w:eastAsia="DejaVu Sans" w:cs="Lohit Hindi"/>
          <w:i/>
          <w:color w:val="000000"/>
          <w:kern w:val="0"/>
          <w:szCs w:val="18"/>
          <w:lang w:val="nl-NL" w:eastAsia="nl-NL"/>
          <w14:ligatures w14:val="none"/>
        </w:rPr>
        <w:t>Effecten arbeidsparticipatie verruimen</w:t>
      </w:r>
    </w:p>
    <w:p w:rsidRPr="00F71351" w:rsidR="00F826D2" w:rsidP="00F826D2" w:rsidRDefault="00F826D2" w14:paraId="6154540F" w14:textId="5E294E5B">
      <w:pPr>
        <w:autoSpaceDN w:val="0"/>
        <w:spacing w:after="0" w:line="240" w:lineRule="exact"/>
        <w:textAlignment w:val="baseline"/>
        <w:rPr>
          <w:rFonts w:eastAsia="DejaVu Sans" w:cs="Lohit Hindi"/>
          <w:color w:val="000000"/>
          <w:kern w:val="0"/>
          <w:szCs w:val="18"/>
          <w:lang w:val="nl-NL" w:eastAsia="nl-NL"/>
          <w14:ligatures w14:val="none"/>
        </w:rPr>
      </w:pPr>
      <w:r w:rsidRPr="00F71351">
        <w:rPr>
          <w:rFonts w:eastAsia="DejaVu Sans" w:cs="Lohit Hindi"/>
          <w:color w:val="000000"/>
          <w:kern w:val="0"/>
          <w:szCs w:val="18"/>
          <w:lang w:val="nl-NL" w:eastAsia="nl-NL"/>
          <w14:ligatures w14:val="none"/>
        </w:rPr>
        <w:t xml:space="preserve">De KOT is gericht op het ondersteunen van werkende ouders. Daarom is er ten tijde van de initiële wetswijziging voor gekozen om de doelgroep te beperken tot gezinnen waarin één ouder een Wlz-indicatie heeft en de andere ouder werkt. Dit om de andere ouder in staat te </w:t>
      </w:r>
      <w:r w:rsidR="00D82A46">
        <w:rPr>
          <w:rFonts w:eastAsia="DejaVu Sans" w:cs="Lohit Hindi"/>
          <w:color w:val="000000"/>
          <w:kern w:val="0"/>
          <w:szCs w:val="18"/>
          <w:lang w:val="nl-NL" w:eastAsia="nl-NL"/>
          <w14:ligatures w14:val="none"/>
        </w:rPr>
        <w:t>stellen</w:t>
      </w:r>
      <w:r w:rsidRPr="00F71351">
        <w:rPr>
          <w:rFonts w:eastAsia="DejaVu Sans" w:cs="Lohit Hindi"/>
          <w:color w:val="000000"/>
          <w:kern w:val="0"/>
          <w:szCs w:val="18"/>
          <w:lang w:val="nl-NL" w:eastAsia="nl-NL"/>
          <w14:ligatures w14:val="none"/>
        </w:rPr>
        <w:t xml:space="preserve"> om te blijven werken. </w:t>
      </w:r>
      <w:r w:rsidRPr="00F71351" w:rsidR="00D82B13">
        <w:rPr>
          <w:rFonts w:eastAsia="DejaVu Sans" w:cs="Lohit Hindi"/>
          <w:color w:val="000000"/>
          <w:kern w:val="0"/>
          <w:szCs w:val="18"/>
          <w:lang w:val="nl-NL" w:eastAsia="nl-NL"/>
          <w14:ligatures w14:val="none"/>
        </w:rPr>
        <w:t>Dit sluit aan bij het eerste beleidsdoel.</w:t>
      </w:r>
      <w:r w:rsidRPr="00F71351" w:rsidR="00F778FA">
        <w:rPr>
          <w:rFonts w:eastAsia="DejaVu Sans" w:cs="Lohit Hindi"/>
          <w:color w:val="000000"/>
          <w:kern w:val="0"/>
          <w:szCs w:val="18"/>
          <w:lang w:val="nl-NL" w:eastAsia="nl-NL"/>
          <w14:ligatures w14:val="none"/>
        </w:rPr>
        <w:t xml:space="preserve"> </w:t>
      </w:r>
      <w:r w:rsidRPr="00F71351">
        <w:rPr>
          <w:rFonts w:eastAsia="DejaVu Sans" w:cs="Lohit Hindi"/>
          <w:color w:val="000000"/>
          <w:kern w:val="0"/>
          <w:szCs w:val="18"/>
          <w:lang w:val="nl-NL" w:eastAsia="nl-NL"/>
          <w14:ligatures w14:val="none"/>
        </w:rPr>
        <w:t xml:space="preserve">De voorliggende maatregel betekent dat de relatie met werk wordt losgelaten. Er wordt dan enkel gekeken naar de ontwikkeling van het kind. </w:t>
      </w:r>
    </w:p>
    <w:p w:rsidRPr="00F71351" w:rsidR="00F826D2" w:rsidP="00F826D2" w:rsidRDefault="00F826D2" w14:paraId="7B29B1AA" w14:textId="77777777">
      <w:pPr>
        <w:autoSpaceDN w:val="0"/>
        <w:spacing w:before="240" w:after="0" w:line="240" w:lineRule="exact"/>
        <w:textAlignment w:val="baseline"/>
        <w:outlineLvl w:val="1"/>
        <w:rPr>
          <w:rFonts w:eastAsia="DejaVu Sans" w:cs="Lohit Hindi"/>
          <w:i/>
          <w:color w:val="000000"/>
          <w:kern w:val="0"/>
          <w:szCs w:val="18"/>
          <w:lang w:val="nl-NL" w:eastAsia="nl-NL"/>
          <w14:ligatures w14:val="none"/>
        </w:rPr>
      </w:pPr>
      <w:r w:rsidRPr="00F71351">
        <w:rPr>
          <w:rFonts w:eastAsia="DejaVu Sans" w:cs="Lohit Hindi"/>
          <w:i/>
          <w:color w:val="000000"/>
          <w:kern w:val="0"/>
          <w:szCs w:val="18"/>
          <w:lang w:val="nl-NL" w:eastAsia="nl-NL"/>
          <w14:ligatures w14:val="none"/>
        </w:rPr>
        <w:t>Uitvoeringstechnische gevolgen</w:t>
      </w:r>
    </w:p>
    <w:p w:rsidRPr="00F71351" w:rsidR="00F826D2" w:rsidP="00F826D2" w:rsidRDefault="00D82A46" w14:paraId="5DF814F0" w14:textId="674A2EA4">
      <w:pPr>
        <w:autoSpaceDN w:val="0"/>
        <w:spacing w:after="0" w:line="276" w:lineRule="auto"/>
        <w:textAlignment w:val="baseline"/>
        <w:rPr>
          <w:rFonts w:eastAsia="DejaVu Sans" w:cs="Lohit Hindi"/>
          <w:color w:val="000000"/>
          <w:kern w:val="0"/>
          <w:szCs w:val="18"/>
          <w:lang w:val="nl-NL" w:eastAsia="nl-NL"/>
          <w14:ligatures w14:val="none"/>
        </w:rPr>
      </w:pPr>
      <w:r>
        <w:rPr>
          <w:rFonts w:eastAsia="DejaVu Sans" w:cs="Lohit Hindi"/>
          <w:color w:val="000000"/>
          <w:kern w:val="0"/>
          <w:szCs w:val="18"/>
          <w:lang w:val="nl-NL" w:eastAsia="nl-NL"/>
          <w14:ligatures w14:val="none"/>
        </w:rPr>
        <w:t>Een</w:t>
      </w:r>
      <w:r w:rsidRPr="00F71351">
        <w:rPr>
          <w:rFonts w:eastAsia="DejaVu Sans" w:cs="Lohit Hindi"/>
          <w:color w:val="000000"/>
          <w:kern w:val="0"/>
          <w:szCs w:val="18"/>
          <w:lang w:val="nl-NL" w:eastAsia="nl-NL"/>
          <w14:ligatures w14:val="none"/>
        </w:rPr>
        <w:t xml:space="preserve"> </w:t>
      </w:r>
      <w:r w:rsidRPr="00F71351" w:rsidR="00F826D2">
        <w:rPr>
          <w:rFonts w:eastAsia="DejaVu Sans" w:cs="Lohit Hindi"/>
          <w:color w:val="000000"/>
          <w:kern w:val="0"/>
          <w:szCs w:val="18"/>
          <w:lang w:val="nl-NL" w:eastAsia="nl-NL"/>
          <w14:ligatures w14:val="none"/>
        </w:rPr>
        <w:t>wetswijziging vormt een versimpeling van het stelsel omdat Dienst Toeslagen niet meer hoeft te controleren op de aanwezigheid van een partner en of de partner voldoet aan de arbeidseis. Versimpelingen maken het stelsel beter uitvoerbaar. Deze maatregel draagt daarom bij aan de uitvoerbaarheid van het stelsel. Voor uitvoering van de uitbreiding kan worden aangesloten op processen die Dienst Toeslagen eerder al heeft ingericht voor de initiële wetswijziging uit 2021. We verwachten daarom dat de uitvoering relatief eenvoudig is en dat de eenmalige uitvoeringskosten beperkt zijn.</w:t>
      </w:r>
    </w:p>
    <w:p w:rsidRPr="00F71351" w:rsidR="00F826D2" w:rsidP="00F826D2" w:rsidRDefault="00F826D2" w14:paraId="11482643" w14:textId="77777777">
      <w:pPr>
        <w:autoSpaceDN w:val="0"/>
        <w:spacing w:before="240" w:after="0" w:line="240" w:lineRule="exact"/>
        <w:textAlignment w:val="baseline"/>
        <w:outlineLvl w:val="1"/>
        <w:rPr>
          <w:rFonts w:eastAsia="DejaVu Sans" w:cs="Lohit Hindi"/>
          <w:i/>
          <w:color w:val="000000"/>
          <w:kern w:val="0"/>
          <w:szCs w:val="18"/>
          <w:lang w:val="nl-NL" w:eastAsia="nl-NL"/>
          <w14:ligatures w14:val="none"/>
        </w:rPr>
      </w:pPr>
      <w:r w:rsidRPr="00F71351">
        <w:rPr>
          <w:rFonts w:eastAsia="DejaVu Sans" w:cs="Lohit Hindi"/>
          <w:i/>
          <w:color w:val="000000"/>
          <w:kern w:val="0"/>
          <w:szCs w:val="18"/>
          <w:lang w:val="nl-NL" w:eastAsia="nl-NL"/>
          <w14:ligatures w14:val="none"/>
        </w:rPr>
        <w:t>Financiële gevolgen</w:t>
      </w:r>
    </w:p>
    <w:p w:rsidRPr="00F71351" w:rsidR="00F826D2" w:rsidP="00F826D2" w:rsidRDefault="00C57E3B" w14:paraId="17F0A179" w14:textId="34379B1A">
      <w:pPr>
        <w:autoSpaceDN w:val="0"/>
        <w:spacing w:after="0" w:line="240" w:lineRule="exact"/>
        <w:textAlignment w:val="baseline"/>
        <w:rPr>
          <w:rFonts w:eastAsia="DejaVu Sans" w:cs="Lohit Hindi"/>
          <w:color w:val="000000"/>
          <w:kern w:val="0"/>
          <w:szCs w:val="18"/>
          <w:lang w:val="nl-NL" w:eastAsia="nl-NL"/>
          <w14:ligatures w14:val="none"/>
        </w:rPr>
      </w:pPr>
      <w:r>
        <w:rPr>
          <w:rFonts w:eastAsia="DejaVu Sans" w:cs="Lohit Hindi"/>
          <w:color w:val="000000"/>
          <w:kern w:val="0"/>
          <w:szCs w:val="18"/>
          <w:lang w:val="nl-NL" w:eastAsia="nl-NL"/>
          <w14:ligatures w14:val="none"/>
        </w:rPr>
        <w:t>Een eerste inschatting is</w:t>
      </w:r>
      <w:r w:rsidRPr="00F71351" w:rsidR="00696F5D">
        <w:rPr>
          <w:rFonts w:eastAsia="DejaVu Sans" w:cs="Lohit Hindi"/>
          <w:color w:val="000000"/>
          <w:kern w:val="0"/>
          <w:szCs w:val="18"/>
          <w:lang w:val="nl-NL" w:eastAsia="nl-NL"/>
          <w14:ligatures w14:val="none"/>
        </w:rPr>
        <w:t xml:space="preserve"> dat er circa 1.100 extra kinderen naar de opvang gaan als het recht </w:t>
      </w:r>
      <w:r w:rsidRPr="00F71351" w:rsidR="00D82A46">
        <w:rPr>
          <w:rFonts w:eastAsia="DejaVu Sans" w:cs="Lohit Hindi"/>
          <w:color w:val="000000"/>
          <w:kern w:val="0"/>
          <w:szCs w:val="18"/>
          <w:lang w:val="nl-NL" w:eastAsia="nl-NL"/>
          <w14:ligatures w14:val="none"/>
        </w:rPr>
        <w:t>verruim</w:t>
      </w:r>
      <w:r w:rsidR="00D82A46">
        <w:rPr>
          <w:rFonts w:eastAsia="DejaVu Sans" w:cs="Lohit Hindi"/>
          <w:color w:val="000000"/>
          <w:kern w:val="0"/>
          <w:szCs w:val="18"/>
          <w:lang w:val="nl-NL" w:eastAsia="nl-NL"/>
          <w14:ligatures w14:val="none"/>
        </w:rPr>
        <w:t>d</w:t>
      </w:r>
      <w:r w:rsidRPr="00F71351" w:rsidR="00D82A46">
        <w:rPr>
          <w:rFonts w:eastAsia="DejaVu Sans" w:cs="Lohit Hindi"/>
          <w:color w:val="000000"/>
          <w:kern w:val="0"/>
          <w:szCs w:val="18"/>
          <w:lang w:val="nl-NL" w:eastAsia="nl-NL"/>
          <w14:ligatures w14:val="none"/>
        </w:rPr>
        <w:t xml:space="preserve"> </w:t>
      </w:r>
      <w:r w:rsidRPr="00F71351" w:rsidR="00696F5D">
        <w:rPr>
          <w:rFonts w:eastAsia="DejaVu Sans" w:cs="Lohit Hindi"/>
          <w:color w:val="000000"/>
          <w:kern w:val="0"/>
          <w:szCs w:val="18"/>
          <w:lang w:val="nl-NL" w:eastAsia="nl-NL"/>
          <w14:ligatures w14:val="none"/>
        </w:rPr>
        <w:t xml:space="preserve">zou worden. De uitgaven aan de KOT zouden dan circa € 12 miljoen per jaar stijgen. </w:t>
      </w:r>
      <w:r w:rsidRPr="00F71351" w:rsidR="00357B20">
        <w:rPr>
          <w:rFonts w:eastAsia="DejaVu Sans" w:cs="Lohit Hindi"/>
          <w:color w:val="000000"/>
          <w:kern w:val="0"/>
          <w:szCs w:val="18"/>
          <w:lang w:val="nl-NL" w:eastAsia="nl-NL"/>
          <w14:ligatures w14:val="none"/>
        </w:rPr>
        <w:t xml:space="preserve">Hierbij is onder andere rekening gehouden met de verwachting </w:t>
      </w:r>
      <w:r w:rsidRPr="00F71351" w:rsidR="00F826D2">
        <w:rPr>
          <w:rFonts w:eastAsia="DejaVu Sans" w:cs="Lohit Hindi"/>
          <w:color w:val="000000"/>
          <w:kern w:val="0"/>
          <w:szCs w:val="18"/>
          <w:lang w:val="nl-NL" w:eastAsia="nl-NL"/>
          <w14:ligatures w14:val="none"/>
        </w:rPr>
        <w:t>dat ouders met een WLZ-indicatie een bovengemiddeld sterke behoefte aan kinderopvang hebben</w:t>
      </w:r>
      <w:r w:rsidRPr="00F71351" w:rsidR="00357B20">
        <w:rPr>
          <w:rFonts w:eastAsia="DejaVu Sans" w:cs="Lohit Hindi"/>
          <w:color w:val="000000"/>
          <w:kern w:val="0"/>
          <w:szCs w:val="18"/>
          <w:lang w:val="nl-NL" w:eastAsia="nl-NL"/>
          <w14:ligatures w14:val="none"/>
        </w:rPr>
        <w:t xml:space="preserve"> en dat het</w:t>
      </w:r>
      <w:r w:rsidRPr="00F71351" w:rsidR="00F826D2">
        <w:rPr>
          <w:rFonts w:eastAsia="DejaVu Sans" w:cs="Lohit Hindi"/>
          <w:color w:val="000000"/>
          <w:kern w:val="0"/>
          <w:szCs w:val="18"/>
          <w:lang w:val="nl-NL" w:eastAsia="nl-NL"/>
          <w14:ligatures w14:val="none"/>
        </w:rPr>
        <w:t xml:space="preserve"> niet voor de hand </w:t>
      </w:r>
      <w:r w:rsidRPr="00F71351" w:rsidR="00357B20">
        <w:rPr>
          <w:rFonts w:eastAsia="DejaVu Sans" w:cs="Lohit Hindi"/>
          <w:color w:val="000000"/>
          <w:kern w:val="0"/>
          <w:szCs w:val="18"/>
          <w:lang w:val="nl-NL" w:eastAsia="nl-NL"/>
          <w14:ligatures w14:val="none"/>
        </w:rPr>
        <w:t xml:space="preserve">ligt </w:t>
      </w:r>
      <w:r w:rsidRPr="00F71351" w:rsidR="00F826D2">
        <w:rPr>
          <w:rFonts w:eastAsia="DejaVu Sans" w:cs="Lohit Hindi"/>
          <w:color w:val="000000"/>
          <w:kern w:val="0"/>
          <w:szCs w:val="18"/>
          <w:lang w:val="nl-NL" w:eastAsia="nl-NL"/>
          <w14:ligatures w14:val="none"/>
        </w:rPr>
        <w:t xml:space="preserve">dat zij maximaal van kinderopvang gebruik gaan maken, omdat er ook een eigen bijdrage geldt. </w:t>
      </w:r>
      <w:r w:rsidRPr="00F71351" w:rsidR="00357B20">
        <w:rPr>
          <w:rFonts w:eastAsia="DejaVu Sans" w:cs="Lohit Hindi"/>
          <w:color w:val="000000"/>
          <w:kern w:val="0"/>
          <w:szCs w:val="18"/>
          <w:lang w:val="nl-NL" w:eastAsia="nl-NL"/>
          <w14:ligatures w14:val="none"/>
        </w:rPr>
        <w:t>H</w:t>
      </w:r>
      <w:r w:rsidRPr="00F71351" w:rsidR="00F826D2">
        <w:rPr>
          <w:rFonts w:eastAsia="DejaVu Sans" w:cs="Lohit Hindi"/>
          <w:color w:val="000000"/>
          <w:kern w:val="0"/>
          <w:szCs w:val="18"/>
          <w:lang w:val="nl-NL" w:eastAsia="nl-NL"/>
          <w14:ligatures w14:val="none"/>
        </w:rPr>
        <w:t xml:space="preserve">et deelnamepercentage van 0 t/m 3-jarige </w:t>
      </w:r>
      <w:r w:rsidRPr="00F71351" w:rsidR="00357B20">
        <w:rPr>
          <w:rFonts w:eastAsia="DejaVu Sans" w:cs="Lohit Hindi"/>
          <w:color w:val="000000"/>
          <w:kern w:val="0"/>
          <w:szCs w:val="18"/>
          <w:lang w:val="nl-NL" w:eastAsia="nl-NL"/>
          <w14:ligatures w14:val="none"/>
        </w:rPr>
        <w:t xml:space="preserve">is daarom geschat </w:t>
      </w:r>
      <w:r w:rsidRPr="00F71351" w:rsidR="00F826D2">
        <w:rPr>
          <w:rFonts w:eastAsia="DejaVu Sans" w:cs="Lohit Hindi"/>
          <w:color w:val="000000"/>
          <w:kern w:val="0"/>
          <w:szCs w:val="18"/>
          <w:lang w:val="nl-NL" w:eastAsia="nl-NL"/>
          <w14:ligatures w14:val="none"/>
        </w:rPr>
        <w:t xml:space="preserve">op 85% en van 4 t/m 11-jarige </w:t>
      </w:r>
      <w:r w:rsidRPr="00F71351" w:rsidR="00F826D2">
        <w:rPr>
          <w:rFonts w:eastAsia="DejaVu Sans" w:cs="Lohit Hindi"/>
          <w:color w:val="000000"/>
          <w:kern w:val="0"/>
          <w:szCs w:val="18"/>
          <w:lang w:val="nl-NL" w:eastAsia="nl-NL"/>
          <w14:ligatures w14:val="none"/>
        </w:rPr>
        <w:lastRenderedPageBreak/>
        <w:t>op 60%.</w:t>
      </w:r>
      <w:r w:rsidRPr="00F71351" w:rsidR="00F826D2">
        <w:rPr>
          <w:rFonts w:eastAsia="DejaVu Sans" w:cs="Lohit Hindi"/>
          <w:color w:val="000000"/>
          <w:kern w:val="0"/>
          <w:szCs w:val="18"/>
          <w:vertAlign w:val="superscript"/>
          <w:lang w:val="nl-NL" w:eastAsia="nl-NL"/>
          <w14:ligatures w14:val="none"/>
        </w:rPr>
        <w:footnoteReference w:id="5"/>
      </w:r>
      <w:r w:rsidRPr="00F71351" w:rsidR="00F826D2">
        <w:rPr>
          <w:rFonts w:eastAsia="DejaVu Sans" w:cs="Lohit Hindi"/>
          <w:color w:val="000000"/>
          <w:kern w:val="0"/>
          <w:szCs w:val="18"/>
          <w:lang w:val="nl-NL" w:eastAsia="nl-NL"/>
          <w14:ligatures w14:val="none"/>
        </w:rPr>
        <w:t xml:space="preserve"> Voor het gemiddelde gebruik van kinderopvang is uitgegaan van 3 dagen per week. In de reguliere KOT</w:t>
      </w:r>
      <w:r w:rsidRPr="00F71351" w:rsidR="00F826D2">
        <w:rPr>
          <w:rFonts w:eastAsia="DejaVu Sans" w:cs="Lohit Hindi"/>
          <w:color w:val="000000"/>
          <w:kern w:val="0"/>
          <w:szCs w:val="18"/>
          <w:lang w:val="nl-NL" w:eastAsia="nl-NL"/>
          <w14:ligatures w14:val="none"/>
        </w:rPr>
        <w:noBreakHyphen/>
        <w:t xml:space="preserve">populatie is dit naar benadering 2 dagen. </w:t>
      </w:r>
    </w:p>
    <w:tbl>
      <w:tblPr>
        <w:tblpPr w:leftFromText="141" w:rightFromText="141" w:vertAnchor="text" w:horzAnchor="margin" w:tblpY="286"/>
        <w:tblW w:w="4986" w:type="pct"/>
        <w:tblCellMar>
          <w:left w:w="70" w:type="dxa"/>
          <w:right w:w="70" w:type="dxa"/>
        </w:tblCellMar>
        <w:tblLook w:val="04A0" w:firstRow="1" w:lastRow="0" w:firstColumn="1" w:lastColumn="0" w:noHBand="0" w:noVBand="1"/>
      </w:tblPr>
      <w:tblGrid>
        <w:gridCol w:w="4160"/>
        <w:gridCol w:w="1576"/>
        <w:gridCol w:w="1576"/>
        <w:gridCol w:w="1570"/>
      </w:tblGrid>
      <w:tr w:rsidRPr="00F71351" w:rsidR="00F826D2" w:rsidTr="0054179A" w14:paraId="023A6975" w14:textId="77777777">
        <w:trPr>
          <w:trHeight w:val="256"/>
        </w:trPr>
        <w:tc>
          <w:tcPr>
            <w:tcW w:w="2342" w:type="pct"/>
            <w:tcBorders>
              <w:top w:val="single" w:color="auto" w:sz="4" w:space="0"/>
              <w:left w:val="nil"/>
              <w:bottom w:val="single" w:color="auto" w:sz="4" w:space="0"/>
              <w:right w:val="single" w:color="auto" w:sz="4" w:space="0"/>
            </w:tcBorders>
            <w:shd w:val="clear" w:color="000000" w:fill="F9E11E"/>
            <w:noWrap/>
            <w:vAlign w:val="center"/>
            <w:hideMark/>
          </w:tcPr>
          <w:p w:rsidRPr="00F71351" w:rsidR="00F826D2" w:rsidP="0054179A" w:rsidRDefault="00F826D2" w14:paraId="056F5D3A" w14:textId="77777777">
            <w:pPr>
              <w:autoSpaceDN w:val="0"/>
              <w:spacing w:after="0" w:line="240" w:lineRule="auto"/>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 </w:t>
            </w:r>
          </w:p>
        </w:tc>
        <w:tc>
          <w:tcPr>
            <w:tcW w:w="887" w:type="pct"/>
            <w:tcBorders>
              <w:top w:val="single" w:color="auto" w:sz="4" w:space="0"/>
              <w:left w:val="nil"/>
              <w:bottom w:val="single" w:color="auto" w:sz="4" w:space="0"/>
              <w:right w:val="nil"/>
            </w:tcBorders>
            <w:shd w:val="clear" w:color="000000" w:fill="F9E11E"/>
            <w:noWrap/>
            <w:vAlign w:val="center"/>
            <w:hideMark/>
          </w:tcPr>
          <w:p w:rsidRPr="00F71351" w:rsidR="00F826D2" w:rsidP="0054179A" w:rsidRDefault="00F826D2" w14:paraId="1C582B60" w14:textId="77777777">
            <w:pPr>
              <w:autoSpaceDN w:val="0"/>
              <w:spacing w:after="0" w:line="240" w:lineRule="auto"/>
              <w:jc w:val="right"/>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Dagopvang</w:t>
            </w:r>
          </w:p>
        </w:tc>
        <w:tc>
          <w:tcPr>
            <w:tcW w:w="887" w:type="pct"/>
            <w:tcBorders>
              <w:top w:val="single" w:color="auto" w:sz="4" w:space="0"/>
              <w:left w:val="nil"/>
              <w:bottom w:val="single" w:color="auto" w:sz="4" w:space="0"/>
              <w:right w:val="single" w:color="auto" w:sz="4" w:space="0"/>
            </w:tcBorders>
            <w:shd w:val="clear" w:color="000000" w:fill="F9E11E"/>
            <w:noWrap/>
            <w:vAlign w:val="center"/>
            <w:hideMark/>
          </w:tcPr>
          <w:p w:rsidRPr="00F71351" w:rsidR="00F826D2" w:rsidP="0054179A" w:rsidRDefault="00F826D2" w14:paraId="7D84C947" w14:textId="77777777">
            <w:pPr>
              <w:autoSpaceDN w:val="0"/>
              <w:spacing w:after="0" w:line="240" w:lineRule="auto"/>
              <w:jc w:val="right"/>
              <w:textAlignment w:val="baseline"/>
              <w:rPr>
                <w:rFonts w:eastAsia="Times New Roman" w:cs="Calibri"/>
                <w:color w:val="000000"/>
                <w:kern w:val="0"/>
                <w:szCs w:val="18"/>
                <w:lang w:val="nl-NL" w:eastAsia="nl-NL"/>
                <w14:ligatures w14:val="none"/>
              </w:rPr>
            </w:pPr>
            <w:proofErr w:type="spellStart"/>
            <w:r w:rsidRPr="00F71351">
              <w:rPr>
                <w:rFonts w:eastAsia="Times New Roman" w:cs="Calibri"/>
                <w:color w:val="000000"/>
                <w:kern w:val="0"/>
                <w:szCs w:val="18"/>
                <w:lang w:val="nl-NL" w:eastAsia="nl-NL"/>
                <w14:ligatures w14:val="none"/>
              </w:rPr>
              <w:t>Bso</w:t>
            </w:r>
            <w:proofErr w:type="spellEnd"/>
          </w:p>
        </w:tc>
        <w:tc>
          <w:tcPr>
            <w:tcW w:w="884" w:type="pct"/>
            <w:tcBorders>
              <w:top w:val="single" w:color="auto" w:sz="4" w:space="0"/>
              <w:left w:val="nil"/>
              <w:bottom w:val="single" w:color="auto" w:sz="4" w:space="0"/>
              <w:right w:val="nil"/>
            </w:tcBorders>
            <w:shd w:val="clear" w:color="000000" w:fill="F9E11E"/>
            <w:noWrap/>
            <w:vAlign w:val="center"/>
            <w:hideMark/>
          </w:tcPr>
          <w:p w:rsidRPr="00F71351" w:rsidR="00F826D2" w:rsidP="0054179A" w:rsidRDefault="00F826D2" w14:paraId="6A2AACF7" w14:textId="77777777">
            <w:pPr>
              <w:autoSpaceDN w:val="0"/>
              <w:spacing w:after="0" w:line="240" w:lineRule="auto"/>
              <w:jc w:val="right"/>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Totaal</w:t>
            </w:r>
          </w:p>
        </w:tc>
      </w:tr>
      <w:tr w:rsidRPr="00F71351" w:rsidR="00F826D2" w:rsidTr="0054179A" w14:paraId="6D847DC4" w14:textId="77777777">
        <w:trPr>
          <w:trHeight w:val="256"/>
        </w:trPr>
        <w:tc>
          <w:tcPr>
            <w:tcW w:w="2342" w:type="pct"/>
            <w:tcBorders>
              <w:top w:val="nil"/>
              <w:left w:val="nil"/>
              <w:bottom w:val="nil"/>
              <w:right w:val="single" w:color="auto" w:sz="4" w:space="0"/>
            </w:tcBorders>
            <w:shd w:val="clear" w:color="auto" w:fill="auto"/>
            <w:noWrap/>
            <w:vAlign w:val="center"/>
            <w:hideMark/>
          </w:tcPr>
          <w:p w:rsidRPr="00F71351" w:rsidR="00F826D2" w:rsidP="0054179A" w:rsidRDefault="00F826D2" w14:paraId="15EC6C4C" w14:textId="77777777">
            <w:pPr>
              <w:autoSpaceDN w:val="0"/>
              <w:spacing w:after="0" w:line="240" w:lineRule="auto"/>
              <w:textAlignment w:val="baseline"/>
              <w:rPr>
                <w:rFonts w:eastAsia="Times New Roman" w:cs="Calibri"/>
                <w:i/>
                <w:iCs/>
                <w:color w:val="000000"/>
                <w:kern w:val="0"/>
                <w:szCs w:val="18"/>
                <w:lang w:val="nl-NL" w:eastAsia="nl-NL"/>
                <w14:ligatures w14:val="none"/>
              </w:rPr>
            </w:pPr>
            <w:r w:rsidRPr="00F71351">
              <w:rPr>
                <w:rFonts w:eastAsia="Times New Roman" w:cs="Calibri"/>
                <w:i/>
                <w:iCs/>
                <w:color w:val="000000"/>
                <w:kern w:val="0"/>
                <w:szCs w:val="18"/>
                <w:lang w:val="nl-NL" w:eastAsia="nl-NL"/>
                <w14:ligatures w14:val="none"/>
              </w:rPr>
              <w:t>Aantallen kinderen</w:t>
            </w:r>
          </w:p>
        </w:tc>
        <w:tc>
          <w:tcPr>
            <w:tcW w:w="887" w:type="pct"/>
            <w:tcBorders>
              <w:top w:val="nil"/>
              <w:left w:val="nil"/>
              <w:bottom w:val="nil"/>
              <w:right w:val="nil"/>
            </w:tcBorders>
            <w:shd w:val="clear" w:color="auto" w:fill="auto"/>
            <w:noWrap/>
            <w:vAlign w:val="center"/>
            <w:hideMark/>
          </w:tcPr>
          <w:p w:rsidRPr="00F71351" w:rsidR="00F826D2" w:rsidP="0054179A" w:rsidRDefault="00F826D2" w14:paraId="2A035B55" w14:textId="77777777">
            <w:pPr>
              <w:autoSpaceDN w:val="0"/>
              <w:spacing w:after="0" w:line="240" w:lineRule="auto"/>
              <w:textAlignment w:val="baseline"/>
              <w:rPr>
                <w:rFonts w:eastAsia="Times New Roman" w:cs="Calibri"/>
                <w:i/>
                <w:iCs/>
                <w:color w:val="000000"/>
                <w:kern w:val="0"/>
                <w:szCs w:val="18"/>
                <w:lang w:val="nl-NL" w:eastAsia="nl-NL"/>
                <w14:ligatures w14:val="none"/>
              </w:rPr>
            </w:pPr>
          </w:p>
        </w:tc>
        <w:tc>
          <w:tcPr>
            <w:tcW w:w="887" w:type="pct"/>
            <w:tcBorders>
              <w:top w:val="nil"/>
              <w:left w:val="nil"/>
              <w:bottom w:val="nil"/>
              <w:right w:val="single" w:color="auto" w:sz="4" w:space="0"/>
            </w:tcBorders>
            <w:shd w:val="clear" w:color="auto" w:fill="auto"/>
            <w:noWrap/>
            <w:vAlign w:val="center"/>
            <w:hideMark/>
          </w:tcPr>
          <w:p w:rsidRPr="00F71351" w:rsidR="00F826D2" w:rsidP="0054179A" w:rsidRDefault="00F826D2" w14:paraId="5DD38D71" w14:textId="77777777">
            <w:pPr>
              <w:autoSpaceDN w:val="0"/>
              <w:spacing w:after="0" w:line="240" w:lineRule="auto"/>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 </w:t>
            </w:r>
          </w:p>
        </w:tc>
        <w:tc>
          <w:tcPr>
            <w:tcW w:w="884" w:type="pct"/>
            <w:tcBorders>
              <w:top w:val="nil"/>
              <w:left w:val="nil"/>
              <w:bottom w:val="nil"/>
              <w:right w:val="nil"/>
            </w:tcBorders>
            <w:shd w:val="clear" w:color="auto" w:fill="auto"/>
            <w:noWrap/>
            <w:vAlign w:val="center"/>
            <w:hideMark/>
          </w:tcPr>
          <w:p w:rsidRPr="00F71351" w:rsidR="00F826D2" w:rsidP="0054179A" w:rsidRDefault="00F826D2" w14:paraId="17E5FF6C" w14:textId="77777777">
            <w:pPr>
              <w:autoSpaceDN w:val="0"/>
              <w:spacing w:after="0" w:line="240" w:lineRule="auto"/>
              <w:textAlignment w:val="baseline"/>
              <w:rPr>
                <w:rFonts w:eastAsia="Times New Roman" w:cs="Calibri"/>
                <w:color w:val="000000"/>
                <w:kern w:val="0"/>
                <w:szCs w:val="18"/>
                <w:lang w:val="nl-NL" w:eastAsia="nl-NL"/>
                <w14:ligatures w14:val="none"/>
              </w:rPr>
            </w:pPr>
          </w:p>
        </w:tc>
      </w:tr>
      <w:tr w:rsidRPr="00F71351" w:rsidR="00F826D2" w:rsidTr="0054179A" w14:paraId="3099B26A" w14:textId="77777777">
        <w:trPr>
          <w:trHeight w:val="256"/>
        </w:trPr>
        <w:tc>
          <w:tcPr>
            <w:tcW w:w="2342" w:type="pct"/>
            <w:tcBorders>
              <w:top w:val="nil"/>
              <w:left w:val="nil"/>
              <w:bottom w:val="nil"/>
              <w:right w:val="single" w:color="auto" w:sz="4" w:space="0"/>
            </w:tcBorders>
            <w:shd w:val="clear" w:color="auto" w:fill="auto"/>
            <w:noWrap/>
            <w:vAlign w:val="center"/>
            <w:hideMark/>
          </w:tcPr>
          <w:p w:rsidRPr="00F71351" w:rsidR="00F826D2" w:rsidP="0054179A" w:rsidRDefault="00F826D2" w14:paraId="0ED9B680" w14:textId="77777777">
            <w:pPr>
              <w:autoSpaceDN w:val="0"/>
              <w:spacing w:after="0" w:line="240" w:lineRule="auto"/>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Aantal kinderen van Wlz-ouders</w:t>
            </w:r>
          </w:p>
        </w:tc>
        <w:tc>
          <w:tcPr>
            <w:tcW w:w="887" w:type="pct"/>
            <w:tcBorders>
              <w:top w:val="nil"/>
              <w:left w:val="nil"/>
              <w:bottom w:val="nil"/>
              <w:right w:val="nil"/>
            </w:tcBorders>
            <w:shd w:val="clear" w:color="auto" w:fill="auto"/>
            <w:noWrap/>
            <w:vAlign w:val="center"/>
            <w:hideMark/>
          </w:tcPr>
          <w:p w:rsidRPr="00F71351" w:rsidR="00F826D2" w:rsidP="0054179A" w:rsidRDefault="00F826D2" w14:paraId="513B0E5C" w14:textId="77777777">
            <w:pPr>
              <w:autoSpaceDN w:val="0"/>
              <w:spacing w:after="0" w:line="240" w:lineRule="auto"/>
              <w:jc w:val="right"/>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573</w:t>
            </w:r>
          </w:p>
        </w:tc>
        <w:tc>
          <w:tcPr>
            <w:tcW w:w="887" w:type="pct"/>
            <w:tcBorders>
              <w:top w:val="nil"/>
              <w:left w:val="nil"/>
              <w:bottom w:val="nil"/>
              <w:right w:val="single" w:color="auto" w:sz="4" w:space="0"/>
            </w:tcBorders>
            <w:shd w:val="clear" w:color="auto" w:fill="auto"/>
            <w:noWrap/>
            <w:vAlign w:val="center"/>
            <w:hideMark/>
          </w:tcPr>
          <w:p w:rsidRPr="00F71351" w:rsidR="00F826D2" w:rsidP="0054179A" w:rsidRDefault="00F826D2" w14:paraId="61A2D2A9" w14:textId="77777777">
            <w:pPr>
              <w:autoSpaceDN w:val="0"/>
              <w:spacing w:after="0" w:line="240" w:lineRule="auto"/>
              <w:jc w:val="right"/>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1 060</w:t>
            </w:r>
          </w:p>
        </w:tc>
        <w:tc>
          <w:tcPr>
            <w:tcW w:w="884" w:type="pct"/>
            <w:tcBorders>
              <w:top w:val="nil"/>
              <w:left w:val="nil"/>
              <w:bottom w:val="nil"/>
              <w:right w:val="nil"/>
            </w:tcBorders>
            <w:shd w:val="clear" w:color="auto" w:fill="auto"/>
            <w:noWrap/>
            <w:vAlign w:val="center"/>
            <w:hideMark/>
          </w:tcPr>
          <w:p w:rsidRPr="00F71351" w:rsidR="00F826D2" w:rsidP="0054179A" w:rsidRDefault="00F826D2" w14:paraId="3E78852C" w14:textId="77777777">
            <w:pPr>
              <w:autoSpaceDN w:val="0"/>
              <w:spacing w:after="0" w:line="240" w:lineRule="auto"/>
              <w:jc w:val="right"/>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1 633</w:t>
            </w:r>
          </w:p>
        </w:tc>
      </w:tr>
      <w:tr w:rsidRPr="00F71351" w:rsidR="00F826D2" w:rsidTr="0054179A" w14:paraId="55B709D5" w14:textId="77777777">
        <w:trPr>
          <w:trHeight w:val="256"/>
        </w:trPr>
        <w:tc>
          <w:tcPr>
            <w:tcW w:w="2342" w:type="pct"/>
            <w:tcBorders>
              <w:top w:val="nil"/>
              <w:left w:val="nil"/>
              <w:bottom w:val="nil"/>
              <w:right w:val="single" w:color="auto" w:sz="4" w:space="0"/>
            </w:tcBorders>
            <w:shd w:val="clear" w:color="auto" w:fill="auto"/>
            <w:noWrap/>
            <w:vAlign w:val="center"/>
            <w:hideMark/>
          </w:tcPr>
          <w:p w:rsidRPr="00F71351" w:rsidR="00F826D2" w:rsidP="0054179A" w:rsidRDefault="00F826D2" w14:paraId="135E66A6" w14:textId="77777777">
            <w:pPr>
              <w:autoSpaceDN w:val="0"/>
              <w:spacing w:after="0" w:line="240" w:lineRule="auto"/>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Deelname</w:t>
            </w:r>
          </w:p>
        </w:tc>
        <w:tc>
          <w:tcPr>
            <w:tcW w:w="887" w:type="pct"/>
            <w:tcBorders>
              <w:top w:val="nil"/>
              <w:left w:val="nil"/>
              <w:bottom w:val="nil"/>
              <w:right w:val="nil"/>
            </w:tcBorders>
            <w:shd w:val="clear" w:color="auto" w:fill="auto"/>
            <w:noWrap/>
            <w:vAlign w:val="center"/>
            <w:hideMark/>
          </w:tcPr>
          <w:p w:rsidRPr="00F71351" w:rsidR="00F826D2" w:rsidP="0054179A" w:rsidRDefault="00F826D2" w14:paraId="2794B57D" w14:textId="77777777">
            <w:pPr>
              <w:autoSpaceDN w:val="0"/>
              <w:spacing w:after="0" w:line="240" w:lineRule="auto"/>
              <w:jc w:val="right"/>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85%</w:t>
            </w:r>
          </w:p>
        </w:tc>
        <w:tc>
          <w:tcPr>
            <w:tcW w:w="887" w:type="pct"/>
            <w:tcBorders>
              <w:top w:val="nil"/>
              <w:left w:val="nil"/>
              <w:bottom w:val="nil"/>
              <w:right w:val="single" w:color="auto" w:sz="4" w:space="0"/>
            </w:tcBorders>
            <w:shd w:val="clear" w:color="auto" w:fill="auto"/>
            <w:noWrap/>
            <w:vAlign w:val="center"/>
            <w:hideMark/>
          </w:tcPr>
          <w:p w:rsidRPr="00F71351" w:rsidR="00F826D2" w:rsidP="0054179A" w:rsidRDefault="00F826D2" w14:paraId="0F034552" w14:textId="77777777">
            <w:pPr>
              <w:autoSpaceDN w:val="0"/>
              <w:spacing w:after="0" w:line="240" w:lineRule="auto"/>
              <w:jc w:val="right"/>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60%</w:t>
            </w:r>
          </w:p>
        </w:tc>
        <w:tc>
          <w:tcPr>
            <w:tcW w:w="884" w:type="pct"/>
            <w:tcBorders>
              <w:top w:val="nil"/>
              <w:left w:val="nil"/>
              <w:bottom w:val="nil"/>
              <w:right w:val="nil"/>
            </w:tcBorders>
            <w:shd w:val="clear" w:color="auto" w:fill="auto"/>
            <w:noWrap/>
            <w:vAlign w:val="center"/>
            <w:hideMark/>
          </w:tcPr>
          <w:p w:rsidRPr="00F71351" w:rsidR="00F826D2" w:rsidP="0054179A" w:rsidRDefault="00F826D2" w14:paraId="0B870427" w14:textId="77777777">
            <w:pPr>
              <w:autoSpaceDN w:val="0"/>
              <w:spacing w:after="0" w:line="240" w:lineRule="auto"/>
              <w:jc w:val="right"/>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69%</w:t>
            </w:r>
          </w:p>
        </w:tc>
      </w:tr>
      <w:tr w:rsidRPr="00F71351" w:rsidR="00F826D2" w:rsidTr="0054179A" w14:paraId="38FD5809" w14:textId="77777777">
        <w:trPr>
          <w:trHeight w:val="256"/>
        </w:trPr>
        <w:tc>
          <w:tcPr>
            <w:tcW w:w="2342" w:type="pct"/>
            <w:tcBorders>
              <w:top w:val="nil"/>
              <w:left w:val="nil"/>
              <w:bottom w:val="nil"/>
              <w:right w:val="single" w:color="auto" w:sz="4" w:space="0"/>
            </w:tcBorders>
            <w:shd w:val="clear" w:color="auto" w:fill="auto"/>
            <w:noWrap/>
            <w:vAlign w:val="center"/>
            <w:hideMark/>
          </w:tcPr>
          <w:p w:rsidRPr="00F71351" w:rsidR="00F826D2" w:rsidP="0054179A" w:rsidRDefault="00F826D2" w14:paraId="6A011D06" w14:textId="77777777">
            <w:pPr>
              <w:autoSpaceDN w:val="0"/>
              <w:spacing w:after="0" w:line="240" w:lineRule="auto"/>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Aantal kinderen op opvang</w:t>
            </w:r>
          </w:p>
        </w:tc>
        <w:tc>
          <w:tcPr>
            <w:tcW w:w="887" w:type="pct"/>
            <w:tcBorders>
              <w:top w:val="nil"/>
              <w:left w:val="nil"/>
              <w:bottom w:val="nil"/>
              <w:right w:val="nil"/>
            </w:tcBorders>
            <w:shd w:val="clear" w:color="auto" w:fill="auto"/>
            <w:noWrap/>
            <w:vAlign w:val="center"/>
            <w:hideMark/>
          </w:tcPr>
          <w:p w:rsidRPr="00F71351" w:rsidR="00F826D2" w:rsidP="0054179A" w:rsidRDefault="00F826D2" w14:paraId="47C3578E" w14:textId="77777777">
            <w:pPr>
              <w:autoSpaceDN w:val="0"/>
              <w:spacing w:after="0" w:line="240" w:lineRule="auto"/>
              <w:jc w:val="right"/>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487</w:t>
            </w:r>
          </w:p>
        </w:tc>
        <w:tc>
          <w:tcPr>
            <w:tcW w:w="887" w:type="pct"/>
            <w:tcBorders>
              <w:top w:val="nil"/>
              <w:left w:val="nil"/>
              <w:bottom w:val="nil"/>
              <w:right w:val="single" w:color="auto" w:sz="4" w:space="0"/>
            </w:tcBorders>
            <w:shd w:val="clear" w:color="auto" w:fill="auto"/>
            <w:noWrap/>
            <w:vAlign w:val="center"/>
            <w:hideMark/>
          </w:tcPr>
          <w:p w:rsidRPr="00F71351" w:rsidR="00F826D2" w:rsidP="0054179A" w:rsidRDefault="00F826D2" w14:paraId="2C02BD67" w14:textId="77777777">
            <w:pPr>
              <w:autoSpaceDN w:val="0"/>
              <w:spacing w:after="0" w:line="240" w:lineRule="auto"/>
              <w:jc w:val="right"/>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636</w:t>
            </w:r>
          </w:p>
        </w:tc>
        <w:tc>
          <w:tcPr>
            <w:tcW w:w="884" w:type="pct"/>
            <w:tcBorders>
              <w:top w:val="nil"/>
              <w:left w:val="nil"/>
              <w:bottom w:val="nil"/>
              <w:right w:val="nil"/>
            </w:tcBorders>
            <w:shd w:val="clear" w:color="auto" w:fill="auto"/>
            <w:noWrap/>
            <w:vAlign w:val="center"/>
            <w:hideMark/>
          </w:tcPr>
          <w:p w:rsidRPr="00F71351" w:rsidR="00F826D2" w:rsidP="0054179A" w:rsidRDefault="00F826D2" w14:paraId="0028D198" w14:textId="77777777">
            <w:pPr>
              <w:autoSpaceDN w:val="0"/>
              <w:spacing w:after="0" w:line="240" w:lineRule="auto"/>
              <w:jc w:val="right"/>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1 123</w:t>
            </w:r>
          </w:p>
        </w:tc>
      </w:tr>
      <w:tr w:rsidRPr="00F71351" w:rsidR="00F826D2" w:rsidTr="0054179A" w14:paraId="42DA1426" w14:textId="77777777">
        <w:trPr>
          <w:trHeight w:val="256"/>
        </w:trPr>
        <w:tc>
          <w:tcPr>
            <w:tcW w:w="2342" w:type="pct"/>
            <w:tcBorders>
              <w:top w:val="nil"/>
              <w:left w:val="nil"/>
              <w:bottom w:val="nil"/>
              <w:right w:val="single" w:color="auto" w:sz="4" w:space="0"/>
            </w:tcBorders>
            <w:shd w:val="clear" w:color="auto" w:fill="auto"/>
            <w:noWrap/>
            <w:vAlign w:val="center"/>
            <w:hideMark/>
          </w:tcPr>
          <w:p w:rsidRPr="00F71351" w:rsidR="00F826D2" w:rsidP="0054179A" w:rsidRDefault="00F826D2" w14:paraId="6A27245D" w14:textId="77777777">
            <w:pPr>
              <w:autoSpaceDN w:val="0"/>
              <w:spacing w:after="0" w:line="240" w:lineRule="auto"/>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 </w:t>
            </w:r>
          </w:p>
        </w:tc>
        <w:tc>
          <w:tcPr>
            <w:tcW w:w="887" w:type="pct"/>
            <w:tcBorders>
              <w:top w:val="nil"/>
              <w:left w:val="nil"/>
              <w:bottom w:val="nil"/>
              <w:right w:val="nil"/>
            </w:tcBorders>
            <w:shd w:val="clear" w:color="auto" w:fill="auto"/>
            <w:noWrap/>
            <w:vAlign w:val="center"/>
            <w:hideMark/>
          </w:tcPr>
          <w:p w:rsidRPr="00F71351" w:rsidR="00F826D2" w:rsidP="0054179A" w:rsidRDefault="00F826D2" w14:paraId="7AAAFCDE" w14:textId="77777777">
            <w:pPr>
              <w:autoSpaceDN w:val="0"/>
              <w:spacing w:after="0" w:line="240" w:lineRule="auto"/>
              <w:textAlignment w:val="baseline"/>
              <w:rPr>
                <w:rFonts w:eastAsia="Times New Roman" w:cs="Calibri"/>
                <w:color w:val="000000"/>
                <w:kern w:val="0"/>
                <w:szCs w:val="18"/>
                <w:lang w:val="nl-NL" w:eastAsia="nl-NL"/>
                <w14:ligatures w14:val="none"/>
              </w:rPr>
            </w:pPr>
          </w:p>
        </w:tc>
        <w:tc>
          <w:tcPr>
            <w:tcW w:w="887" w:type="pct"/>
            <w:tcBorders>
              <w:top w:val="nil"/>
              <w:left w:val="nil"/>
              <w:bottom w:val="nil"/>
              <w:right w:val="single" w:color="auto" w:sz="4" w:space="0"/>
            </w:tcBorders>
            <w:shd w:val="clear" w:color="auto" w:fill="auto"/>
            <w:noWrap/>
            <w:vAlign w:val="center"/>
            <w:hideMark/>
          </w:tcPr>
          <w:p w:rsidRPr="00F71351" w:rsidR="00F826D2" w:rsidP="0054179A" w:rsidRDefault="00F826D2" w14:paraId="0CB3BEDF" w14:textId="77777777">
            <w:pPr>
              <w:autoSpaceDN w:val="0"/>
              <w:spacing w:after="0" w:line="240" w:lineRule="auto"/>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 </w:t>
            </w:r>
          </w:p>
        </w:tc>
        <w:tc>
          <w:tcPr>
            <w:tcW w:w="884" w:type="pct"/>
            <w:tcBorders>
              <w:top w:val="nil"/>
              <w:left w:val="nil"/>
              <w:bottom w:val="nil"/>
              <w:right w:val="nil"/>
            </w:tcBorders>
            <w:shd w:val="clear" w:color="auto" w:fill="auto"/>
            <w:noWrap/>
            <w:vAlign w:val="center"/>
            <w:hideMark/>
          </w:tcPr>
          <w:p w:rsidRPr="00F71351" w:rsidR="00F826D2" w:rsidP="0054179A" w:rsidRDefault="00F826D2" w14:paraId="66AE2BFA" w14:textId="77777777">
            <w:pPr>
              <w:autoSpaceDN w:val="0"/>
              <w:spacing w:after="0" w:line="240" w:lineRule="auto"/>
              <w:textAlignment w:val="baseline"/>
              <w:rPr>
                <w:rFonts w:eastAsia="Times New Roman" w:cs="Calibri"/>
                <w:color w:val="000000"/>
                <w:kern w:val="0"/>
                <w:szCs w:val="18"/>
                <w:lang w:val="nl-NL" w:eastAsia="nl-NL"/>
                <w14:ligatures w14:val="none"/>
              </w:rPr>
            </w:pPr>
          </w:p>
        </w:tc>
      </w:tr>
      <w:tr w:rsidRPr="00F71351" w:rsidR="00F826D2" w:rsidTr="0054179A" w14:paraId="558637E6" w14:textId="77777777">
        <w:trPr>
          <w:trHeight w:val="256"/>
        </w:trPr>
        <w:tc>
          <w:tcPr>
            <w:tcW w:w="2342" w:type="pct"/>
            <w:tcBorders>
              <w:top w:val="nil"/>
              <w:left w:val="nil"/>
              <w:bottom w:val="nil"/>
              <w:right w:val="single" w:color="auto" w:sz="4" w:space="0"/>
            </w:tcBorders>
            <w:shd w:val="clear" w:color="auto" w:fill="auto"/>
            <w:noWrap/>
            <w:vAlign w:val="center"/>
            <w:hideMark/>
          </w:tcPr>
          <w:p w:rsidRPr="00F71351" w:rsidR="00F826D2" w:rsidP="0054179A" w:rsidRDefault="00F826D2" w14:paraId="4343D916" w14:textId="77777777">
            <w:pPr>
              <w:autoSpaceDN w:val="0"/>
              <w:spacing w:after="0" w:line="240" w:lineRule="auto"/>
              <w:textAlignment w:val="baseline"/>
              <w:rPr>
                <w:rFonts w:eastAsia="Times New Roman" w:cs="Calibri"/>
                <w:i/>
                <w:iCs/>
                <w:color w:val="000000"/>
                <w:kern w:val="0"/>
                <w:szCs w:val="18"/>
                <w:lang w:val="nl-NL" w:eastAsia="nl-NL"/>
                <w14:ligatures w14:val="none"/>
              </w:rPr>
            </w:pPr>
            <w:r w:rsidRPr="00F71351">
              <w:rPr>
                <w:rFonts w:eastAsia="Times New Roman" w:cs="Calibri"/>
                <w:i/>
                <w:iCs/>
                <w:color w:val="000000"/>
                <w:kern w:val="0"/>
                <w:szCs w:val="18"/>
                <w:lang w:val="nl-NL" w:eastAsia="nl-NL"/>
                <w14:ligatures w14:val="none"/>
              </w:rPr>
              <w:t>Gebruik</w:t>
            </w:r>
          </w:p>
        </w:tc>
        <w:tc>
          <w:tcPr>
            <w:tcW w:w="887" w:type="pct"/>
            <w:tcBorders>
              <w:top w:val="nil"/>
              <w:left w:val="nil"/>
              <w:bottom w:val="nil"/>
              <w:right w:val="nil"/>
            </w:tcBorders>
            <w:shd w:val="clear" w:color="auto" w:fill="auto"/>
            <w:noWrap/>
            <w:vAlign w:val="center"/>
            <w:hideMark/>
          </w:tcPr>
          <w:p w:rsidRPr="00F71351" w:rsidR="00F826D2" w:rsidP="0054179A" w:rsidRDefault="00F826D2" w14:paraId="1CEBEE52" w14:textId="77777777">
            <w:pPr>
              <w:autoSpaceDN w:val="0"/>
              <w:spacing w:after="0" w:line="240" w:lineRule="auto"/>
              <w:textAlignment w:val="baseline"/>
              <w:rPr>
                <w:rFonts w:eastAsia="Times New Roman" w:cs="Calibri"/>
                <w:i/>
                <w:iCs/>
                <w:color w:val="000000"/>
                <w:kern w:val="0"/>
                <w:szCs w:val="18"/>
                <w:lang w:val="nl-NL" w:eastAsia="nl-NL"/>
                <w14:ligatures w14:val="none"/>
              </w:rPr>
            </w:pPr>
          </w:p>
        </w:tc>
        <w:tc>
          <w:tcPr>
            <w:tcW w:w="887" w:type="pct"/>
            <w:tcBorders>
              <w:top w:val="nil"/>
              <w:left w:val="nil"/>
              <w:bottom w:val="nil"/>
              <w:right w:val="single" w:color="auto" w:sz="4" w:space="0"/>
            </w:tcBorders>
            <w:shd w:val="clear" w:color="auto" w:fill="auto"/>
            <w:noWrap/>
            <w:vAlign w:val="center"/>
            <w:hideMark/>
          </w:tcPr>
          <w:p w:rsidRPr="00F71351" w:rsidR="00F826D2" w:rsidP="0054179A" w:rsidRDefault="00F826D2" w14:paraId="222284A6" w14:textId="77777777">
            <w:pPr>
              <w:autoSpaceDN w:val="0"/>
              <w:spacing w:after="0" w:line="240" w:lineRule="auto"/>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 </w:t>
            </w:r>
          </w:p>
        </w:tc>
        <w:tc>
          <w:tcPr>
            <w:tcW w:w="884" w:type="pct"/>
            <w:tcBorders>
              <w:top w:val="nil"/>
              <w:left w:val="nil"/>
              <w:bottom w:val="nil"/>
              <w:right w:val="nil"/>
            </w:tcBorders>
            <w:shd w:val="clear" w:color="auto" w:fill="auto"/>
            <w:noWrap/>
            <w:vAlign w:val="center"/>
            <w:hideMark/>
          </w:tcPr>
          <w:p w:rsidRPr="00F71351" w:rsidR="00F826D2" w:rsidP="0054179A" w:rsidRDefault="00F826D2" w14:paraId="2147AB60" w14:textId="77777777">
            <w:pPr>
              <w:autoSpaceDN w:val="0"/>
              <w:spacing w:after="0" w:line="240" w:lineRule="auto"/>
              <w:textAlignment w:val="baseline"/>
              <w:rPr>
                <w:rFonts w:eastAsia="Times New Roman" w:cs="Calibri"/>
                <w:color w:val="000000"/>
                <w:kern w:val="0"/>
                <w:szCs w:val="18"/>
                <w:lang w:val="nl-NL" w:eastAsia="nl-NL"/>
                <w14:ligatures w14:val="none"/>
              </w:rPr>
            </w:pPr>
          </w:p>
        </w:tc>
      </w:tr>
      <w:tr w:rsidRPr="00F71351" w:rsidR="00F826D2" w:rsidTr="0054179A" w14:paraId="548A5438" w14:textId="77777777">
        <w:trPr>
          <w:trHeight w:val="256"/>
        </w:trPr>
        <w:tc>
          <w:tcPr>
            <w:tcW w:w="2342" w:type="pct"/>
            <w:tcBorders>
              <w:top w:val="nil"/>
              <w:left w:val="nil"/>
              <w:bottom w:val="nil"/>
              <w:right w:val="single" w:color="auto" w:sz="4" w:space="0"/>
            </w:tcBorders>
            <w:shd w:val="clear" w:color="auto" w:fill="auto"/>
            <w:noWrap/>
            <w:vAlign w:val="center"/>
            <w:hideMark/>
          </w:tcPr>
          <w:p w:rsidRPr="00F71351" w:rsidR="00F826D2" w:rsidP="0054179A" w:rsidRDefault="00F826D2" w14:paraId="191B4AF9" w14:textId="77777777">
            <w:pPr>
              <w:autoSpaceDN w:val="0"/>
              <w:spacing w:after="0" w:line="240" w:lineRule="auto"/>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Aantal uren per kind per maand</w:t>
            </w:r>
          </w:p>
        </w:tc>
        <w:tc>
          <w:tcPr>
            <w:tcW w:w="887" w:type="pct"/>
            <w:tcBorders>
              <w:top w:val="nil"/>
              <w:left w:val="nil"/>
              <w:bottom w:val="nil"/>
              <w:right w:val="nil"/>
            </w:tcBorders>
            <w:shd w:val="clear" w:color="auto" w:fill="auto"/>
            <w:noWrap/>
            <w:vAlign w:val="center"/>
            <w:hideMark/>
          </w:tcPr>
          <w:p w:rsidRPr="00F71351" w:rsidR="00F826D2" w:rsidP="0054179A" w:rsidRDefault="00F826D2" w14:paraId="4717F2D2" w14:textId="77777777">
            <w:pPr>
              <w:autoSpaceDN w:val="0"/>
              <w:spacing w:after="0" w:line="240" w:lineRule="auto"/>
              <w:jc w:val="right"/>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143,0</w:t>
            </w:r>
          </w:p>
        </w:tc>
        <w:tc>
          <w:tcPr>
            <w:tcW w:w="887" w:type="pct"/>
            <w:tcBorders>
              <w:top w:val="nil"/>
              <w:left w:val="nil"/>
              <w:bottom w:val="nil"/>
              <w:right w:val="single" w:color="auto" w:sz="4" w:space="0"/>
            </w:tcBorders>
            <w:shd w:val="clear" w:color="auto" w:fill="auto"/>
            <w:noWrap/>
            <w:vAlign w:val="center"/>
            <w:hideMark/>
          </w:tcPr>
          <w:p w:rsidRPr="00F71351" w:rsidR="00F826D2" w:rsidP="0054179A" w:rsidRDefault="00F826D2" w14:paraId="7CCB3D40" w14:textId="77777777">
            <w:pPr>
              <w:autoSpaceDN w:val="0"/>
              <w:spacing w:after="0" w:line="240" w:lineRule="auto"/>
              <w:jc w:val="right"/>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68,0</w:t>
            </w:r>
          </w:p>
        </w:tc>
        <w:tc>
          <w:tcPr>
            <w:tcW w:w="884" w:type="pct"/>
            <w:tcBorders>
              <w:top w:val="nil"/>
              <w:left w:val="nil"/>
              <w:bottom w:val="nil"/>
              <w:right w:val="nil"/>
            </w:tcBorders>
            <w:shd w:val="clear" w:color="auto" w:fill="auto"/>
            <w:noWrap/>
            <w:vAlign w:val="center"/>
            <w:hideMark/>
          </w:tcPr>
          <w:p w:rsidRPr="00F71351" w:rsidR="00F826D2" w:rsidP="0054179A" w:rsidRDefault="00F826D2" w14:paraId="1BF9ADB9" w14:textId="77777777">
            <w:pPr>
              <w:autoSpaceDN w:val="0"/>
              <w:spacing w:after="0" w:line="240" w:lineRule="auto"/>
              <w:jc w:val="right"/>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100,5</w:t>
            </w:r>
          </w:p>
        </w:tc>
      </w:tr>
      <w:tr w:rsidRPr="00F71351" w:rsidR="00F826D2" w:rsidTr="0054179A" w14:paraId="55FBAFDD" w14:textId="77777777">
        <w:trPr>
          <w:trHeight w:val="256"/>
        </w:trPr>
        <w:tc>
          <w:tcPr>
            <w:tcW w:w="2342" w:type="pct"/>
            <w:tcBorders>
              <w:top w:val="nil"/>
              <w:left w:val="nil"/>
              <w:bottom w:val="nil"/>
              <w:right w:val="single" w:color="auto" w:sz="4" w:space="0"/>
            </w:tcBorders>
            <w:shd w:val="clear" w:color="auto" w:fill="auto"/>
            <w:noWrap/>
            <w:vAlign w:val="center"/>
            <w:hideMark/>
          </w:tcPr>
          <w:p w:rsidRPr="00F71351" w:rsidR="00F826D2" w:rsidP="0054179A" w:rsidRDefault="00F826D2" w14:paraId="59CDC328" w14:textId="77777777">
            <w:pPr>
              <w:autoSpaceDN w:val="0"/>
              <w:spacing w:after="0" w:line="240" w:lineRule="auto"/>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Aantal uren totaal (x 1 miljoen)</w:t>
            </w:r>
          </w:p>
        </w:tc>
        <w:tc>
          <w:tcPr>
            <w:tcW w:w="887" w:type="pct"/>
            <w:tcBorders>
              <w:top w:val="nil"/>
              <w:left w:val="nil"/>
              <w:bottom w:val="nil"/>
              <w:right w:val="nil"/>
            </w:tcBorders>
            <w:shd w:val="clear" w:color="auto" w:fill="auto"/>
            <w:noWrap/>
            <w:vAlign w:val="center"/>
            <w:hideMark/>
          </w:tcPr>
          <w:p w:rsidRPr="00F71351" w:rsidR="00F826D2" w:rsidP="0054179A" w:rsidRDefault="00F826D2" w14:paraId="45C4B511" w14:textId="77777777">
            <w:pPr>
              <w:autoSpaceDN w:val="0"/>
              <w:spacing w:after="0" w:line="240" w:lineRule="auto"/>
              <w:jc w:val="right"/>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0,84</w:t>
            </w:r>
          </w:p>
        </w:tc>
        <w:tc>
          <w:tcPr>
            <w:tcW w:w="887" w:type="pct"/>
            <w:tcBorders>
              <w:top w:val="nil"/>
              <w:left w:val="nil"/>
              <w:bottom w:val="nil"/>
              <w:right w:val="single" w:color="auto" w:sz="4" w:space="0"/>
            </w:tcBorders>
            <w:shd w:val="clear" w:color="auto" w:fill="auto"/>
            <w:noWrap/>
            <w:vAlign w:val="center"/>
            <w:hideMark/>
          </w:tcPr>
          <w:p w:rsidRPr="00F71351" w:rsidR="00F826D2" w:rsidP="0054179A" w:rsidRDefault="00F826D2" w14:paraId="2663175B" w14:textId="77777777">
            <w:pPr>
              <w:autoSpaceDN w:val="0"/>
              <w:spacing w:after="0" w:line="240" w:lineRule="auto"/>
              <w:jc w:val="right"/>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0,52</w:t>
            </w:r>
          </w:p>
        </w:tc>
        <w:tc>
          <w:tcPr>
            <w:tcW w:w="884" w:type="pct"/>
            <w:tcBorders>
              <w:top w:val="nil"/>
              <w:left w:val="nil"/>
              <w:bottom w:val="nil"/>
              <w:right w:val="nil"/>
            </w:tcBorders>
            <w:shd w:val="clear" w:color="auto" w:fill="auto"/>
            <w:noWrap/>
            <w:vAlign w:val="center"/>
            <w:hideMark/>
          </w:tcPr>
          <w:p w:rsidRPr="00F71351" w:rsidR="00F826D2" w:rsidP="0054179A" w:rsidRDefault="00F826D2" w14:paraId="4283D127" w14:textId="77777777">
            <w:pPr>
              <w:autoSpaceDN w:val="0"/>
              <w:spacing w:after="0" w:line="240" w:lineRule="auto"/>
              <w:jc w:val="right"/>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1,35</w:t>
            </w:r>
          </w:p>
        </w:tc>
      </w:tr>
      <w:tr w:rsidRPr="00F71351" w:rsidR="00F826D2" w:rsidTr="0054179A" w14:paraId="77506FCD" w14:textId="77777777">
        <w:trPr>
          <w:trHeight w:val="256"/>
        </w:trPr>
        <w:tc>
          <w:tcPr>
            <w:tcW w:w="2342" w:type="pct"/>
            <w:tcBorders>
              <w:top w:val="nil"/>
              <w:left w:val="nil"/>
              <w:bottom w:val="nil"/>
              <w:right w:val="single" w:color="auto" w:sz="4" w:space="0"/>
            </w:tcBorders>
            <w:shd w:val="clear" w:color="auto" w:fill="auto"/>
            <w:noWrap/>
            <w:vAlign w:val="center"/>
            <w:hideMark/>
          </w:tcPr>
          <w:p w:rsidRPr="00F71351" w:rsidR="00F826D2" w:rsidP="0054179A" w:rsidRDefault="00F826D2" w14:paraId="3396A44D" w14:textId="77777777">
            <w:pPr>
              <w:autoSpaceDN w:val="0"/>
              <w:spacing w:after="0" w:line="240" w:lineRule="auto"/>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 </w:t>
            </w:r>
          </w:p>
        </w:tc>
        <w:tc>
          <w:tcPr>
            <w:tcW w:w="887" w:type="pct"/>
            <w:tcBorders>
              <w:top w:val="nil"/>
              <w:left w:val="nil"/>
              <w:bottom w:val="nil"/>
              <w:right w:val="nil"/>
            </w:tcBorders>
            <w:shd w:val="clear" w:color="auto" w:fill="auto"/>
            <w:noWrap/>
            <w:vAlign w:val="center"/>
            <w:hideMark/>
          </w:tcPr>
          <w:p w:rsidRPr="00F71351" w:rsidR="00F826D2" w:rsidP="0054179A" w:rsidRDefault="00F826D2" w14:paraId="3529F0D8" w14:textId="77777777">
            <w:pPr>
              <w:autoSpaceDN w:val="0"/>
              <w:spacing w:after="0" w:line="240" w:lineRule="auto"/>
              <w:textAlignment w:val="baseline"/>
              <w:rPr>
                <w:rFonts w:eastAsia="Times New Roman" w:cs="Calibri"/>
                <w:color w:val="000000"/>
                <w:kern w:val="0"/>
                <w:szCs w:val="18"/>
                <w:lang w:val="nl-NL" w:eastAsia="nl-NL"/>
                <w14:ligatures w14:val="none"/>
              </w:rPr>
            </w:pPr>
          </w:p>
        </w:tc>
        <w:tc>
          <w:tcPr>
            <w:tcW w:w="887" w:type="pct"/>
            <w:tcBorders>
              <w:top w:val="nil"/>
              <w:left w:val="nil"/>
              <w:bottom w:val="nil"/>
              <w:right w:val="single" w:color="auto" w:sz="4" w:space="0"/>
            </w:tcBorders>
            <w:shd w:val="clear" w:color="auto" w:fill="auto"/>
            <w:noWrap/>
            <w:vAlign w:val="center"/>
            <w:hideMark/>
          </w:tcPr>
          <w:p w:rsidRPr="00F71351" w:rsidR="00F826D2" w:rsidP="0054179A" w:rsidRDefault="00F826D2" w14:paraId="25096443" w14:textId="77777777">
            <w:pPr>
              <w:autoSpaceDN w:val="0"/>
              <w:spacing w:after="0" w:line="240" w:lineRule="auto"/>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 </w:t>
            </w:r>
          </w:p>
        </w:tc>
        <w:tc>
          <w:tcPr>
            <w:tcW w:w="884" w:type="pct"/>
            <w:tcBorders>
              <w:top w:val="nil"/>
              <w:left w:val="nil"/>
              <w:bottom w:val="nil"/>
              <w:right w:val="nil"/>
            </w:tcBorders>
            <w:shd w:val="clear" w:color="auto" w:fill="auto"/>
            <w:noWrap/>
            <w:vAlign w:val="center"/>
            <w:hideMark/>
          </w:tcPr>
          <w:p w:rsidRPr="00F71351" w:rsidR="00F826D2" w:rsidP="0054179A" w:rsidRDefault="00F826D2" w14:paraId="7458375A" w14:textId="77777777">
            <w:pPr>
              <w:autoSpaceDN w:val="0"/>
              <w:spacing w:after="0" w:line="240" w:lineRule="auto"/>
              <w:textAlignment w:val="baseline"/>
              <w:rPr>
                <w:rFonts w:eastAsia="Times New Roman" w:cs="Calibri"/>
                <w:color w:val="000000"/>
                <w:kern w:val="0"/>
                <w:szCs w:val="18"/>
                <w:lang w:val="nl-NL" w:eastAsia="nl-NL"/>
                <w14:ligatures w14:val="none"/>
              </w:rPr>
            </w:pPr>
          </w:p>
        </w:tc>
      </w:tr>
      <w:tr w:rsidRPr="00F71351" w:rsidR="00F826D2" w:rsidTr="0054179A" w14:paraId="4E04CA9C" w14:textId="77777777">
        <w:trPr>
          <w:trHeight w:val="256"/>
        </w:trPr>
        <w:tc>
          <w:tcPr>
            <w:tcW w:w="2342" w:type="pct"/>
            <w:tcBorders>
              <w:top w:val="nil"/>
              <w:left w:val="nil"/>
              <w:bottom w:val="nil"/>
              <w:right w:val="single" w:color="auto" w:sz="4" w:space="0"/>
            </w:tcBorders>
            <w:shd w:val="clear" w:color="auto" w:fill="auto"/>
            <w:noWrap/>
            <w:vAlign w:val="center"/>
            <w:hideMark/>
          </w:tcPr>
          <w:p w:rsidRPr="00F71351" w:rsidR="00F826D2" w:rsidP="0054179A" w:rsidRDefault="00F826D2" w14:paraId="63DE1244" w14:textId="77777777">
            <w:pPr>
              <w:autoSpaceDN w:val="0"/>
              <w:spacing w:after="0" w:line="240" w:lineRule="auto"/>
              <w:textAlignment w:val="baseline"/>
              <w:rPr>
                <w:rFonts w:eastAsia="Times New Roman" w:cs="Calibri"/>
                <w:i/>
                <w:iCs/>
                <w:color w:val="000000"/>
                <w:kern w:val="0"/>
                <w:szCs w:val="18"/>
                <w:lang w:val="nl-NL" w:eastAsia="nl-NL"/>
                <w14:ligatures w14:val="none"/>
              </w:rPr>
            </w:pPr>
            <w:r w:rsidRPr="00F71351">
              <w:rPr>
                <w:rFonts w:eastAsia="Times New Roman" w:cs="Calibri"/>
                <w:i/>
                <w:iCs/>
                <w:color w:val="000000"/>
                <w:kern w:val="0"/>
                <w:szCs w:val="18"/>
                <w:lang w:val="nl-NL" w:eastAsia="nl-NL"/>
                <w14:ligatures w14:val="none"/>
              </w:rPr>
              <w:t>Prijs</w:t>
            </w:r>
          </w:p>
        </w:tc>
        <w:tc>
          <w:tcPr>
            <w:tcW w:w="887" w:type="pct"/>
            <w:tcBorders>
              <w:top w:val="nil"/>
              <w:left w:val="nil"/>
              <w:bottom w:val="nil"/>
              <w:right w:val="nil"/>
            </w:tcBorders>
            <w:shd w:val="clear" w:color="auto" w:fill="auto"/>
            <w:noWrap/>
            <w:vAlign w:val="center"/>
            <w:hideMark/>
          </w:tcPr>
          <w:p w:rsidRPr="00F71351" w:rsidR="00F826D2" w:rsidP="0054179A" w:rsidRDefault="00F826D2" w14:paraId="596FB236" w14:textId="77777777">
            <w:pPr>
              <w:autoSpaceDN w:val="0"/>
              <w:spacing w:after="0" w:line="240" w:lineRule="auto"/>
              <w:textAlignment w:val="baseline"/>
              <w:rPr>
                <w:rFonts w:eastAsia="Times New Roman" w:cs="Calibri"/>
                <w:i/>
                <w:iCs/>
                <w:color w:val="000000"/>
                <w:kern w:val="0"/>
                <w:szCs w:val="18"/>
                <w:lang w:val="nl-NL" w:eastAsia="nl-NL"/>
                <w14:ligatures w14:val="none"/>
              </w:rPr>
            </w:pPr>
          </w:p>
        </w:tc>
        <w:tc>
          <w:tcPr>
            <w:tcW w:w="887" w:type="pct"/>
            <w:tcBorders>
              <w:top w:val="nil"/>
              <w:left w:val="nil"/>
              <w:bottom w:val="nil"/>
              <w:right w:val="single" w:color="auto" w:sz="4" w:space="0"/>
            </w:tcBorders>
            <w:shd w:val="clear" w:color="auto" w:fill="auto"/>
            <w:noWrap/>
            <w:vAlign w:val="center"/>
            <w:hideMark/>
          </w:tcPr>
          <w:p w:rsidRPr="00F71351" w:rsidR="00F826D2" w:rsidP="0054179A" w:rsidRDefault="00F826D2" w14:paraId="2D14B6F5" w14:textId="77777777">
            <w:pPr>
              <w:autoSpaceDN w:val="0"/>
              <w:spacing w:after="0" w:line="240" w:lineRule="auto"/>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 </w:t>
            </w:r>
          </w:p>
        </w:tc>
        <w:tc>
          <w:tcPr>
            <w:tcW w:w="884" w:type="pct"/>
            <w:tcBorders>
              <w:top w:val="nil"/>
              <w:left w:val="nil"/>
              <w:bottom w:val="nil"/>
              <w:right w:val="nil"/>
            </w:tcBorders>
            <w:shd w:val="clear" w:color="auto" w:fill="auto"/>
            <w:noWrap/>
            <w:vAlign w:val="center"/>
            <w:hideMark/>
          </w:tcPr>
          <w:p w:rsidRPr="00F71351" w:rsidR="00F826D2" w:rsidP="0054179A" w:rsidRDefault="00F826D2" w14:paraId="0EBB99B7" w14:textId="77777777">
            <w:pPr>
              <w:autoSpaceDN w:val="0"/>
              <w:spacing w:after="0" w:line="240" w:lineRule="auto"/>
              <w:textAlignment w:val="baseline"/>
              <w:rPr>
                <w:rFonts w:eastAsia="Times New Roman" w:cs="Calibri"/>
                <w:color w:val="000000"/>
                <w:kern w:val="0"/>
                <w:szCs w:val="18"/>
                <w:lang w:val="nl-NL" w:eastAsia="nl-NL"/>
                <w14:ligatures w14:val="none"/>
              </w:rPr>
            </w:pPr>
          </w:p>
        </w:tc>
      </w:tr>
      <w:tr w:rsidRPr="00F71351" w:rsidR="00F826D2" w:rsidTr="0054179A" w14:paraId="7B92EFC7" w14:textId="77777777">
        <w:trPr>
          <w:trHeight w:val="256"/>
        </w:trPr>
        <w:tc>
          <w:tcPr>
            <w:tcW w:w="2342" w:type="pct"/>
            <w:tcBorders>
              <w:top w:val="nil"/>
              <w:left w:val="nil"/>
              <w:bottom w:val="nil"/>
              <w:right w:val="single" w:color="auto" w:sz="4" w:space="0"/>
            </w:tcBorders>
            <w:shd w:val="clear" w:color="auto" w:fill="auto"/>
            <w:noWrap/>
            <w:vAlign w:val="center"/>
            <w:hideMark/>
          </w:tcPr>
          <w:p w:rsidRPr="00F71351" w:rsidR="00F826D2" w:rsidP="0054179A" w:rsidRDefault="00F826D2" w14:paraId="28DDA74D" w14:textId="77777777">
            <w:pPr>
              <w:autoSpaceDN w:val="0"/>
              <w:spacing w:after="0" w:line="240" w:lineRule="auto"/>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 xml:space="preserve">Gemiddelde </w:t>
            </w:r>
            <w:proofErr w:type="spellStart"/>
            <w:r w:rsidRPr="00F71351">
              <w:rPr>
                <w:rFonts w:eastAsia="Times New Roman" w:cs="Calibri"/>
                <w:color w:val="000000"/>
                <w:kern w:val="0"/>
                <w:szCs w:val="18"/>
                <w:lang w:val="nl-NL" w:eastAsia="nl-NL"/>
                <w14:ligatures w14:val="none"/>
              </w:rPr>
              <w:t>uurprijs</w:t>
            </w:r>
            <w:proofErr w:type="spellEnd"/>
          </w:p>
        </w:tc>
        <w:tc>
          <w:tcPr>
            <w:tcW w:w="887" w:type="pct"/>
            <w:tcBorders>
              <w:top w:val="nil"/>
              <w:left w:val="nil"/>
              <w:bottom w:val="nil"/>
              <w:right w:val="nil"/>
            </w:tcBorders>
            <w:shd w:val="clear" w:color="auto" w:fill="auto"/>
            <w:noWrap/>
            <w:vAlign w:val="center"/>
            <w:hideMark/>
          </w:tcPr>
          <w:p w:rsidRPr="00F71351" w:rsidR="00F826D2" w:rsidP="0054179A" w:rsidRDefault="00F826D2" w14:paraId="5A680CA3" w14:textId="77777777">
            <w:pPr>
              <w:autoSpaceDN w:val="0"/>
              <w:spacing w:after="0" w:line="240" w:lineRule="auto"/>
              <w:jc w:val="right"/>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€ 9,55</w:t>
            </w:r>
          </w:p>
        </w:tc>
        <w:tc>
          <w:tcPr>
            <w:tcW w:w="887" w:type="pct"/>
            <w:tcBorders>
              <w:top w:val="nil"/>
              <w:left w:val="nil"/>
              <w:bottom w:val="nil"/>
              <w:right w:val="single" w:color="auto" w:sz="4" w:space="0"/>
            </w:tcBorders>
            <w:shd w:val="clear" w:color="auto" w:fill="auto"/>
            <w:noWrap/>
            <w:vAlign w:val="center"/>
            <w:hideMark/>
          </w:tcPr>
          <w:p w:rsidRPr="00F71351" w:rsidR="00F826D2" w:rsidP="0054179A" w:rsidRDefault="00F826D2" w14:paraId="64B9B6FC" w14:textId="77777777">
            <w:pPr>
              <w:autoSpaceDN w:val="0"/>
              <w:spacing w:after="0" w:line="240" w:lineRule="auto"/>
              <w:jc w:val="right"/>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  8,65</w:t>
            </w:r>
          </w:p>
        </w:tc>
        <w:tc>
          <w:tcPr>
            <w:tcW w:w="884" w:type="pct"/>
            <w:tcBorders>
              <w:top w:val="nil"/>
              <w:left w:val="nil"/>
              <w:bottom w:val="nil"/>
              <w:right w:val="nil"/>
            </w:tcBorders>
            <w:shd w:val="clear" w:color="auto" w:fill="auto"/>
            <w:noWrap/>
            <w:vAlign w:val="center"/>
            <w:hideMark/>
          </w:tcPr>
          <w:p w:rsidRPr="00F71351" w:rsidR="00F826D2" w:rsidP="0054179A" w:rsidRDefault="00F826D2" w14:paraId="43ADBF5B" w14:textId="77777777">
            <w:pPr>
              <w:autoSpaceDN w:val="0"/>
              <w:spacing w:after="0" w:line="240" w:lineRule="auto"/>
              <w:jc w:val="right"/>
              <w:textAlignment w:val="baseline"/>
              <w:rPr>
                <w:rFonts w:eastAsia="Times New Roman" w:cs="Calibri"/>
                <w:color w:val="000000"/>
                <w:kern w:val="0"/>
                <w:szCs w:val="18"/>
                <w:lang w:val="nl-NL" w:eastAsia="nl-NL"/>
                <w14:ligatures w14:val="none"/>
              </w:rPr>
            </w:pPr>
          </w:p>
        </w:tc>
      </w:tr>
      <w:tr w:rsidRPr="00F71351" w:rsidR="00F826D2" w:rsidTr="0054179A" w14:paraId="305E2D82" w14:textId="77777777">
        <w:trPr>
          <w:trHeight w:val="256"/>
        </w:trPr>
        <w:tc>
          <w:tcPr>
            <w:tcW w:w="2342" w:type="pct"/>
            <w:tcBorders>
              <w:top w:val="nil"/>
              <w:left w:val="nil"/>
              <w:bottom w:val="nil"/>
              <w:right w:val="single" w:color="auto" w:sz="4" w:space="0"/>
            </w:tcBorders>
            <w:shd w:val="clear" w:color="auto" w:fill="auto"/>
            <w:noWrap/>
            <w:vAlign w:val="center"/>
            <w:hideMark/>
          </w:tcPr>
          <w:p w:rsidRPr="00F71351" w:rsidR="00F826D2" w:rsidP="0054179A" w:rsidRDefault="00F826D2" w14:paraId="4F05B0CF" w14:textId="77777777">
            <w:pPr>
              <w:autoSpaceDN w:val="0"/>
              <w:spacing w:after="0" w:line="240" w:lineRule="auto"/>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Vergoedingspercentage</w:t>
            </w:r>
          </w:p>
        </w:tc>
        <w:tc>
          <w:tcPr>
            <w:tcW w:w="887" w:type="pct"/>
            <w:tcBorders>
              <w:top w:val="nil"/>
              <w:left w:val="nil"/>
              <w:bottom w:val="nil"/>
              <w:right w:val="nil"/>
            </w:tcBorders>
            <w:shd w:val="clear" w:color="auto" w:fill="auto"/>
            <w:noWrap/>
            <w:vAlign w:val="center"/>
            <w:hideMark/>
          </w:tcPr>
          <w:p w:rsidRPr="00F71351" w:rsidR="00F826D2" w:rsidP="0054179A" w:rsidRDefault="00F826D2" w14:paraId="285CD76F" w14:textId="77777777">
            <w:pPr>
              <w:autoSpaceDN w:val="0"/>
              <w:spacing w:after="0" w:line="240" w:lineRule="auto"/>
              <w:jc w:val="right"/>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96%</w:t>
            </w:r>
          </w:p>
        </w:tc>
        <w:tc>
          <w:tcPr>
            <w:tcW w:w="887" w:type="pct"/>
            <w:tcBorders>
              <w:top w:val="nil"/>
              <w:left w:val="nil"/>
              <w:bottom w:val="nil"/>
              <w:right w:val="single" w:color="auto" w:sz="4" w:space="0"/>
            </w:tcBorders>
            <w:shd w:val="clear" w:color="auto" w:fill="auto"/>
            <w:noWrap/>
            <w:vAlign w:val="center"/>
            <w:hideMark/>
          </w:tcPr>
          <w:p w:rsidRPr="00F71351" w:rsidR="00F826D2" w:rsidP="0054179A" w:rsidRDefault="00F826D2" w14:paraId="0CC175D3" w14:textId="77777777">
            <w:pPr>
              <w:autoSpaceDN w:val="0"/>
              <w:spacing w:after="0" w:line="240" w:lineRule="auto"/>
              <w:jc w:val="right"/>
              <w:textAlignment w:val="baseline"/>
              <w:rPr>
                <w:rFonts w:eastAsia="Times New Roman" w:cs="Calibri"/>
                <w:color w:val="000000"/>
                <w:kern w:val="0"/>
                <w:szCs w:val="18"/>
                <w:lang w:val="nl-NL" w:eastAsia="nl-NL"/>
                <w14:ligatures w14:val="none"/>
              </w:rPr>
            </w:pPr>
            <w:r w:rsidRPr="00F71351">
              <w:rPr>
                <w:rFonts w:eastAsia="Times New Roman" w:cs="Calibri"/>
                <w:color w:val="000000"/>
                <w:kern w:val="0"/>
                <w:szCs w:val="18"/>
                <w:lang w:val="nl-NL" w:eastAsia="nl-NL"/>
                <w14:ligatures w14:val="none"/>
              </w:rPr>
              <w:t>96%</w:t>
            </w:r>
          </w:p>
        </w:tc>
        <w:tc>
          <w:tcPr>
            <w:tcW w:w="884" w:type="pct"/>
            <w:tcBorders>
              <w:top w:val="nil"/>
              <w:left w:val="nil"/>
              <w:bottom w:val="nil"/>
              <w:right w:val="nil"/>
            </w:tcBorders>
            <w:shd w:val="clear" w:color="auto" w:fill="auto"/>
            <w:noWrap/>
            <w:vAlign w:val="center"/>
            <w:hideMark/>
          </w:tcPr>
          <w:p w:rsidRPr="00F71351" w:rsidR="00F826D2" w:rsidP="0054179A" w:rsidRDefault="00F826D2" w14:paraId="74D1D17A" w14:textId="77777777">
            <w:pPr>
              <w:autoSpaceDN w:val="0"/>
              <w:spacing w:after="0" w:line="240" w:lineRule="auto"/>
              <w:jc w:val="right"/>
              <w:textAlignment w:val="baseline"/>
              <w:rPr>
                <w:rFonts w:eastAsia="Times New Roman" w:cs="Calibri"/>
                <w:color w:val="000000"/>
                <w:kern w:val="0"/>
                <w:szCs w:val="18"/>
                <w:lang w:val="nl-NL" w:eastAsia="nl-NL"/>
                <w14:ligatures w14:val="none"/>
              </w:rPr>
            </w:pPr>
          </w:p>
        </w:tc>
      </w:tr>
      <w:tr w:rsidRPr="00F71351" w:rsidR="00F826D2" w:rsidTr="0054179A" w14:paraId="7837F311" w14:textId="77777777">
        <w:trPr>
          <w:trHeight w:val="256"/>
        </w:trPr>
        <w:tc>
          <w:tcPr>
            <w:tcW w:w="2342" w:type="pct"/>
            <w:tcBorders>
              <w:top w:val="single" w:color="auto" w:sz="4" w:space="0"/>
              <w:left w:val="nil"/>
              <w:bottom w:val="single" w:color="auto" w:sz="4" w:space="0"/>
              <w:right w:val="single" w:color="auto" w:sz="4" w:space="0"/>
            </w:tcBorders>
            <w:shd w:val="clear" w:color="000000" w:fill="FFCCCC"/>
            <w:noWrap/>
            <w:vAlign w:val="center"/>
            <w:hideMark/>
          </w:tcPr>
          <w:p w:rsidRPr="00F71351" w:rsidR="00F826D2" w:rsidP="0054179A" w:rsidRDefault="00F826D2" w14:paraId="28049531" w14:textId="77777777">
            <w:pPr>
              <w:autoSpaceDN w:val="0"/>
              <w:spacing w:after="0" w:line="240" w:lineRule="auto"/>
              <w:textAlignment w:val="baseline"/>
              <w:rPr>
                <w:rFonts w:eastAsia="Times New Roman" w:cs="Calibri"/>
                <w:b/>
                <w:bCs/>
                <w:color w:val="000000"/>
                <w:kern w:val="0"/>
                <w:szCs w:val="18"/>
                <w:lang w:val="nl-NL" w:eastAsia="nl-NL"/>
                <w14:ligatures w14:val="none"/>
              </w:rPr>
            </w:pPr>
            <w:r w:rsidRPr="00F71351">
              <w:rPr>
                <w:rFonts w:eastAsia="Times New Roman" w:cs="Calibri"/>
                <w:b/>
                <w:bCs/>
                <w:color w:val="000000"/>
                <w:kern w:val="0"/>
                <w:szCs w:val="18"/>
                <w:lang w:val="nl-NL" w:eastAsia="nl-NL"/>
                <w14:ligatures w14:val="none"/>
              </w:rPr>
              <w:t>Uitgaven (x € 1 miljoen)</w:t>
            </w:r>
          </w:p>
        </w:tc>
        <w:tc>
          <w:tcPr>
            <w:tcW w:w="887" w:type="pct"/>
            <w:tcBorders>
              <w:top w:val="single" w:color="auto" w:sz="4" w:space="0"/>
              <w:left w:val="nil"/>
              <w:bottom w:val="single" w:color="auto" w:sz="4" w:space="0"/>
              <w:right w:val="nil"/>
            </w:tcBorders>
            <w:shd w:val="clear" w:color="000000" w:fill="FFCCCC"/>
            <w:noWrap/>
            <w:vAlign w:val="center"/>
            <w:hideMark/>
          </w:tcPr>
          <w:p w:rsidRPr="00F71351" w:rsidR="00F826D2" w:rsidP="0054179A" w:rsidRDefault="00F826D2" w14:paraId="52DC3EC8" w14:textId="77777777">
            <w:pPr>
              <w:autoSpaceDN w:val="0"/>
              <w:spacing w:after="0" w:line="240" w:lineRule="auto"/>
              <w:jc w:val="right"/>
              <w:textAlignment w:val="baseline"/>
              <w:rPr>
                <w:rFonts w:eastAsia="Times New Roman" w:cs="Calibri"/>
                <w:b/>
                <w:bCs/>
                <w:color w:val="000000"/>
                <w:kern w:val="0"/>
                <w:szCs w:val="18"/>
                <w:lang w:val="nl-NL" w:eastAsia="nl-NL"/>
                <w14:ligatures w14:val="none"/>
              </w:rPr>
            </w:pPr>
            <w:r w:rsidRPr="00F71351">
              <w:rPr>
                <w:rFonts w:eastAsia="Times New Roman" w:cs="Calibri"/>
                <w:b/>
                <w:bCs/>
                <w:color w:val="000000"/>
                <w:kern w:val="0"/>
                <w:szCs w:val="18"/>
                <w:lang w:val="nl-NL" w:eastAsia="nl-NL"/>
                <w14:ligatures w14:val="none"/>
              </w:rPr>
              <w:t>7,66</w:t>
            </w:r>
          </w:p>
        </w:tc>
        <w:tc>
          <w:tcPr>
            <w:tcW w:w="887" w:type="pct"/>
            <w:tcBorders>
              <w:top w:val="single" w:color="auto" w:sz="4" w:space="0"/>
              <w:left w:val="nil"/>
              <w:bottom w:val="single" w:color="auto" w:sz="4" w:space="0"/>
              <w:right w:val="single" w:color="auto" w:sz="4" w:space="0"/>
            </w:tcBorders>
            <w:shd w:val="clear" w:color="000000" w:fill="FFCCCC"/>
            <w:noWrap/>
            <w:vAlign w:val="center"/>
            <w:hideMark/>
          </w:tcPr>
          <w:p w:rsidRPr="00F71351" w:rsidR="00F826D2" w:rsidP="0054179A" w:rsidRDefault="00F826D2" w14:paraId="66617185" w14:textId="77777777">
            <w:pPr>
              <w:autoSpaceDN w:val="0"/>
              <w:spacing w:after="0" w:line="240" w:lineRule="auto"/>
              <w:jc w:val="right"/>
              <w:textAlignment w:val="baseline"/>
              <w:rPr>
                <w:rFonts w:eastAsia="Times New Roman" w:cs="Calibri"/>
                <w:b/>
                <w:bCs/>
                <w:color w:val="000000"/>
                <w:kern w:val="0"/>
                <w:szCs w:val="18"/>
                <w:lang w:val="nl-NL" w:eastAsia="nl-NL"/>
                <w14:ligatures w14:val="none"/>
              </w:rPr>
            </w:pPr>
            <w:r w:rsidRPr="00F71351">
              <w:rPr>
                <w:rFonts w:eastAsia="Times New Roman" w:cs="Calibri"/>
                <w:b/>
                <w:bCs/>
                <w:color w:val="000000"/>
                <w:kern w:val="0"/>
                <w:szCs w:val="18"/>
                <w:lang w:val="nl-NL" w:eastAsia="nl-NL"/>
                <w14:ligatures w14:val="none"/>
              </w:rPr>
              <w:t>4,31</w:t>
            </w:r>
          </w:p>
        </w:tc>
        <w:tc>
          <w:tcPr>
            <w:tcW w:w="884" w:type="pct"/>
            <w:tcBorders>
              <w:top w:val="single" w:color="auto" w:sz="4" w:space="0"/>
              <w:left w:val="nil"/>
              <w:bottom w:val="single" w:color="auto" w:sz="4" w:space="0"/>
              <w:right w:val="nil"/>
            </w:tcBorders>
            <w:shd w:val="clear" w:color="000000" w:fill="FFCCCC"/>
            <w:noWrap/>
            <w:vAlign w:val="center"/>
            <w:hideMark/>
          </w:tcPr>
          <w:p w:rsidRPr="00F71351" w:rsidR="00F826D2" w:rsidP="0054179A" w:rsidRDefault="00F826D2" w14:paraId="434CE69D" w14:textId="77777777">
            <w:pPr>
              <w:autoSpaceDN w:val="0"/>
              <w:spacing w:after="0" w:line="240" w:lineRule="auto"/>
              <w:jc w:val="right"/>
              <w:textAlignment w:val="baseline"/>
              <w:rPr>
                <w:rFonts w:eastAsia="Times New Roman" w:cs="Calibri"/>
                <w:b/>
                <w:bCs/>
                <w:color w:val="000000"/>
                <w:kern w:val="0"/>
                <w:szCs w:val="18"/>
                <w:lang w:val="nl-NL" w:eastAsia="nl-NL"/>
                <w14:ligatures w14:val="none"/>
              </w:rPr>
            </w:pPr>
            <w:r w:rsidRPr="00F71351">
              <w:rPr>
                <w:rFonts w:eastAsia="Times New Roman" w:cs="Calibri"/>
                <w:b/>
                <w:bCs/>
                <w:color w:val="000000"/>
                <w:kern w:val="0"/>
                <w:szCs w:val="18"/>
                <w:lang w:val="nl-NL" w:eastAsia="nl-NL"/>
                <w14:ligatures w14:val="none"/>
              </w:rPr>
              <w:t>11,97</w:t>
            </w:r>
          </w:p>
        </w:tc>
      </w:tr>
    </w:tbl>
    <w:p w:rsidRPr="00F71351" w:rsidR="00F826D2" w:rsidP="00F826D2" w:rsidRDefault="00F826D2" w14:paraId="1574D1CF" w14:textId="77777777">
      <w:pPr>
        <w:autoSpaceDN w:val="0"/>
        <w:spacing w:after="0" w:line="240" w:lineRule="auto"/>
        <w:textAlignment w:val="baseline"/>
        <w:rPr>
          <w:rFonts w:eastAsia="DejaVu Sans" w:cs="Lohit Hindi"/>
          <w:color w:val="000000"/>
          <w:kern w:val="0"/>
          <w:szCs w:val="18"/>
          <w:lang w:val="nl-NL" w:eastAsia="nl-NL"/>
          <w14:ligatures w14:val="none"/>
        </w:rPr>
      </w:pPr>
    </w:p>
    <w:p w:rsidRPr="00F71351" w:rsidR="003C5898" w:rsidP="00BB1AD8" w:rsidRDefault="003C5898" w14:paraId="2AC95E69" w14:textId="32244E7F">
      <w:pPr>
        <w:rPr>
          <w:rFonts w:eastAsia="DejaVu Sans" w:cs="Lohit Hindi"/>
          <w:color w:val="000000"/>
          <w:kern w:val="0"/>
          <w:szCs w:val="18"/>
          <w:lang w:val="nl-NL" w:eastAsia="nl-NL"/>
          <w14:ligatures w14:val="none"/>
        </w:rPr>
      </w:pPr>
    </w:p>
    <w:p w:rsidRPr="00F71351" w:rsidR="003C5898" w:rsidRDefault="003C5898" w14:paraId="76CD2C9D" w14:textId="77777777">
      <w:pPr>
        <w:rPr>
          <w:lang w:val="nl-NL"/>
        </w:rPr>
      </w:pPr>
    </w:p>
    <w:sectPr w:rsidRPr="00F71351" w:rsidR="003C5898" w:rsidSect="00F826D2">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56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2BBCD" w14:textId="77777777" w:rsidR="00AE7CE3" w:rsidRDefault="00AE7CE3" w:rsidP="00F826D2">
      <w:pPr>
        <w:spacing w:after="0" w:line="240" w:lineRule="auto"/>
      </w:pPr>
      <w:r>
        <w:separator/>
      </w:r>
    </w:p>
  </w:endnote>
  <w:endnote w:type="continuationSeparator" w:id="0">
    <w:p w14:paraId="5B5ABE78" w14:textId="77777777" w:rsidR="00AE7CE3" w:rsidRDefault="00AE7CE3" w:rsidP="00F82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008C" w14:textId="77777777" w:rsidR="00042C27" w:rsidRDefault="00042C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21DC" w14:textId="77777777" w:rsidR="00042C27" w:rsidRDefault="00042C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9381D" w14:textId="77777777" w:rsidR="00042C27" w:rsidRDefault="00042C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794EB" w14:textId="77777777" w:rsidR="00AE7CE3" w:rsidRDefault="00AE7CE3" w:rsidP="00F826D2">
      <w:pPr>
        <w:spacing w:after="0" w:line="240" w:lineRule="auto"/>
      </w:pPr>
      <w:r>
        <w:separator/>
      </w:r>
    </w:p>
  </w:footnote>
  <w:footnote w:type="continuationSeparator" w:id="0">
    <w:p w14:paraId="172AB843" w14:textId="77777777" w:rsidR="00AE7CE3" w:rsidRDefault="00AE7CE3" w:rsidP="00F826D2">
      <w:pPr>
        <w:spacing w:after="0" w:line="240" w:lineRule="auto"/>
      </w:pPr>
      <w:r>
        <w:continuationSeparator/>
      </w:r>
    </w:p>
  </w:footnote>
  <w:footnote w:id="1">
    <w:p w14:paraId="185FE7A6" w14:textId="791322DA" w:rsidR="00D82A46" w:rsidRPr="00662382" w:rsidRDefault="00D82A46" w:rsidP="00662382">
      <w:pPr>
        <w:pStyle w:val="Voetnoottekst"/>
        <w:spacing w:after="0"/>
        <w:rPr>
          <w:sz w:val="16"/>
          <w:szCs w:val="16"/>
          <w:lang w:val="nl-NL"/>
        </w:rPr>
      </w:pPr>
      <w:r w:rsidRPr="00662382">
        <w:rPr>
          <w:rStyle w:val="Voetnootmarkering"/>
          <w:sz w:val="16"/>
          <w:szCs w:val="16"/>
        </w:rPr>
        <w:footnoteRef/>
      </w:r>
      <w:r w:rsidRPr="00662382">
        <w:rPr>
          <w:sz w:val="16"/>
          <w:szCs w:val="16"/>
          <w:lang w:val="nl-NL"/>
        </w:rPr>
        <w:t xml:space="preserve"> </w:t>
      </w:r>
      <w:r w:rsidR="008464B0" w:rsidRPr="00662382">
        <w:rPr>
          <w:sz w:val="16"/>
          <w:szCs w:val="16"/>
        </w:rPr>
        <w:t>https://www.rijksoverheid.nl/documenten/rapporten/2023/11/01/invoeringstoets-recht-op-kinderopvangtoeslag-bij-wlz-indicatie</w:t>
      </w:r>
    </w:p>
  </w:footnote>
  <w:footnote w:id="2">
    <w:p w14:paraId="346D1491" w14:textId="77777777" w:rsidR="00F826D2" w:rsidRPr="00662382" w:rsidRDefault="00F826D2" w:rsidP="00662382">
      <w:pPr>
        <w:pStyle w:val="Voetnoottekst"/>
        <w:spacing w:after="0"/>
        <w:rPr>
          <w:sz w:val="16"/>
          <w:szCs w:val="16"/>
          <w:lang w:val="nl-NL"/>
        </w:rPr>
      </w:pPr>
      <w:r w:rsidRPr="00662382">
        <w:rPr>
          <w:rStyle w:val="Voetnootmarkering"/>
          <w:sz w:val="16"/>
          <w:szCs w:val="16"/>
        </w:rPr>
        <w:footnoteRef/>
      </w:r>
      <w:r w:rsidRPr="00662382">
        <w:rPr>
          <w:sz w:val="16"/>
          <w:szCs w:val="16"/>
          <w:lang w:val="nl-NL"/>
        </w:rPr>
        <w:t xml:space="preserve"> </w:t>
      </w:r>
      <w:hyperlink r:id="rId1" w:anchor=":~:text=Intelligentie%20wordt%20voor%20een%20deel,ontwikkelen%20van%20een%20lvb%20beperken." w:history="1">
        <w:r w:rsidRPr="00662382">
          <w:rPr>
            <w:rStyle w:val="Hyperlink1"/>
            <w:sz w:val="16"/>
            <w:szCs w:val="16"/>
            <w:lang w:val="nl-NL"/>
          </w:rPr>
          <w:t>Wat zijn de oorzaken van een licht verstandelijke beperking? | Nederlands Jeugdinstituut (nji.nl)</w:t>
        </w:r>
      </w:hyperlink>
    </w:p>
  </w:footnote>
  <w:footnote w:id="3">
    <w:p w14:paraId="57BAC3C2" w14:textId="77777777" w:rsidR="00F826D2" w:rsidRPr="00662382" w:rsidRDefault="00F826D2" w:rsidP="00662382">
      <w:pPr>
        <w:pStyle w:val="Voetnoottekst"/>
        <w:spacing w:after="0"/>
        <w:rPr>
          <w:sz w:val="16"/>
          <w:szCs w:val="16"/>
          <w:lang w:val="nl-NL"/>
        </w:rPr>
      </w:pPr>
      <w:r w:rsidRPr="00662382">
        <w:rPr>
          <w:rStyle w:val="Voetnootmarkering"/>
          <w:sz w:val="16"/>
          <w:szCs w:val="16"/>
        </w:rPr>
        <w:footnoteRef/>
      </w:r>
      <w:r w:rsidRPr="00662382">
        <w:rPr>
          <w:sz w:val="16"/>
          <w:szCs w:val="16"/>
          <w:lang w:val="nl-NL"/>
        </w:rPr>
        <w:t xml:space="preserve"> RAPPORTAGE KINDEROPVANGTOESLAG MET WLZ-INDICATIE</w:t>
      </w:r>
    </w:p>
  </w:footnote>
  <w:footnote w:id="4">
    <w:p w14:paraId="32F4D573" w14:textId="77777777" w:rsidR="00F826D2" w:rsidRPr="00662382" w:rsidRDefault="00F826D2" w:rsidP="00662382">
      <w:pPr>
        <w:pStyle w:val="Voetnoottekst"/>
        <w:spacing w:after="0"/>
        <w:rPr>
          <w:sz w:val="16"/>
          <w:szCs w:val="16"/>
          <w:lang w:val="nl-NL"/>
        </w:rPr>
      </w:pPr>
      <w:r w:rsidRPr="00662382">
        <w:rPr>
          <w:rStyle w:val="Voetnootmarkering"/>
          <w:color w:val="000000" w:themeColor="text1"/>
          <w:sz w:val="16"/>
          <w:szCs w:val="16"/>
        </w:rPr>
        <w:footnoteRef/>
      </w:r>
      <w:r w:rsidRPr="00662382">
        <w:rPr>
          <w:color w:val="000000" w:themeColor="text1"/>
          <w:sz w:val="16"/>
          <w:szCs w:val="16"/>
          <w:lang w:val="nl-NL"/>
        </w:rPr>
        <w:t xml:space="preserve"> </w:t>
      </w:r>
      <w:hyperlink r:id="rId2" w:history="1">
        <w:r w:rsidRPr="00662382">
          <w:rPr>
            <w:rStyle w:val="Hyperlink1"/>
            <w:color w:val="000000" w:themeColor="text1"/>
            <w:sz w:val="16"/>
            <w:szCs w:val="16"/>
            <w:lang w:val="nl-NL"/>
          </w:rPr>
          <w:t>https://open.overheid.nl/documenten/18d9389a-8c8d-4dfb-aeef-2999b68aac5a/file</w:t>
        </w:r>
      </w:hyperlink>
    </w:p>
  </w:footnote>
  <w:footnote w:id="5">
    <w:p w14:paraId="75AD6CCC" w14:textId="77777777" w:rsidR="00F826D2" w:rsidRPr="00662382" w:rsidRDefault="00F826D2" w:rsidP="00662382">
      <w:pPr>
        <w:spacing w:after="0"/>
        <w:rPr>
          <w:sz w:val="16"/>
          <w:szCs w:val="16"/>
          <w:lang w:val="nl-NL"/>
        </w:rPr>
      </w:pPr>
      <w:r w:rsidRPr="00662382">
        <w:rPr>
          <w:rStyle w:val="Voetnootmarkering"/>
          <w:sz w:val="16"/>
          <w:szCs w:val="16"/>
        </w:rPr>
        <w:footnoteRef/>
      </w:r>
      <w:r w:rsidRPr="00662382">
        <w:rPr>
          <w:sz w:val="16"/>
          <w:szCs w:val="16"/>
          <w:lang w:val="nl-NL"/>
        </w:rPr>
        <w:t xml:space="preserve"> Onder de reguliere KOT</w:t>
      </w:r>
      <w:r w:rsidRPr="00662382">
        <w:rPr>
          <w:sz w:val="16"/>
          <w:szCs w:val="16"/>
          <w:lang w:val="nl-NL"/>
        </w:rPr>
        <w:noBreakHyphen/>
        <w:t>populatie zijn deze percentages in de structurele situatie respectievelijk 82% en 50% (inclusief de effecten van het nieuwe kinderopvangstelsel)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A8947" w14:textId="77777777" w:rsidR="00042C27" w:rsidRDefault="00042C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A4BE" w14:textId="77777777" w:rsidR="00042C27" w:rsidRDefault="00042C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7C18C" w14:textId="77777777" w:rsidR="00042C27" w:rsidRDefault="00042C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35C490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394AE7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60A2F86"/>
    <w:multiLevelType w:val="hybridMultilevel"/>
    <w:tmpl w:val="CCA0BABA"/>
    <w:lvl w:ilvl="0" w:tplc="CA22EFFE">
      <w:start w:val="1"/>
      <w:numFmt w:val="bullet"/>
      <w:pStyle w:val="Lijstopsomteken"/>
      <w:lvlText w:val="•"/>
      <w:lvlJc w:val="left"/>
      <w:pPr>
        <w:tabs>
          <w:tab w:val="num" w:pos="227"/>
        </w:tabs>
        <w:ind w:left="227" w:hanging="227"/>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3C4476"/>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52583B40"/>
    <w:multiLevelType w:val="hybridMultilevel"/>
    <w:tmpl w:val="6A5836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D182663"/>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3C6632C"/>
    <w:multiLevelType w:val="hybridMultilevel"/>
    <w:tmpl w:val="245677F0"/>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AA04C97"/>
    <w:multiLevelType w:val="hybridMultilevel"/>
    <w:tmpl w:val="41F83592"/>
    <w:lvl w:ilvl="0" w:tplc="A53ED4BC">
      <w:start w:val="1"/>
      <w:numFmt w:val="bullet"/>
      <w:pStyle w:val="Lijstopsomteken2"/>
      <w:lvlText w:val="–"/>
      <w:lvlJc w:val="left"/>
      <w:pPr>
        <w:tabs>
          <w:tab w:val="num" w:pos="227"/>
        </w:tabs>
        <w:ind w:left="454" w:hanging="227"/>
      </w:pPr>
      <w:rPr>
        <w:rFonts w:ascii="Verdana" w:hAnsi="Verdan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1E192A"/>
    <w:multiLevelType w:val="multilevel"/>
    <w:tmpl w:val="665433D8"/>
    <w:lvl w:ilvl="0">
      <w:start w:val="1"/>
      <w:numFmt w:val="decimal"/>
      <w:pStyle w:val="Kop1"/>
      <w:lvlText w:val="%1"/>
      <w:lvlJc w:val="left"/>
      <w:pPr>
        <w:tabs>
          <w:tab w:val="num" w:pos="0"/>
        </w:tabs>
        <w:ind w:left="0" w:hanging="907"/>
      </w:pPr>
      <w:rPr>
        <w:rFonts w:ascii="Verdana" w:hAnsi="Verdana" w:hint="default"/>
        <w:b w:val="0"/>
        <w:i w:val="0"/>
        <w:sz w:val="24"/>
      </w:rPr>
    </w:lvl>
    <w:lvl w:ilvl="1">
      <w:start w:val="1"/>
      <w:numFmt w:val="decimal"/>
      <w:pStyle w:val="Kop2"/>
      <w:lvlText w:val="%1.%2"/>
      <w:lvlJc w:val="left"/>
      <w:pPr>
        <w:tabs>
          <w:tab w:val="num" w:pos="0"/>
        </w:tabs>
        <w:ind w:left="0" w:hanging="907"/>
      </w:pPr>
      <w:rPr>
        <w:rFonts w:hint="default"/>
      </w:rPr>
    </w:lvl>
    <w:lvl w:ilvl="2">
      <w:start w:val="1"/>
      <w:numFmt w:val="decimal"/>
      <w:pStyle w:val="Kop3"/>
      <w:lvlText w:val="%1.%2.%3"/>
      <w:lvlJc w:val="left"/>
      <w:pPr>
        <w:tabs>
          <w:tab w:val="num" w:pos="0"/>
        </w:tabs>
        <w:ind w:left="0" w:hanging="907"/>
      </w:pPr>
      <w:rPr>
        <w:rFonts w:hint="default"/>
      </w:rPr>
    </w:lvl>
    <w:lvl w:ilvl="3">
      <w:start w:val="1"/>
      <w:numFmt w:val="decimal"/>
      <w:pStyle w:val="Kop4"/>
      <w:lvlText w:val="%1.%2.%3.%4"/>
      <w:lvlJc w:val="left"/>
      <w:pPr>
        <w:tabs>
          <w:tab w:val="num" w:pos="0"/>
        </w:tabs>
        <w:ind w:left="0" w:hanging="90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623316870">
    <w:abstractNumId w:val="8"/>
  </w:num>
  <w:num w:numId="2" w16cid:durableId="1292790257">
    <w:abstractNumId w:val="8"/>
  </w:num>
  <w:num w:numId="3" w16cid:durableId="1902595532">
    <w:abstractNumId w:val="8"/>
  </w:num>
  <w:num w:numId="4" w16cid:durableId="1174491157">
    <w:abstractNumId w:val="8"/>
  </w:num>
  <w:num w:numId="5" w16cid:durableId="1318455760">
    <w:abstractNumId w:val="1"/>
  </w:num>
  <w:num w:numId="6" w16cid:durableId="1694381039">
    <w:abstractNumId w:val="2"/>
  </w:num>
  <w:num w:numId="7" w16cid:durableId="1650552298">
    <w:abstractNumId w:val="0"/>
  </w:num>
  <w:num w:numId="8" w16cid:durableId="650603311">
    <w:abstractNumId w:val="7"/>
  </w:num>
  <w:num w:numId="9" w16cid:durableId="1517960767">
    <w:abstractNumId w:val="5"/>
  </w:num>
  <w:num w:numId="10" w16cid:durableId="793524413">
    <w:abstractNumId w:val="3"/>
  </w:num>
  <w:num w:numId="11" w16cid:durableId="1333534855">
    <w:abstractNumId w:val="6"/>
  </w:num>
  <w:num w:numId="12" w16cid:durableId="1875729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D2"/>
    <w:rsid w:val="00017C35"/>
    <w:rsid w:val="00042963"/>
    <w:rsid w:val="00042C27"/>
    <w:rsid w:val="00066FEE"/>
    <w:rsid w:val="00091753"/>
    <w:rsid w:val="000E2656"/>
    <w:rsid w:val="00154CDC"/>
    <w:rsid w:val="00182DF1"/>
    <w:rsid w:val="001E6A24"/>
    <w:rsid w:val="001F4F9F"/>
    <w:rsid w:val="0020534E"/>
    <w:rsid w:val="00244C5C"/>
    <w:rsid w:val="002610B3"/>
    <w:rsid w:val="002A16EA"/>
    <w:rsid w:val="002A5BD7"/>
    <w:rsid w:val="002C1DF8"/>
    <w:rsid w:val="002F6C5E"/>
    <w:rsid w:val="00345117"/>
    <w:rsid w:val="00351F24"/>
    <w:rsid w:val="003579CC"/>
    <w:rsid w:val="00357B20"/>
    <w:rsid w:val="003726D4"/>
    <w:rsid w:val="003B7F52"/>
    <w:rsid w:val="003C0316"/>
    <w:rsid w:val="003C5898"/>
    <w:rsid w:val="00440BA6"/>
    <w:rsid w:val="004D4BF9"/>
    <w:rsid w:val="004D600F"/>
    <w:rsid w:val="005177FA"/>
    <w:rsid w:val="00557D0D"/>
    <w:rsid w:val="0056673B"/>
    <w:rsid w:val="005704B6"/>
    <w:rsid w:val="00596693"/>
    <w:rsid w:val="005D2FDD"/>
    <w:rsid w:val="005E11FF"/>
    <w:rsid w:val="00633222"/>
    <w:rsid w:val="00641C05"/>
    <w:rsid w:val="00662382"/>
    <w:rsid w:val="0066413F"/>
    <w:rsid w:val="00696A6C"/>
    <w:rsid w:val="00696F5D"/>
    <w:rsid w:val="006A33AF"/>
    <w:rsid w:val="006B2BB6"/>
    <w:rsid w:val="00715555"/>
    <w:rsid w:val="00760AE6"/>
    <w:rsid w:val="008043DE"/>
    <w:rsid w:val="00810EDE"/>
    <w:rsid w:val="008464B0"/>
    <w:rsid w:val="0084749F"/>
    <w:rsid w:val="008533EC"/>
    <w:rsid w:val="008848C3"/>
    <w:rsid w:val="008E3E1A"/>
    <w:rsid w:val="0092782C"/>
    <w:rsid w:val="009616A7"/>
    <w:rsid w:val="0097069D"/>
    <w:rsid w:val="009A608D"/>
    <w:rsid w:val="009B09DA"/>
    <w:rsid w:val="009C4CEB"/>
    <w:rsid w:val="009F532E"/>
    <w:rsid w:val="00A42E30"/>
    <w:rsid w:val="00A844FE"/>
    <w:rsid w:val="00AB4DD8"/>
    <w:rsid w:val="00AE7CE3"/>
    <w:rsid w:val="00B06701"/>
    <w:rsid w:val="00B07E64"/>
    <w:rsid w:val="00B32060"/>
    <w:rsid w:val="00B45AAE"/>
    <w:rsid w:val="00B637F1"/>
    <w:rsid w:val="00B91894"/>
    <w:rsid w:val="00BB1AD8"/>
    <w:rsid w:val="00BB7820"/>
    <w:rsid w:val="00BF2B30"/>
    <w:rsid w:val="00BF30D5"/>
    <w:rsid w:val="00C50B47"/>
    <w:rsid w:val="00C57E3B"/>
    <w:rsid w:val="00C65EFD"/>
    <w:rsid w:val="00CF5A08"/>
    <w:rsid w:val="00D0774F"/>
    <w:rsid w:val="00D23597"/>
    <w:rsid w:val="00D82A46"/>
    <w:rsid w:val="00D82B13"/>
    <w:rsid w:val="00DC000F"/>
    <w:rsid w:val="00DD26E4"/>
    <w:rsid w:val="00DD281A"/>
    <w:rsid w:val="00E003C6"/>
    <w:rsid w:val="00E038C9"/>
    <w:rsid w:val="00E07B2B"/>
    <w:rsid w:val="00E3629A"/>
    <w:rsid w:val="00E500E9"/>
    <w:rsid w:val="00E7733F"/>
    <w:rsid w:val="00EC1981"/>
    <w:rsid w:val="00ED45C0"/>
    <w:rsid w:val="00ED71CC"/>
    <w:rsid w:val="00EF685D"/>
    <w:rsid w:val="00F051BA"/>
    <w:rsid w:val="00F71351"/>
    <w:rsid w:val="00F778FA"/>
    <w:rsid w:val="00F826D2"/>
    <w:rsid w:val="00F82E36"/>
    <w:rsid w:val="00FE2AA5"/>
    <w:rsid w:val="00FE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30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C5898"/>
    <w:pPr>
      <w:spacing w:after="160" w:line="259" w:lineRule="auto"/>
    </w:pPr>
    <w:rPr>
      <w:rFonts w:ascii="Verdana" w:hAnsi="Verdana" w:cstheme="minorBidi"/>
      <w:sz w:val="18"/>
      <w:szCs w:val="22"/>
    </w:rPr>
  </w:style>
  <w:style w:type="paragraph" w:styleId="Kop1">
    <w:name w:val="heading 1"/>
    <w:basedOn w:val="Standaard"/>
    <w:next w:val="Standaard"/>
    <w:link w:val="Kop1Char"/>
    <w:qFormat/>
    <w:rsid w:val="003726D4"/>
    <w:pPr>
      <w:keepNext/>
      <w:numPr>
        <w:numId w:val="4"/>
      </w:numPr>
      <w:spacing w:after="700" w:line="300" w:lineRule="atLeast"/>
      <w:outlineLvl w:val="0"/>
    </w:pPr>
    <w:rPr>
      <w:rFonts w:eastAsia="Times New Roman" w:cs="Arial"/>
      <w:bCs/>
      <w:sz w:val="24"/>
      <w:szCs w:val="32"/>
    </w:rPr>
  </w:style>
  <w:style w:type="paragraph" w:styleId="Kop2">
    <w:name w:val="heading 2"/>
    <w:basedOn w:val="Standaard"/>
    <w:next w:val="Standaard"/>
    <w:link w:val="Kop2Char"/>
    <w:qFormat/>
    <w:rsid w:val="003726D4"/>
    <w:pPr>
      <w:keepNext/>
      <w:numPr>
        <w:ilvl w:val="1"/>
        <w:numId w:val="4"/>
      </w:numPr>
      <w:spacing w:before="240"/>
      <w:outlineLvl w:val="1"/>
    </w:pPr>
    <w:rPr>
      <w:rFonts w:eastAsia="Times New Roman" w:cs="Arial"/>
      <w:b/>
      <w:bCs/>
      <w:iCs/>
      <w:szCs w:val="28"/>
    </w:rPr>
  </w:style>
  <w:style w:type="paragraph" w:styleId="Kop3">
    <w:name w:val="heading 3"/>
    <w:basedOn w:val="Standaard"/>
    <w:next w:val="Standaard"/>
    <w:link w:val="Kop3Char"/>
    <w:qFormat/>
    <w:rsid w:val="003726D4"/>
    <w:pPr>
      <w:keepNext/>
      <w:numPr>
        <w:ilvl w:val="2"/>
        <w:numId w:val="4"/>
      </w:numPr>
      <w:spacing w:before="240"/>
      <w:outlineLvl w:val="2"/>
    </w:pPr>
    <w:rPr>
      <w:rFonts w:eastAsia="Times New Roman" w:cs="Arial"/>
      <w:bCs/>
      <w:i/>
      <w:szCs w:val="26"/>
    </w:rPr>
  </w:style>
  <w:style w:type="paragraph" w:styleId="Kop4">
    <w:name w:val="heading 4"/>
    <w:basedOn w:val="Standaard"/>
    <w:next w:val="Standaard"/>
    <w:link w:val="Kop4Char"/>
    <w:qFormat/>
    <w:rsid w:val="003726D4"/>
    <w:pPr>
      <w:keepNext/>
      <w:numPr>
        <w:ilvl w:val="3"/>
        <w:numId w:val="4"/>
      </w:numPr>
      <w:spacing w:before="240"/>
      <w:outlineLvl w:val="3"/>
    </w:pPr>
    <w:rPr>
      <w:rFonts w:eastAsia="Times New Roman"/>
      <w:bCs/>
      <w:szCs w:val="28"/>
    </w:rPr>
  </w:style>
  <w:style w:type="paragraph" w:styleId="Kop5">
    <w:name w:val="heading 5"/>
    <w:basedOn w:val="Standaard"/>
    <w:next w:val="Standaard"/>
    <w:link w:val="Kop5Char"/>
    <w:semiHidden/>
    <w:unhideWhenUsed/>
    <w:qFormat/>
    <w:rsid w:val="00F826D2"/>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semiHidden/>
    <w:unhideWhenUsed/>
    <w:qFormat/>
    <w:rsid w:val="00F826D2"/>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semiHidden/>
    <w:unhideWhenUsed/>
    <w:qFormat/>
    <w:rsid w:val="00F826D2"/>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semiHidden/>
    <w:unhideWhenUsed/>
    <w:qFormat/>
    <w:rsid w:val="00F826D2"/>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qFormat/>
    <w:rsid w:val="003726D4"/>
    <w:pPr>
      <w:spacing w:line="300" w:lineRule="atLeast"/>
      <w:outlineLvl w:val="8"/>
    </w:pPr>
    <w:rPr>
      <w:rFonts w:eastAsia="Times New Roman" w:cs="Arial"/>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zendgegevens">
    <w:name w:val="Afzendgegevens"/>
    <w:basedOn w:val="Standaard"/>
    <w:link w:val="AfzendgegevensChar"/>
    <w:rsid w:val="003726D4"/>
    <w:pPr>
      <w:tabs>
        <w:tab w:val="left" w:pos="170"/>
      </w:tabs>
      <w:spacing w:line="180" w:lineRule="atLeast"/>
    </w:pPr>
    <w:rPr>
      <w:rFonts w:eastAsia="Times New Roman"/>
      <w:sz w:val="13"/>
    </w:rPr>
  </w:style>
  <w:style w:type="character" w:customStyle="1" w:styleId="AfzendgegevensChar">
    <w:name w:val="Afzendgegevens Char"/>
    <w:basedOn w:val="Standaardalinea-lettertype"/>
    <w:link w:val="Afzendgegevens"/>
    <w:rsid w:val="003726D4"/>
    <w:rPr>
      <w:rFonts w:ascii="Verdana" w:eastAsia="Times New Roman" w:hAnsi="Verdana"/>
      <w:sz w:val="13"/>
      <w:lang w:val="nl-NL" w:eastAsia="nl-NL"/>
    </w:rPr>
  </w:style>
  <w:style w:type="paragraph" w:customStyle="1" w:styleId="Afzendgegevenskopjes">
    <w:name w:val="Afzendgegevenskopjes"/>
    <w:basedOn w:val="Afzendgegevens"/>
    <w:next w:val="Afzendgegevens"/>
    <w:rsid w:val="003726D4"/>
    <w:rPr>
      <w:b/>
    </w:rPr>
  </w:style>
  <w:style w:type="paragraph" w:customStyle="1" w:styleId="Algemenevoorwaarden">
    <w:name w:val="Algemenevoorwaarden"/>
    <w:basedOn w:val="Standaard"/>
    <w:rsid w:val="003726D4"/>
    <w:pPr>
      <w:spacing w:line="180" w:lineRule="atLeast"/>
    </w:pPr>
    <w:rPr>
      <w:rFonts w:eastAsia="Times New Roman"/>
      <w:i/>
      <w:sz w:val="13"/>
    </w:rPr>
  </w:style>
  <w:style w:type="paragraph" w:customStyle="1" w:styleId="Functie">
    <w:name w:val="Functie"/>
    <w:basedOn w:val="Standaard"/>
    <w:next w:val="Standaard"/>
    <w:rsid w:val="003726D4"/>
    <w:rPr>
      <w:rFonts w:eastAsia="Times New Roman"/>
      <w:i/>
    </w:rPr>
  </w:style>
  <w:style w:type="paragraph" w:customStyle="1" w:styleId="KixCode">
    <w:name w:val="KixCode"/>
    <w:rsid w:val="003726D4"/>
    <w:pPr>
      <w:spacing w:before="120"/>
    </w:pPr>
    <w:rPr>
      <w:rFonts w:ascii="KIX Barcode" w:eastAsia="Times New Roman" w:hAnsi="KIX Barcode" w:cs="Arial"/>
      <w:lang w:val="nl-NL" w:eastAsia="nl-NL"/>
    </w:rPr>
  </w:style>
  <w:style w:type="paragraph" w:customStyle="1" w:styleId="Referentiegegevenkopjes">
    <w:name w:val="Referentiegegevenkopjes"/>
    <w:basedOn w:val="Standaard"/>
    <w:next w:val="Standaard"/>
    <w:rsid w:val="003726D4"/>
    <w:pPr>
      <w:spacing w:line="180" w:lineRule="atLeast"/>
    </w:pPr>
    <w:rPr>
      <w:rFonts w:eastAsia="Times New Roman"/>
      <w:b/>
      <w:sz w:val="13"/>
    </w:rPr>
  </w:style>
  <w:style w:type="paragraph" w:customStyle="1" w:styleId="Referentiegegevens">
    <w:name w:val="Referentiegegevens"/>
    <w:basedOn w:val="Standaard"/>
    <w:next w:val="Standaard"/>
    <w:rsid w:val="003726D4"/>
    <w:pPr>
      <w:spacing w:line="180" w:lineRule="atLeast"/>
    </w:pPr>
    <w:rPr>
      <w:rFonts w:eastAsia="Times New Roman"/>
      <w:sz w:val="13"/>
    </w:rPr>
  </w:style>
  <w:style w:type="paragraph" w:customStyle="1" w:styleId="Retouradres">
    <w:name w:val="Retouradres"/>
    <w:basedOn w:val="Standaard"/>
    <w:next w:val="Standaard"/>
    <w:rsid w:val="003726D4"/>
    <w:pPr>
      <w:spacing w:after="200" w:line="180" w:lineRule="atLeast"/>
    </w:pPr>
    <w:rPr>
      <w:rFonts w:eastAsia="Times New Roman"/>
      <w:sz w:val="13"/>
    </w:rPr>
  </w:style>
  <w:style w:type="paragraph" w:customStyle="1" w:styleId="Rubricering">
    <w:name w:val="Rubricering"/>
    <w:basedOn w:val="Standaard"/>
    <w:next w:val="Standaard"/>
    <w:link w:val="RubriceringChar"/>
    <w:rsid w:val="003726D4"/>
    <w:pPr>
      <w:spacing w:after="20" w:line="180" w:lineRule="atLeast"/>
    </w:pPr>
    <w:rPr>
      <w:rFonts w:eastAsia="Times New Roman"/>
      <w:b/>
      <w:caps/>
      <w:sz w:val="13"/>
    </w:rPr>
  </w:style>
  <w:style w:type="character" w:customStyle="1" w:styleId="RubriceringChar">
    <w:name w:val="Rubricering Char"/>
    <w:basedOn w:val="Standaardalinea-lettertype"/>
    <w:link w:val="Rubricering"/>
    <w:rsid w:val="003726D4"/>
    <w:rPr>
      <w:rFonts w:ascii="Verdana" w:eastAsia="Times New Roman" w:hAnsi="Verdana"/>
      <w:b/>
      <w:caps/>
      <w:sz w:val="13"/>
      <w:lang w:val="nl-NL" w:eastAsia="nl-NL"/>
    </w:rPr>
  </w:style>
  <w:style w:type="table" w:customStyle="1" w:styleId="TabelSZW">
    <w:name w:val="TabelSZW"/>
    <w:basedOn w:val="Standaardtabel"/>
    <w:rsid w:val="003726D4"/>
    <w:rPr>
      <w:rFonts w:ascii="Verdana" w:eastAsia="Times New Roman" w:hAnsi="Verdana"/>
      <w:sz w:val="14"/>
      <w:lang w:val="nl-NL" w:eastAsia="nl-NL"/>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Cambria" w:hAnsi="Cambria"/>
        <w:b/>
        <w:sz w:val="14"/>
      </w:rPr>
    </w:tblStylePr>
  </w:style>
  <w:style w:type="paragraph" w:customStyle="1" w:styleId="Toezendgegevens">
    <w:name w:val="Toezendgegevens"/>
    <w:basedOn w:val="Standaard"/>
    <w:rsid w:val="003726D4"/>
    <w:rPr>
      <w:rFonts w:eastAsia="Times New Roman"/>
    </w:rPr>
  </w:style>
  <w:style w:type="paragraph" w:customStyle="1" w:styleId="Witregel1">
    <w:name w:val="Witregel1"/>
    <w:basedOn w:val="Standaard"/>
    <w:next w:val="Standaard"/>
    <w:link w:val="Witregel1Char"/>
    <w:rsid w:val="003726D4"/>
    <w:pPr>
      <w:spacing w:line="90" w:lineRule="exact"/>
    </w:pPr>
    <w:rPr>
      <w:rFonts w:eastAsia="Times New Roman"/>
    </w:rPr>
  </w:style>
  <w:style w:type="character" w:customStyle="1" w:styleId="Witregel1Char">
    <w:name w:val="Witregel1 Char"/>
    <w:basedOn w:val="Standaardalinea-lettertype"/>
    <w:link w:val="Witregel1"/>
    <w:rsid w:val="003726D4"/>
    <w:rPr>
      <w:rFonts w:ascii="Verdana" w:eastAsia="Times New Roman" w:hAnsi="Verdana"/>
      <w:sz w:val="18"/>
      <w:lang w:val="nl-NL" w:eastAsia="nl-NL"/>
    </w:rPr>
  </w:style>
  <w:style w:type="paragraph" w:customStyle="1" w:styleId="Witregel2">
    <w:name w:val="Witregel2"/>
    <w:basedOn w:val="Standaard"/>
    <w:next w:val="Standaard"/>
    <w:rsid w:val="003726D4"/>
    <w:pPr>
      <w:spacing w:line="270" w:lineRule="atLeast"/>
    </w:pPr>
    <w:rPr>
      <w:rFonts w:eastAsia="Times New Roman"/>
    </w:rPr>
  </w:style>
  <w:style w:type="paragraph" w:customStyle="1" w:styleId="Kop1ongenummerd">
    <w:name w:val="Kop 1 ongenummerd"/>
    <w:basedOn w:val="Standaard"/>
    <w:next w:val="Standaard"/>
    <w:rsid w:val="003726D4"/>
    <w:pPr>
      <w:spacing w:after="700" w:line="300" w:lineRule="atLeast"/>
      <w:outlineLvl w:val="1"/>
    </w:pPr>
    <w:rPr>
      <w:rFonts w:eastAsia="Times New Roman"/>
      <w:sz w:val="24"/>
    </w:rPr>
  </w:style>
  <w:style w:type="paragraph" w:customStyle="1" w:styleId="Kopzondernummering">
    <w:name w:val="Kop zonder nummering"/>
    <w:basedOn w:val="Standaard"/>
    <w:rsid w:val="003726D4"/>
    <w:pPr>
      <w:spacing w:after="700" w:line="300" w:lineRule="atLeast"/>
      <w:contextualSpacing/>
    </w:pPr>
    <w:rPr>
      <w:rFonts w:eastAsia="Times New Roman"/>
      <w:sz w:val="24"/>
      <w:szCs w:val="24"/>
    </w:rPr>
  </w:style>
  <w:style w:type="paragraph" w:customStyle="1" w:styleId="Default">
    <w:name w:val="Default"/>
    <w:rsid w:val="003726D4"/>
    <w:pPr>
      <w:autoSpaceDE w:val="0"/>
      <w:autoSpaceDN w:val="0"/>
      <w:adjustRightInd w:val="0"/>
    </w:pPr>
    <w:rPr>
      <w:rFonts w:ascii="Verdana" w:eastAsia="Times New Roman" w:hAnsi="Verdana" w:cs="Verdana"/>
      <w:color w:val="000000"/>
      <w:sz w:val="24"/>
      <w:szCs w:val="24"/>
    </w:rPr>
  </w:style>
  <w:style w:type="character" w:customStyle="1" w:styleId="Kop1Char">
    <w:name w:val="Kop 1 Char"/>
    <w:basedOn w:val="Standaardalinea-lettertype"/>
    <w:link w:val="Kop1"/>
    <w:rsid w:val="003726D4"/>
    <w:rPr>
      <w:rFonts w:ascii="Verdana" w:eastAsia="Times New Roman" w:hAnsi="Verdana" w:cs="Arial"/>
      <w:bCs/>
      <w:sz w:val="24"/>
      <w:szCs w:val="32"/>
      <w:lang w:val="nl-NL" w:eastAsia="nl-NL"/>
    </w:rPr>
  </w:style>
  <w:style w:type="character" w:customStyle="1" w:styleId="Kop2Char">
    <w:name w:val="Kop 2 Char"/>
    <w:basedOn w:val="Standaardalinea-lettertype"/>
    <w:link w:val="Kop2"/>
    <w:rsid w:val="003726D4"/>
    <w:rPr>
      <w:rFonts w:ascii="Verdana" w:eastAsia="Times New Roman" w:hAnsi="Verdana" w:cs="Arial"/>
      <w:b/>
      <w:bCs/>
      <w:iCs/>
      <w:sz w:val="18"/>
      <w:szCs w:val="28"/>
      <w:lang w:val="nl-NL" w:eastAsia="nl-NL"/>
    </w:rPr>
  </w:style>
  <w:style w:type="character" w:customStyle="1" w:styleId="Kop3Char">
    <w:name w:val="Kop 3 Char"/>
    <w:basedOn w:val="Standaardalinea-lettertype"/>
    <w:link w:val="Kop3"/>
    <w:rsid w:val="003726D4"/>
    <w:rPr>
      <w:rFonts w:ascii="Verdana" w:eastAsia="Times New Roman" w:hAnsi="Verdana" w:cs="Arial"/>
      <w:bCs/>
      <w:i/>
      <w:sz w:val="18"/>
      <w:szCs w:val="26"/>
      <w:lang w:val="nl-NL" w:eastAsia="nl-NL"/>
    </w:rPr>
  </w:style>
  <w:style w:type="character" w:customStyle="1" w:styleId="Kop4Char">
    <w:name w:val="Kop 4 Char"/>
    <w:basedOn w:val="Standaardalinea-lettertype"/>
    <w:link w:val="Kop4"/>
    <w:rsid w:val="003726D4"/>
    <w:rPr>
      <w:rFonts w:ascii="Verdana" w:eastAsia="Times New Roman" w:hAnsi="Verdana"/>
      <w:bCs/>
      <w:sz w:val="18"/>
      <w:szCs w:val="28"/>
      <w:lang w:val="nl-NL" w:eastAsia="nl-NL"/>
    </w:rPr>
  </w:style>
  <w:style w:type="character" w:customStyle="1" w:styleId="Kop9Char">
    <w:name w:val="Kop 9 Char"/>
    <w:basedOn w:val="Standaardalinea-lettertype"/>
    <w:link w:val="Kop9"/>
    <w:rsid w:val="003726D4"/>
    <w:rPr>
      <w:rFonts w:ascii="Verdana" w:eastAsia="Times New Roman" w:hAnsi="Verdana" w:cs="Arial"/>
      <w:sz w:val="24"/>
      <w:szCs w:val="22"/>
      <w:lang w:val="nl-NL" w:eastAsia="nl-NL"/>
    </w:rPr>
  </w:style>
  <w:style w:type="paragraph" w:styleId="Inhopg1">
    <w:name w:val="toc 1"/>
    <w:basedOn w:val="Standaard"/>
    <w:next w:val="Standaard"/>
    <w:uiPriority w:val="39"/>
    <w:rsid w:val="003726D4"/>
    <w:rPr>
      <w:rFonts w:eastAsia="Times New Roman"/>
      <w:szCs w:val="24"/>
    </w:rPr>
  </w:style>
  <w:style w:type="paragraph" w:styleId="Inhopg2">
    <w:name w:val="toc 2"/>
    <w:basedOn w:val="Inhopg1"/>
    <w:next w:val="Standaard"/>
    <w:uiPriority w:val="39"/>
    <w:rsid w:val="003726D4"/>
    <w:pPr>
      <w:tabs>
        <w:tab w:val="left" w:pos="0"/>
      </w:tabs>
      <w:spacing w:before="240"/>
      <w:ind w:left="-1160"/>
    </w:pPr>
    <w:rPr>
      <w:b/>
    </w:rPr>
  </w:style>
  <w:style w:type="paragraph" w:styleId="Inhopg3">
    <w:name w:val="toc 3"/>
    <w:basedOn w:val="Inhopg2"/>
    <w:next w:val="Standaard"/>
    <w:uiPriority w:val="39"/>
    <w:rsid w:val="003726D4"/>
    <w:pPr>
      <w:spacing w:before="0"/>
    </w:pPr>
    <w:rPr>
      <w:b w:val="0"/>
    </w:rPr>
  </w:style>
  <w:style w:type="paragraph" w:styleId="Inhopg4">
    <w:name w:val="toc 4"/>
    <w:basedOn w:val="Inhopg3"/>
    <w:next w:val="Standaard"/>
    <w:uiPriority w:val="39"/>
    <w:rsid w:val="003726D4"/>
  </w:style>
  <w:style w:type="paragraph" w:styleId="Voetnoottekst">
    <w:name w:val="footnote text"/>
    <w:basedOn w:val="Standaard"/>
    <w:link w:val="VoetnoottekstChar"/>
    <w:uiPriority w:val="99"/>
    <w:rsid w:val="003726D4"/>
    <w:pPr>
      <w:spacing w:line="180" w:lineRule="atLeast"/>
    </w:pPr>
    <w:rPr>
      <w:rFonts w:eastAsia="Times New Roman"/>
      <w:sz w:val="13"/>
    </w:rPr>
  </w:style>
  <w:style w:type="character" w:customStyle="1" w:styleId="VoetnoottekstChar">
    <w:name w:val="Voetnoottekst Char"/>
    <w:basedOn w:val="Standaardalinea-lettertype"/>
    <w:link w:val="Voetnoottekst"/>
    <w:uiPriority w:val="99"/>
    <w:rsid w:val="003726D4"/>
    <w:rPr>
      <w:rFonts w:ascii="Verdana" w:eastAsia="Times New Roman" w:hAnsi="Verdana"/>
      <w:sz w:val="13"/>
      <w:lang w:val="nl-NL" w:eastAsia="nl-NL"/>
    </w:rPr>
  </w:style>
  <w:style w:type="paragraph" w:styleId="Tekstopmerking">
    <w:name w:val="annotation text"/>
    <w:basedOn w:val="Standaard"/>
    <w:link w:val="TekstopmerkingChar"/>
    <w:uiPriority w:val="99"/>
    <w:rsid w:val="003726D4"/>
    <w:rPr>
      <w:rFonts w:eastAsia="Times New Roman"/>
      <w:sz w:val="20"/>
    </w:rPr>
  </w:style>
  <w:style w:type="character" w:customStyle="1" w:styleId="TekstopmerkingChar">
    <w:name w:val="Tekst opmerking Char"/>
    <w:basedOn w:val="Standaardalinea-lettertype"/>
    <w:link w:val="Tekstopmerking"/>
    <w:uiPriority w:val="99"/>
    <w:rsid w:val="003726D4"/>
    <w:rPr>
      <w:rFonts w:ascii="Verdana" w:eastAsia="Times New Roman" w:hAnsi="Verdana"/>
      <w:lang w:val="nl-NL" w:eastAsia="nl-NL"/>
    </w:rPr>
  </w:style>
  <w:style w:type="paragraph" w:styleId="Koptekst">
    <w:name w:val="header"/>
    <w:basedOn w:val="Standaard"/>
    <w:link w:val="KoptekstChar"/>
    <w:rsid w:val="003726D4"/>
    <w:pPr>
      <w:tabs>
        <w:tab w:val="center" w:pos="4536"/>
        <w:tab w:val="right" w:pos="9072"/>
      </w:tabs>
      <w:spacing w:line="180" w:lineRule="atLeast"/>
    </w:pPr>
    <w:rPr>
      <w:rFonts w:eastAsia="Times New Roman"/>
      <w:sz w:val="13"/>
    </w:rPr>
  </w:style>
  <w:style w:type="character" w:customStyle="1" w:styleId="KoptekstChar">
    <w:name w:val="Koptekst Char"/>
    <w:basedOn w:val="Standaardalinea-lettertype"/>
    <w:link w:val="Koptekst"/>
    <w:rsid w:val="003726D4"/>
    <w:rPr>
      <w:rFonts w:ascii="Verdana" w:eastAsia="Times New Roman" w:hAnsi="Verdana"/>
      <w:sz w:val="13"/>
      <w:lang w:val="nl-NL" w:eastAsia="nl-NL"/>
    </w:rPr>
  </w:style>
  <w:style w:type="paragraph" w:styleId="Voettekst">
    <w:name w:val="footer"/>
    <w:basedOn w:val="Standaard"/>
    <w:link w:val="VoettekstChar"/>
    <w:rsid w:val="003726D4"/>
    <w:pPr>
      <w:tabs>
        <w:tab w:val="right" w:pos="7711"/>
      </w:tabs>
      <w:spacing w:line="180" w:lineRule="atLeast"/>
    </w:pPr>
    <w:rPr>
      <w:rFonts w:eastAsia="Times New Roman"/>
      <w:sz w:val="13"/>
    </w:rPr>
  </w:style>
  <w:style w:type="character" w:customStyle="1" w:styleId="VoettekstChar">
    <w:name w:val="Voettekst Char"/>
    <w:basedOn w:val="Standaardalinea-lettertype"/>
    <w:link w:val="Voettekst"/>
    <w:rsid w:val="003726D4"/>
    <w:rPr>
      <w:rFonts w:ascii="Verdana" w:eastAsia="Times New Roman" w:hAnsi="Verdana"/>
      <w:sz w:val="13"/>
      <w:lang w:val="nl-NL" w:eastAsia="nl-NL"/>
    </w:rPr>
  </w:style>
  <w:style w:type="paragraph" w:styleId="Afzender">
    <w:name w:val="envelope return"/>
    <w:basedOn w:val="Standaard"/>
    <w:rsid w:val="003726D4"/>
    <w:rPr>
      <w:rFonts w:ascii="Arial" w:eastAsia="Times New Roman" w:hAnsi="Arial" w:cs="Arial"/>
      <w:sz w:val="20"/>
    </w:rPr>
  </w:style>
  <w:style w:type="character" w:styleId="Voetnootmarkering">
    <w:name w:val="footnote reference"/>
    <w:basedOn w:val="Standaardalinea-lettertype"/>
    <w:uiPriority w:val="99"/>
    <w:rsid w:val="003726D4"/>
    <w:rPr>
      <w:vertAlign w:val="superscript"/>
    </w:rPr>
  </w:style>
  <w:style w:type="character" w:styleId="Verwijzingopmerking">
    <w:name w:val="annotation reference"/>
    <w:basedOn w:val="Standaardalinea-lettertype"/>
    <w:uiPriority w:val="99"/>
    <w:rsid w:val="003726D4"/>
    <w:rPr>
      <w:sz w:val="16"/>
      <w:szCs w:val="16"/>
    </w:rPr>
  </w:style>
  <w:style w:type="paragraph" w:styleId="Lijstopsomteken">
    <w:name w:val="List Bullet"/>
    <w:basedOn w:val="Standaard"/>
    <w:rsid w:val="003726D4"/>
    <w:pPr>
      <w:numPr>
        <w:numId w:val="6"/>
      </w:numPr>
    </w:pPr>
    <w:rPr>
      <w:rFonts w:eastAsia="Times New Roman"/>
      <w:noProof/>
      <w:szCs w:val="24"/>
    </w:rPr>
  </w:style>
  <w:style w:type="paragraph" w:styleId="Lijstopsomteken2">
    <w:name w:val="List Bullet 2"/>
    <w:basedOn w:val="Standaard"/>
    <w:rsid w:val="003726D4"/>
    <w:pPr>
      <w:numPr>
        <w:numId w:val="8"/>
      </w:numPr>
    </w:pPr>
    <w:rPr>
      <w:rFonts w:eastAsia="Times New Roman"/>
      <w:noProof/>
      <w:szCs w:val="24"/>
    </w:rPr>
  </w:style>
  <w:style w:type="paragraph" w:styleId="Titel">
    <w:name w:val="Title"/>
    <w:basedOn w:val="Standaard"/>
    <w:link w:val="TitelChar"/>
    <w:qFormat/>
    <w:rsid w:val="003726D4"/>
    <w:pPr>
      <w:spacing w:line="300" w:lineRule="atLeast"/>
    </w:pPr>
    <w:rPr>
      <w:rFonts w:eastAsia="Times New Roman" w:cs="Arial"/>
      <w:b/>
      <w:bCs/>
      <w:sz w:val="24"/>
      <w:szCs w:val="32"/>
    </w:rPr>
  </w:style>
  <w:style w:type="character" w:customStyle="1" w:styleId="TitelChar">
    <w:name w:val="Titel Char"/>
    <w:basedOn w:val="Standaardalinea-lettertype"/>
    <w:link w:val="Titel"/>
    <w:rsid w:val="003726D4"/>
    <w:rPr>
      <w:rFonts w:ascii="Verdana" w:eastAsia="Times New Roman" w:hAnsi="Verdana" w:cs="Arial"/>
      <w:b/>
      <w:bCs/>
      <w:sz w:val="24"/>
      <w:szCs w:val="32"/>
      <w:lang w:val="nl-NL" w:eastAsia="nl-NL"/>
    </w:rPr>
  </w:style>
  <w:style w:type="paragraph" w:styleId="Ondertitel">
    <w:name w:val="Subtitle"/>
    <w:basedOn w:val="Standaard"/>
    <w:next w:val="Standaard"/>
    <w:link w:val="OndertitelChar"/>
    <w:qFormat/>
    <w:rsid w:val="003726D4"/>
    <w:pPr>
      <w:spacing w:after="60"/>
      <w:jc w:val="center"/>
      <w:outlineLvl w:val="1"/>
    </w:pPr>
    <w:rPr>
      <w:rFonts w:ascii="Cambria" w:eastAsia="Times New Roman" w:hAnsi="Cambria"/>
      <w:sz w:val="24"/>
      <w:szCs w:val="24"/>
    </w:rPr>
  </w:style>
  <w:style w:type="character" w:customStyle="1" w:styleId="OndertitelChar">
    <w:name w:val="Ondertitel Char"/>
    <w:basedOn w:val="Standaardalinea-lettertype"/>
    <w:link w:val="Ondertitel"/>
    <w:rsid w:val="003726D4"/>
    <w:rPr>
      <w:rFonts w:ascii="Cambria" w:eastAsia="Times New Roman" w:hAnsi="Cambria"/>
      <w:sz w:val="24"/>
      <w:szCs w:val="24"/>
      <w:lang w:val="nl-NL" w:eastAsia="nl-NL"/>
    </w:rPr>
  </w:style>
  <w:style w:type="character" w:styleId="Hyperlink">
    <w:name w:val="Hyperlink"/>
    <w:basedOn w:val="Standaardalinea-lettertype"/>
    <w:uiPriority w:val="99"/>
    <w:rsid w:val="003726D4"/>
    <w:rPr>
      <w:color w:val="0000FF"/>
      <w:u w:val="single"/>
    </w:rPr>
  </w:style>
  <w:style w:type="character" w:styleId="Zwaar">
    <w:name w:val="Strong"/>
    <w:basedOn w:val="Standaardalinea-lettertype"/>
    <w:qFormat/>
    <w:rsid w:val="003726D4"/>
    <w:rPr>
      <w:b/>
      <w:bCs/>
    </w:rPr>
  </w:style>
  <w:style w:type="character" w:styleId="Nadruk">
    <w:name w:val="Emphasis"/>
    <w:basedOn w:val="Standaardalinea-lettertype"/>
    <w:uiPriority w:val="20"/>
    <w:qFormat/>
    <w:rsid w:val="003726D4"/>
    <w:rPr>
      <w:i/>
      <w:iCs/>
    </w:rPr>
  </w:style>
  <w:style w:type="paragraph" w:styleId="Documentstructuur">
    <w:name w:val="Document Map"/>
    <w:basedOn w:val="Standaard"/>
    <w:link w:val="DocumentstructuurChar"/>
    <w:semiHidden/>
    <w:rsid w:val="003726D4"/>
    <w:pPr>
      <w:shd w:val="clear" w:color="auto" w:fill="000080"/>
    </w:pPr>
    <w:rPr>
      <w:rFonts w:ascii="Tahoma" w:eastAsia="Times New Roman" w:hAnsi="Tahoma" w:cs="Tahoma"/>
    </w:rPr>
  </w:style>
  <w:style w:type="character" w:customStyle="1" w:styleId="DocumentstructuurChar">
    <w:name w:val="Documentstructuur Char"/>
    <w:basedOn w:val="Standaardalinea-lettertype"/>
    <w:link w:val="Documentstructuur"/>
    <w:semiHidden/>
    <w:rsid w:val="003726D4"/>
    <w:rPr>
      <w:rFonts w:ascii="Tahoma" w:eastAsia="Times New Roman" w:hAnsi="Tahoma" w:cs="Tahoma"/>
      <w:sz w:val="18"/>
      <w:shd w:val="clear" w:color="auto" w:fill="000080"/>
      <w:lang w:val="nl-NL" w:eastAsia="nl-NL"/>
    </w:rPr>
  </w:style>
  <w:style w:type="paragraph" w:styleId="Tekstzonderopmaak">
    <w:name w:val="Plain Text"/>
    <w:basedOn w:val="Standaard"/>
    <w:link w:val="TekstzonderopmaakChar"/>
    <w:uiPriority w:val="99"/>
    <w:unhideWhenUsed/>
    <w:rsid w:val="003726D4"/>
    <w:pPr>
      <w:spacing w:line="240" w:lineRule="auto"/>
    </w:pPr>
    <w:rPr>
      <w:rFonts w:ascii="Consolas" w:eastAsia="Times New Roman" w:hAnsi="Consolas"/>
      <w:sz w:val="21"/>
      <w:szCs w:val="21"/>
    </w:rPr>
  </w:style>
  <w:style w:type="character" w:customStyle="1" w:styleId="TekstzonderopmaakChar">
    <w:name w:val="Tekst zonder opmaak Char"/>
    <w:basedOn w:val="Standaardalinea-lettertype"/>
    <w:link w:val="Tekstzonderopmaak"/>
    <w:uiPriority w:val="99"/>
    <w:rsid w:val="003726D4"/>
    <w:rPr>
      <w:rFonts w:ascii="Consolas" w:eastAsia="Times New Roman" w:hAnsi="Consolas"/>
      <w:sz w:val="21"/>
      <w:szCs w:val="21"/>
      <w:lang w:val="nl-NL"/>
    </w:rPr>
  </w:style>
  <w:style w:type="paragraph" w:styleId="Onderwerpvanopmerking">
    <w:name w:val="annotation subject"/>
    <w:basedOn w:val="Tekstopmerking"/>
    <w:next w:val="Tekstopmerking"/>
    <w:link w:val="OnderwerpvanopmerkingChar"/>
    <w:rsid w:val="003726D4"/>
    <w:rPr>
      <w:b/>
      <w:bCs/>
    </w:rPr>
  </w:style>
  <w:style w:type="character" w:customStyle="1" w:styleId="OnderwerpvanopmerkingChar">
    <w:name w:val="Onderwerp van opmerking Char"/>
    <w:basedOn w:val="TekstopmerkingChar"/>
    <w:link w:val="Onderwerpvanopmerking"/>
    <w:rsid w:val="003726D4"/>
    <w:rPr>
      <w:rFonts w:ascii="Verdana" w:eastAsia="Times New Roman" w:hAnsi="Verdana"/>
      <w:b/>
      <w:bCs/>
      <w:lang w:val="nl-NL" w:eastAsia="nl-NL"/>
    </w:rPr>
  </w:style>
  <w:style w:type="numbering" w:styleId="1ai">
    <w:name w:val="Outline List 1"/>
    <w:basedOn w:val="Geenlijst"/>
    <w:rsid w:val="003726D4"/>
    <w:pPr>
      <w:numPr>
        <w:numId w:val="9"/>
      </w:numPr>
    </w:pPr>
  </w:style>
  <w:style w:type="table" w:styleId="Professioneletabel">
    <w:name w:val="Table Professional"/>
    <w:basedOn w:val="Standaardtabel"/>
    <w:rsid w:val="003726D4"/>
    <w:pPr>
      <w:spacing w:line="240" w:lineRule="atLeast"/>
    </w:pPr>
    <w:rPr>
      <w:rFonts w:eastAsia="Times New Roman"/>
      <w:lang w:val="nl-NL"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allontekst">
    <w:name w:val="Balloon Text"/>
    <w:basedOn w:val="Standaard"/>
    <w:link w:val="BallontekstChar"/>
    <w:semiHidden/>
    <w:rsid w:val="003726D4"/>
    <w:rPr>
      <w:rFonts w:ascii="Tahoma" w:eastAsia="Times New Roman" w:hAnsi="Tahoma" w:cs="Tahoma"/>
      <w:sz w:val="16"/>
      <w:szCs w:val="16"/>
    </w:rPr>
  </w:style>
  <w:style w:type="character" w:customStyle="1" w:styleId="BallontekstChar">
    <w:name w:val="Ballontekst Char"/>
    <w:basedOn w:val="Standaardalinea-lettertype"/>
    <w:link w:val="Ballontekst"/>
    <w:semiHidden/>
    <w:rsid w:val="003726D4"/>
    <w:rPr>
      <w:rFonts w:ascii="Tahoma" w:eastAsia="Times New Roman" w:hAnsi="Tahoma" w:cs="Tahoma"/>
      <w:sz w:val="16"/>
      <w:szCs w:val="16"/>
      <w:lang w:val="nl-NL" w:eastAsia="nl-NL"/>
    </w:rPr>
  </w:style>
  <w:style w:type="table" w:styleId="Tabelraster">
    <w:name w:val="Table Grid"/>
    <w:basedOn w:val="Standaardtabel"/>
    <w:rsid w:val="003726D4"/>
    <w:rPr>
      <w:rFonts w:ascii="Calibri" w:eastAsia="Calibri" w:hAnsi="Calibr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3726D4"/>
    <w:rPr>
      <w:rFonts w:ascii="Calibri" w:eastAsia="Calibri" w:hAnsi="Calibri"/>
      <w:sz w:val="22"/>
      <w:szCs w:val="22"/>
      <w:lang w:val="nl-NL" w:eastAsia="nl-NL"/>
    </w:rPr>
  </w:style>
  <w:style w:type="paragraph" w:styleId="Lijstalinea">
    <w:name w:val="List Paragraph"/>
    <w:basedOn w:val="Standaard"/>
    <w:uiPriority w:val="34"/>
    <w:qFormat/>
    <w:rsid w:val="003726D4"/>
    <w:pPr>
      <w:spacing w:after="200" w:line="276" w:lineRule="auto"/>
      <w:ind w:left="720"/>
      <w:contextualSpacing/>
    </w:pPr>
    <w:rPr>
      <w:rFonts w:ascii="Calibri" w:eastAsia="Calibri" w:hAnsi="Calibri"/>
      <w:sz w:val="22"/>
    </w:rPr>
  </w:style>
  <w:style w:type="character" w:customStyle="1" w:styleId="Kop5Char">
    <w:name w:val="Kop 5 Char"/>
    <w:basedOn w:val="Standaardalinea-lettertype"/>
    <w:link w:val="Kop5"/>
    <w:semiHidden/>
    <w:rsid w:val="00F826D2"/>
    <w:rPr>
      <w:rFonts w:asciiTheme="minorHAnsi" w:eastAsiaTheme="majorEastAsia" w:hAnsiTheme="minorHAnsi" w:cstheme="majorBidi"/>
      <w:color w:val="2E74B5" w:themeColor="accent1" w:themeShade="BF"/>
      <w:sz w:val="18"/>
      <w:lang w:val="nl-NL" w:eastAsia="nl-NL"/>
    </w:rPr>
  </w:style>
  <w:style w:type="character" w:customStyle="1" w:styleId="Kop6Char">
    <w:name w:val="Kop 6 Char"/>
    <w:basedOn w:val="Standaardalinea-lettertype"/>
    <w:link w:val="Kop6"/>
    <w:semiHidden/>
    <w:rsid w:val="00F826D2"/>
    <w:rPr>
      <w:rFonts w:asciiTheme="minorHAnsi" w:eastAsiaTheme="majorEastAsia" w:hAnsiTheme="minorHAnsi" w:cstheme="majorBidi"/>
      <w:i/>
      <w:iCs/>
      <w:color w:val="595959" w:themeColor="text1" w:themeTint="A6"/>
      <w:sz w:val="18"/>
      <w:lang w:val="nl-NL" w:eastAsia="nl-NL"/>
    </w:rPr>
  </w:style>
  <w:style w:type="character" w:customStyle="1" w:styleId="Kop7Char">
    <w:name w:val="Kop 7 Char"/>
    <w:basedOn w:val="Standaardalinea-lettertype"/>
    <w:link w:val="Kop7"/>
    <w:semiHidden/>
    <w:rsid w:val="00F826D2"/>
    <w:rPr>
      <w:rFonts w:asciiTheme="minorHAnsi" w:eastAsiaTheme="majorEastAsia" w:hAnsiTheme="minorHAnsi" w:cstheme="majorBidi"/>
      <w:color w:val="595959" w:themeColor="text1" w:themeTint="A6"/>
      <w:sz w:val="18"/>
      <w:lang w:val="nl-NL" w:eastAsia="nl-NL"/>
    </w:rPr>
  </w:style>
  <w:style w:type="character" w:customStyle="1" w:styleId="Kop8Char">
    <w:name w:val="Kop 8 Char"/>
    <w:basedOn w:val="Standaardalinea-lettertype"/>
    <w:link w:val="Kop8"/>
    <w:semiHidden/>
    <w:rsid w:val="00F826D2"/>
    <w:rPr>
      <w:rFonts w:asciiTheme="minorHAnsi" w:eastAsiaTheme="majorEastAsia" w:hAnsiTheme="minorHAnsi" w:cstheme="majorBidi"/>
      <w:i/>
      <w:iCs/>
      <w:color w:val="272727" w:themeColor="text1" w:themeTint="D8"/>
      <w:sz w:val="18"/>
      <w:lang w:val="nl-NL" w:eastAsia="nl-NL"/>
    </w:rPr>
  </w:style>
  <w:style w:type="paragraph" w:styleId="Citaat">
    <w:name w:val="Quote"/>
    <w:basedOn w:val="Standaard"/>
    <w:next w:val="Standaard"/>
    <w:link w:val="CitaatChar"/>
    <w:uiPriority w:val="29"/>
    <w:qFormat/>
    <w:rsid w:val="00F826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26D2"/>
    <w:rPr>
      <w:rFonts w:ascii="Verdana" w:hAnsi="Verdana"/>
      <w:i/>
      <w:iCs/>
      <w:color w:val="404040" w:themeColor="text1" w:themeTint="BF"/>
      <w:sz w:val="18"/>
      <w:lang w:val="nl-NL" w:eastAsia="nl-NL"/>
    </w:rPr>
  </w:style>
  <w:style w:type="character" w:styleId="Intensievebenadrukking">
    <w:name w:val="Intense Emphasis"/>
    <w:basedOn w:val="Standaardalinea-lettertype"/>
    <w:uiPriority w:val="21"/>
    <w:qFormat/>
    <w:rsid w:val="00F826D2"/>
    <w:rPr>
      <w:i/>
      <w:iCs/>
      <w:color w:val="2E74B5" w:themeColor="accent1" w:themeShade="BF"/>
    </w:rPr>
  </w:style>
  <w:style w:type="paragraph" w:styleId="Duidelijkcitaat">
    <w:name w:val="Intense Quote"/>
    <w:basedOn w:val="Standaard"/>
    <w:next w:val="Standaard"/>
    <w:link w:val="DuidelijkcitaatChar"/>
    <w:uiPriority w:val="30"/>
    <w:qFormat/>
    <w:rsid w:val="00F826D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F826D2"/>
    <w:rPr>
      <w:rFonts w:ascii="Verdana" w:hAnsi="Verdana"/>
      <w:i/>
      <w:iCs/>
      <w:color w:val="2E74B5" w:themeColor="accent1" w:themeShade="BF"/>
      <w:sz w:val="18"/>
      <w:lang w:val="nl-NL" w:eastAsia="nl-NL"/>
    </w:rPr>
  </w:style>
  <w:style w:type="character" w:styleId="Intensieveverwijzing">
    <w:name w:val="Intense Reference"/>
    <w:basedOn w:val="Standaardalinea-lettertype"/>
    <w:uiPriority w:val="32"/>
    <w:qFormat/>
    <w:rsid w:val="00F826D2"/>
    <w:rPr>
      <w:b/>
      <w:bCs/>
      <w:smallCaps/>
      <w:color w:val="2E74B5" w:themeColor="accent1" w:themeShade="BF"/>
      <w:spacing w:val="5"/>
    </w:rPr>
  </w:style>
  <w:style w:type="character" w:customStyle="1" w:styleId="Hyperlink1">
    <w:name w:val="Hyperlink1"/>
    <w:basedOn w:val="Standaardalinea-lettertype"/>
    <w:uiPriority w:val="99"/>
    <w:unhideWhenUsed/>
    <w:rsid w:val="00F826D2"/>
    <w:rPr>
      <w:color w:val="0563C1"/>
      <w:u w:val="single"/>
    </w:rPr>
  </w:style>
  <w:style w:type="paragraph" w:styleId="Revisie">
    <w:name w:val="Revision"/>
    <w:hidden/>
    <w:uiPriority w:val="99"/>
    <w:semiHidden/>
    <w:rsid w:val="003579CC"/>
    <w:rPr>
      <w:rFonts w:ascii="Verdana" w:hAnsi="Verdana" w:cstheme="minorBidi"/>
      <w:sz w:val="18"/>
      <w:szCs w:val="22"/>
    </w:rPr>
  </w:style>
  <w:style w:type="character" w:styleId="Onopgelostemelding">
    <w:name w:val="Unresolved Mention"/>
    <w:basedOn w:val="Standaardalinea-lettertype"/>
    <w:uiPriority w:val="99"/>
    <w:semiHidden/>
    <w:unhideWhenUsed/>
    <w:rsid w:val="00846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979995">
      <w:bodyDiv w:val="1"/>
      <w:marLeft w:val="0"/>
      <w:marRight w:val="0"/>
      <w:marTop w:val="0"/>
      <w:marBottom w:val="0"/>
      <w:divBdr>
        <w:top w:val="none" w:sz="0" w:space="0" w:color="auto"/>
        <w:left w:val="none" w:sz="0" w:space="0" w:color="auto"/>
        <w:bottom w:val="none" w:sz="0" w:space="0" w:color="auto"/>
        <w:right w:val="none" w:sz="0" w:space="0" w:color="auto"/>
      </w:divBdr>
    </w:div>
    <w:div w:id="201152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18d9389a-8c8d-4dfb-aeef-2999b68aac5a/file" TargetMode="External"/><Relationship Id="rId1" Type="http://schemas.openxmlformats.org/officeDocument/2006/relationships/hyperlink" Target="https://www.nji.nl/licht-verstandelijk-beperkte-jeugd-lvb/oorzak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1180</ap:Words>
  <ap:Characters>6490</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2025-06-24T13:08:00.0000000Z</dcterms:created>
  <dcterms:modified xsi:type="dcterms:W3CDTF">2025-06-24T13:08:00.0000000Z</dcterms:modified>
  <version/>
  <category/>
</coreProperties>
</file>