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2025Z13334</w:t>
        <w:br/>
      </w:r>
      <w:proofErr w:type="spellEnd"/>
    </w:p>
    <w:p>
      <w:pPr>
        <w:pStyle w:val="Normal"/>
        <w:rPr>
          <w:b w:val="1"/>
          <w:bCs w:val="1"/>
        </w:rPr>
      </w:pPr>
      <w:r w:rsidR="250AE766">
        <w:rPr>
          <w:b w:val="0"/>
          <w:bCs w:val="0"/>
        </w:rPr>
        <w:t>(ingezonden 26 juni 2025)</w:t>
        <w:br/>
      </w:r>
    </w:p>
    <w:p>
      <w:r>
        <w:t xml:space="preserve">Vragen van het lid Sneller (D66) aan de minister van Binnenlandse Zaken en Koninkrijksrelaties over het artikel ‘Zwolle weigert te stoppen met geheim overleg, net als tientallen andere gemeenten: ‘Minister moet ingrijpen’’</w:t>
      </w:r>
      <w:r>
        <w:br/>
      </w:r>
    </w:p>
    <w:p>
      <w:pPr>
        <w:pStyle w:val="ListParagraph"/>
        <w:numPr>
          <w:ilvl w:val="0"/>
          <w:numId w:val="100481960"/>
        </w:numPr>
        <w:ind w:left="360"/>
      </w:pPr>
      <w:r>
        <w:t>Heeft u kennisgenomen van het artikel ‘Zwolle weigert te stoppen met geheim overleg, net als tientallen andere gemeenten: ‘Minister moet ingrijpen’’? [1]</w:t>
      </w:r>
      <w:r>
        <w:br/>
      </w:r>
    </w:p>
    <w:p>
      <w:pPr>
        <w:pStyle w:val="ListParagraph"/>
        <w:numPr>
          <w:ilvl w:val="0"/>
          <w:numId w:val="100481960"/>
        </w:numPr>
        <w:ind w:left="360"/>
      </w:pPr>
      <w:r>
        <w:t>Deelt u de zienswijze van uw voorganger in de beantwoording van Kamervragen dat alle niet-incidentele bijeenkomsten die besluitvorming voorbereiden een raadscommissie zijn en daarmee onder de voorschriften voor openheid in de Gemeentewet vallen? [2]</w:t>
      </w:r>
      <w:r>
        <w:br/>
      </w:r>
    </w:p>
    <w:p>
      <w:pPr>
        <w:pStyle w:val="ListParagraph"/>
        <w:numPr>
          <w:ilvl w:val="0"/>
          <w:numId w:val="100481960"/>
        </w:numPr>
        <w:ind w:left="360"/>
      </w:pPr>
      <w:r>
        <w:t>Bent u bekend met het protocol uit de gemeente Tubbergen waarin expliciet ruimte wordt gecreëerd voor besloten bijeenkomsten buiten gronden uit de Wet open overheid (Woo) om? Acht u dit protocol rechtmatig en passend binnen de geest van de Gemeentewet en Woo?</w:t>
      </w:r>
      <w:r>
        <w:br/>
      </w:r>
    </w:p>
    <w:p>
      <w:pPr>
        <w:pStyle w:val="ListParagraph"/>
        <w:numPr>
          <w:ilvl w:val="0"/>
          <w:numId w:val="100481960"/>
        </w:numPr>
        <w:ind w:left="360"/>
      </w:pPr>
      <w:r>
        <w:t>Hoe beoordeelt u het feit dat tenminste 35 gemeenten nog altijd structurele besloten bijeenkomsten organiseren, mede in het licht van de inmiddels gepubliceerde circulaire over het commissiestelsel waarmee het verschaffen van helderheid over deze kwestie beoogd werd?</w:t>
      </w:r>
      <w:r>
        <w:br/>
      </w:r>
    </w:p>
    <w:p>
      <w:pPr>
        <w:pStyle w:val="ListParagraph"/>
        <w:numPr>
          <w:ilvl w:val="0"/>
          <w:numId w:val="100481960"/>
        </w:numPr>
        <w:ind w:left="360"/>
      </w:pPr>
      <w:r>
        <w:t>Overweegt u maatregelen om deze praktijk actief te handhaven of te ontmoedigen, bijvoorbeeld via het Gemeentefonds, zoals door deskundigen is gesuggereerd?</w:t>
      </w:r>
      <w:r>
        <w:br/>
      </w:r>
    </w:p>
    <w:p>
      <w:pPr>
        <w:pStyle w:val="ListParagraph"/>
        <w:numPr>
          <w:ilvl w:val="0"/>
          <w:numId w:val="100481960"/>
        </w:numPr>
        <w:ind w:left="360"/>
      </w:pPr>
      <w:r>
        <w:t>Bent u (nu wel) bereid om een voorlichting te vragen bij de Raad van State over de vraag of de Woo en de Gemeentewet momenteel voldoende duidelijkheid geven over welke bijeenkomsten en vergaderingen openbaar danwel besloten mogen zijn en welke mogelijkheden de wetten bieden om ‘informele bijeenkomsten’ beter te reguleren?</w:t>
      </w:r>
      <w:r>
        <w:br/>
      </w:r>
    </w:p>
    <w:p>
      <w:r>
        <w:t xml:space="preserve"> </w:t>
      </w:r>
      <w:r>
        <w:br/>
      </w:r>
    </w:p>
    <w:p>
      <w:r>
        <w:t xml:space="preserve">[1] De Stentor, 22 juni 2025, 'Zwolle weigert te stoppen met geheim overleg, net als tientallen andere gemeenten: ‘Minister moet ingrijpen’' (www.destentor.nl/home/zwolle-weigert-te-stoppen-met-geheim-overleg-net-als-tientallen-andere-gemeenten-minister-moet-ingrijpen~a0c4baf4/).</w:t>
      </w:r>
      <w:r>
        <w:br/>
      </w:r>
    </w:p>
    <w:p>
      <w:r>
        <w:t xml:space="preserve">[2] Aanhangsel Handelingen II, vergaderjaar 2023-2024, nr. 333.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