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0E6A" w:rsidRDefault="00460E6A" w14:paraId="58DFBED4" w14:textId="77777777"/>
    <w:p w:rsidR="00863443" w:rsidRDefault="00863443" w14:paraId="103C7FE5" w14:textId="77777777"/>
    <w:p w:rsidR="00863443" w:rsidRDefault="00863443" w14:paraId="1F57E555" w14:textId="77777777"/>
    <w:p w:rsidR="009A6D60" w:rsidP="00504C0E" w:rsidRDefault="003A5060" w14:paraId="181D3F39" w14:textId="1446792D">
      <w:r>
        <w:t xml:space="preserve">Hierbij zend ik u de antwoorden op de </w:t>
      </w:r>
      <w:r w:rsidR="00504C0E">
        <w:t xml:space="preserve">schriftelijke </w:t>
      </w:r>
      <w:r>
        <w:t xml:space="preserve">Kamervragen </w:t>
      </w:r>
      <w:r w:rsidRPr="00504C0E" w:rsidR="00504C0E">
        <w:t xml:space="preserve">van de leden </w:t>
      </w:r>
      <w:proofErr w:type="spellStart"/>
      <w:r w:rsidRPr="00504C0E" w:rsidR="00504C0E">
        <w:t>Piri</w:t>
      </w:r>
      <w:proofErr w:type="spellEnd"/>
      <w:r w:rsidRPr="00504C0E" w:rsidR="00504C0E">
        <w:t xml:space="preserve"> en </w:t>
      </w:r>
      <w:proofErr w:type="spellStart"/>
      <w:r w:rsidRPr="00504C0E" w:rsidR="00504C0E">
        <w:t>Tseggai</w:t>
      </w:r>
      <w:proofErr w:type="spellEnd"/>
      <w:r w:rsidRPr="00504C0E" w:rsidR="00504C0E">
        <w:t xml:space="preserve"> (beiden GroenLinks-PvdA) over de uitspraak van het Europese Hof van Justitie over het feit dat het Nederlands sanctiebeleid bij niet tijdig halen van het inburgeringsexamen in strijd is met het Europees recht (2025Z02023)</w:t>
      </w:r>
      <w:r w:rsidR="00C964C0">
        <w:t xml:space="preserve">. </w:t>
      </w:r>
    </w:p>
    <w:p w:rsidR="009A6D60" w:rsidP="00504C0E" w:rsidRDefault="009A6D60" w14:paraId="59A8558F" w14:textId="77777777"/>
    <w:p w:rsidR="00460E6A" w:rsidP="00504C0E" w:rsidRDefault="009A6D60" w14:paraId="58DFBED6" w14:textId="2A10CDC2">
      <w:r>
        <w:t>D</w:t>
      </w:r>
      <w:r w:rsidR="00C964C0">
        <w:t xml:space="preserve">e </w:t>
      </w:r>
      <w:r w:rsidR="0030776C">
        <w:t xml:space="preserve">Kamervragen zijn </w:t>
      </w:r>
      <w:r>
        <w:t xml:space="preserve">op </w:t>
      </w:r>
      <w:r w:rsidRPr="00504C0E">
        <w:t xml:space="preserve">5 februari </w:t>
      </w:r>
      <w:r>
        <w:t xml:space="preserve">2025 </w:t>
      </w:r>
      <w:r w:rsidR="0030776C">
        <w:t xml:space="preserve">gesteld en de uitspraak </w:t>
      </w:r>
      <w:r w:rsidR="00813B27">
        <w:t>van</w:t>
      </w:r>
      <w:r w:rsidR="0030776C">
        <w:t xml:space="preserve"> de </w:t>
      </w:r>
      <w:r w:rsidRPr="00C964C0" w:rsidR="0030776C">
        <w:t xml:space="preserve">Afdeling bestuursrechtspraak van de Raad </w:t>
      </w:r>
      <w:r w:rsidR="0030776C">
        <w:t xml:space="preserve">van </w:t>
      </w:r>
      <w:r w:rsidRPr="00C964C0" w:rsidR="0030776C">
        <w:t>State</w:t>
      </w:r>
      <w:r w:rsidR="0030776C">
        <w:t xml:space="preserve"> </w:t>
      </w:r>
      <w:r w:rsidRPr="00C964C0" w:rsidR="0030776C">
        <w:t>in de onderhavige zaak</w:t>
      </w:r>
      <w:r w:rsidR="0030776C">
        <w:t xml:space="preserve"> </w:t>
      </w:r>
      <w:r w:rsidR="00D57F29">
        <w:t xml:space="preserve">laat </w:t>
      </w:r>
      <w:r w:rsidR="00E5152C">
        <w:t>langer</w:t>
      </w:r>
      <w:r w:rsidR="0030776C">
        <w:t xml:space="preserve"> </w:t>
      </w:r>
      <w:r w:rsidR="00C964C0">
        <w:t xml:space="preserve">op zich </w:t>
      </w:r>
      <w:r w:rsidR="0030776C">
        <w:t>wachten</w:t>
      </w:r>
      <w:r w:rsidR="00AE03FA">
        <w:t>.</w:t>
      </w:r>
      <w:r w:rsidRPr="001B3A40" w:rsidR="001B3A40">
        <w:t xml:space="preserve"> </w:t>
      </w:r>
      <w:r w:rsidR="001B3A40">
        <w:t xml:space="preserve">Ik </w:t>
      </w:r>
      <w:r w:rsidRPr="00813B27" w:rsidR="001B3A40">
        <w:t xml:space="preserve">hecht eraan uw Kamer </w:t>
      </w:r>
      <w:r w:rsidR="001B3A40">
        <w:t xml:space="preserve">direct </w:t>
      </w:r>
      <w:r w:rsidRPr="00813B27" w:rsidR="001B3A40">
        <w:t xml:space="preserve">te informeren en </w:t>
      </w:r>
      <w:r w:rsidR="001B3A40">
        <w:t>beantwoording niet langer uit stellen.</w:t>
      </w:r>
    </w:p>
    <w:p w:rsidR="00504C0E" w:rsidP="00504C0E" w:rsidRDefault="00504C0E" w14:paraId="61214ACF" w14:textId="16DD71AD"/>
    <w:p w:rsidR="00460E6A" w:rsidRDefault="003A5060" w14:paraId="58DFBED7" w14:textId="77777777">
      <w:r>
        <w:t>De Staatssecretaris Participatie                                                                           en Integratie,</w:t>
      </w:r>
    </w:p>
    <w:p w:rsidR="00460E6A" w:rsidRDefault="00460E6A" w14:paraId="58DFBED8" w14:textId="77777777"/>
    <w:p w:rsidR="00460E6A" w:rsidRDefault="00460E6A" w14:paraId="58DFBED9" w14:textId="77777777"/>
    <w:p w:rsidR="00460E6A" w:rsidRDefault="00460E6A" w14:paraId="58DFBEDA" w14:textId="77777777"/>
    <w:p w:rsidR="00460E6A" w:rsidRDefault="00460E6A" w14:paraId="58DFBEDB" w14:textId="77777777"/>
    <w:p w:rsidR="00460E6A" w:rsidRDefault="00460E6A" w14:paraId="58DFBEDC" w14:textId="77777777"/>
    <w:p w:rsidR="00504C0E" w:rsidRDefault="003A5060" w14:paraId="58DFBEDD" w14:textId="2797148F">
      <w:r>
        <w:t>J.N.J. Nobel</w:t>
      </w:r>
    </w:p>
    <w:p w:rsidR="00504C0E" w:rsidRDefault="00504C0E" w14:paraId="69FC6FB0" w14:textId="77777777">
      <w:pPr>
        <w:spacing w:line="240" w:lineRule="auto"/>
      </w:pPr>
      <w:r>
        <w:br w:type="page"/>
      </w:r>
    </w:p>
    <w:p w:rsidRPr="008D1C9C" w:rsidR="008D1C9C" w:rsidP="008D1C9C" w:rsidRDefault="008D1C9C" w14:paraId="65A64691" w14:textId="77777777">
      <w:pPr>
        <w:rPr>
          <w:b/>
          <w:bCs/>
        </w:rPr>
      </w:pPr>
      <w:r w:rsidRPr="008D1C9C">
        <w:rPr>
          <w:b/>
          <w:bCs/>
        </w:rPr>
        <w:lastRenderedPageBreak/>
        <w:t>Vraag 1</w:t>
      </w:r>
    </w:p>
    <w:p w:rsidRPr="008D1C9C" w:rsidR="008D1C9C" w:rsidP="008D1C9C" w:rsidRDefault="008D1C9C" w14:paraId="36EE0FA1" w14:textId="77777777">
      <w:r w:rsidRPr="008D1C9C">
        <w:t xml:space="preserve">Bent u bekend met de uitspraak van het Europese Hof van Justitie waarin wordt gesteld dat de Nederlandse overheid statushouders niet mag beboeten wanneer ze niet op tijd slagen voor hun inburgeringsexamen? </w:t>
      </w:r>
    </w:p>
    <w:p w:rsidR="008D1C9C" w:rsidP="008D1C9C" w:rsidRDefault="008D1C9C" w14:paraId="1B53F210" w14:textId="77777777">
      <w:pPr>
        <w:rPr>
          <w:b/>
          <w:bCs/>
        </w:rPr>
      </w:pPr>
    </w:p>
    <w:p w:rsidRPr="008D1C9C" w:rsidR="008D1C9C" w:rsidP="008D1C9C" w:rsidRDefault="008D1C9C" w14:paraId="65DA5CFE" w14:textId="14E53173">
      <w:pPr>
        <w:rPr>
          <w:b/>
          <w:bCs/>
        </w:rPr>
      </w:pPr>
      <w:r w:rsidRPr="008D1C9C">
        <w:rPr>
          <w:b/>
          <w:bCs/>
        </w:rPr>
        <w:t>Antwoord 1</w:t>
      </w:r>
    </w:p>
    <w:p w:rsidRPr="008D1C9C" w:rsidR="008D1C9C" w:rsidP="008D1C9C" w:rsidRDefault="008D1C9C" w14:paraId="052E5D62" w14:textId="77777777">
      <w:r w:rsidRPr="008D1C9C">
        <w:t>Het arrest is mij bekend.</w:t>
      </w:r>
      <w:r w:rsidRPr="008D1C9C">
        <w:rPr>
          <w:vertAlign w:val="superscript"/>
        </w:rPr>
        <w:footnoteReference w:id="1"/>
      </w:r>
    </w:p>
    <w:p w:rsidRPr="008D1C9C" w:rsidR="008D1C9C" w:rsidP="008D1C9C" w:rsidRDefault="008D1C9C" w14:paraId="5EC13BA9" w14:textId="77777777">
      <w:pPr>
        <w:rPr>
          <w:b/>
          <w:bCs/>
        </w:rPr>
      </w:pPr>
    </w:p>
    <w:p w:rsidR="008D1C9C" w:rsidP="008D1C9C" w:rsidRDefault="008D1C9C" w14:paraId="3288613F" w14:textId="77777777">
      <w:pPr>
        <w:rPr>
          <w:b/>
          <w:bCs/>
        </w:rPr>
      </w:pPr>
    </w:p>
    <w:p w:rsidRPr="008D1C9C" w:rsidR="008D1C9C" w:rsidP="008D1C9C" w:rsidRDefault="008D1C9C" w14:paraId="361AB20A" w14:textId="689B8D4B">
      <w:pPr>
        <w:rPr>
          <w:b/>
          <w:bCs/>
        </w:rPr>
      </w:pPr>
      <w:r w:rsidRPr="008D1C9C">
        <w:rPr>
          <w:b/>
          <w:bCs/>
        </w:rPr>
        <w:t>Vraag 2</w:t>
      </w:r>
      <w:r w:rsidRPr="008D1C9C">
        <w:rPr>
          <w:b/>
          <w:bCs/>
        </w:rPr>
        <w:tab/>
      </w:r>
    </w:p>
    <w:p w:rsidRPr="008D1C9C" w:rsidR="008D1C9C" w:rsidP="008D1C9C" w:rsidRDefault="008D1C9C" w14:paraId="392CF5D6" w14:textId="77777777">
      <w:r w:rsidRPr="008D1C9C">
        <w:t>Welke consequenties verbindt u aan deze uitspraak?</w:t>
      </w:r>
    </w:p>
    <w:p w:rsidR="008D1C9C" w:rsidP="008D1C9C" w:rsidRDefault="008D1C9C" w14:paraId="2CD0FD8B" w14:textId="77777777">
      <w:pPr>
        <w:rPr>
          <w:b/>
          <w:bCs/>
        </w:rPr>
      </w:pPr>
    </w:p>
    <w:p w:rsidRPr="008D1C9C" w:rsidR="008D1C9C" w:rsidP="008D1C9C" w:rsidRDefault="008D1C9C" w14:paraId="0CDFE22B" w14:textId="37A6CC5D">
      <w:pPr>
        <w:rPr>
          <w:b/>
          <w:bCs/>
        </w:rPr>
      </w:pPr>
      <w:r w:rsidRPr="008D1C9C">
        <w:rPr>
          <w:b/>
          <w:bCs/>
        </w:rPr>
        <w:t>Antwoord 2</w:t>
      </w:r>
    </w:p>
    <w:p w:rsidR="006D62BB" w:rsidP="001E366E" w:rsidRDefault="009A6D60" w14:paraId="311F54B3" w14:textId="430B6D62">
      <w:r>
        <w:t>H</w:t>
      </w:r>
      <w:r w:rsidRPr="001E366E">
        <w:t>et Hof van Justitie van de Europese Unie</w:t>
      </w:r>
      <w:r w:rsidR="00240B25">
        <w:t xml:space="preserve"> (hierna: Hof)</w:t>
      </w:r>
      <w:r w:rsidRPr="001E366E">
        <w:t xml:space="preserve"> </w:t>
      </w:r>
      <w:r>
        <w:t xml:space="preserve">heeft </w:t>
      </w:r>
      <w:r w:rsidRPr="009A6D60">
        <w:t>uitspraak gedaan over onderdelen van de inburgering van asielstatushouders.</w:t>
      </w:r>
      <w:r w:rsidR="00A015BC">
        <w:t xml:space="preserve"> </w:t>
      </w:r>
      <w:r w:rsidR="006D62BB">
        <w:t xml:space="preserve">Het is nu aan de </w:t>
      </w:r>
      <w:r w:rsidRPr="001E260F" w:rsidR="006D62BB">
        <w:t xml:space="preserve">Afdeling bestuursrechtspraak van de Raad van State </w:t>
      </w:r>
      <w:r w:rsidR="006D62BB">
        <w:t>(hierna: Afdeling) om uitspraak te doen</w:t>
      </w:r>
      <w:r w:rsidRPr="001E260F" w:rsidR="006D62BB">
        <w:t xml:space="preserve"> in onderhavige rechtszaak. Deze uitspr</w:t>
      </w:r>
      <w:r w:rsidR="006D62BB">
        <w:t>a</w:t>
      </w:r>
      <w:r w:rsidRPr="001E260F" w:rsidR="006D62BB">
        <w:t>ak gaa</w:t>
      </w:r>
      <w:r w:rsidR="006D62BB">
        <w:t>t</w:t>
      </w:r>
      <w:r w:rsidRPr="001E260F" w:rsidR="006D62BB">
        <w:t xml:space="preserve"> helpen bij de duiding van het Hof-arrest</w:t>
      </w:r>
      <w:r w:rsidR="006D62BB">
        <w:t>; ik wacht de uitspraak af.</w:t>
      </w:r>
    </w:p>
    <w:p w:rsidR="006D62BB" w:rsidP="001E366E" w:rsidRDefault="006D62BB" w14:paraId="1E870926" w14:textId="77777777"/>
    <w:p w:rsidR="00153C25" w:rsidP="001E366E" w:rsidRDefault="00D57F29" w14:paraId="5F6AD177" w14:textId="3AD48BAE">
      <w:r>
        <w:t xml:space="preserve">In afwachting van </w:t>
      </w:r>
      <w:r w:rsidR="00FA0902">
        <w:t xml:space="preserve">de </w:t>
      </w:r>
      <w:r>
        <w:t>uitspraak van de Afdeling</w:t>
      </w:r>
      <w:r w:rsidR="006D62BB">
        <w:t xml:space="preserve"> zag m</w:t>
      </w:r>
      <w:r w:rsidR="00153C25">
        <w:t>ijn ambtsvoorganger zich</w:t>
      </w:r>
      <w:r w:rsidRPr="000055AC" w:rsidR="00153C25">
        <w:t xml:space="preserve"> genoodzaakt </w:t>
      </w:r>
      <w:r w:rsidR="006D62BB">
        <w:t>in de uitvoering</w:t>
      </w:r>
      <w:r w:rsidRPr="008D1C9C" w:rsidR="001E260F">
        <w:t xml:space="preserve"> geen onomkeerbare besluiten te</w:t>
      </w:r>
      <w:r w:rsidR="006D62BB">
        <w:t xml:space="preserve"> </w:t>
      </w:r>
      <w:r w:rsidRPr="008D1C9C" w:rsidR="001E260F">
        <w:t>nemen.</w:t>
      </w:r>
      <w:r w:rsidR="00240B25">
        <w:t xml:space="preserve"> Uit voorzorg</w:t>
      </w:r>
      <w:r w:rsidR="00C6128D">
        <w:t xml:space="preserve"> </w:t>
      </w:r>
      <w:r w:rsidRPr="008D1C9C" w:rsidR="00C6128D">
        <w:t xml:space="preserve">houdt </w:t>
      </w:r>
      <w:r w:rsidRPr="008D1C9C" w:rsidR="00A015BC">
        <w:t xml:space="preserve">DUO </w:t>
      </w:r>
      <w:r w:rsidRPr="008D1C9C" w:rsidR="001E260F">
        <w:t xml:space="preserve">besluiten over de oplegging van boetes bij verwijtbare termijnoverschrijding tot nader order aan voor asielstatushouders die </w:t>
      </w:r>
      <w:proofErr w:type="spellStart"/>
      <w:r w:rsidRPr="008D1C9C" w:rsidR="001E260F">
        <w:t>inburgeringsplichtig</w:t>
      </w:r>
      <w:proofErr w:type="spellEnd"/>
      <w:r w:rsidRPr="008D1C9C" w:rsidR="001E260F">
        <w:t xml:space="preserve"> zijn onder de Wi2013 en de Wi2021. Voor asielstatushouders onder de Wi2013 houdt DUO tevens besluiten </w:t>
      </w:r>
      <w:r w:rsidR="001E260F">
        <w:t xml:space="preserve">aan </w:t>
      </w:r>
      <w:r w:rsidRPr="008D1C9C" w:rsidR="001E260F">
        <w:t xml:space="preserve">over de terugbetaling van de lening bij verwijtbare overschrijding </w:t>
      </w:r>
      <w:r w:rsidR="00240B25">
        <w:t xml:space="preserve">van de inburgeringstermijn </w:t>
      </w:r>
      <w:r w:rsidRPr="008D1C9C" w:rsidR="001E260F">
        <w:t>(dit is bij de Wi2021 niet aan de orde aangezien asielstatushouders een kosteloos inburgeringsaanbod van de gemeente krijgen).</w:t>
      </w:r>
    </w:p>
    <w:p w:rsidR="00D57F29" w:rsidP="001E366E" w:rsidRDefault="00D57F29" w14:paraId="695E6118" w14:textId="77777777"/>
    <w:p w:rsidR="00D57F29" w:rsidP="001E366E" w:rsidRDefault="00FA0902" w14:paraId="0F61BB39" w14:textId="5664D9AC">
      <w:r>
        <w:t>Ik</w:t>
      </w:r>
      <w:r w:rsidR="00D57F29">
        <w:t xml:space="preserve"> ga de </w:t>
      </w:r>
      <w:r>
        <w:t>(extra) mogelijkheden</w:t>
      </w:r>
      <w:r w:rsidRPr="006D62BB" w:rsidR="00D57F29">
        <w:t xml:space="preserve"> in kaart brengen </w:t>
      </w:r>
      <w:r>
        <w:t xml:space="preserve">voor </w:t>
      </w:r>
      <w:r w:rsidRPr="006D62BB" w:rsidR="00D57F29">
        <w:t>prikkel</w:t>
      </w:r>
      <w:r>
        <w:t>s</w:t>
      </w:r>
      <w:r w:rsidRPr="006D62BB" w:rsidR="00D57F29">
        <w:t xml:space="preserve"> om </w:t>
      </w:r>
      <w:r>
        <w:t xml:space="preserve">de </w:t>
      </w:r>
      <w:r w:rsidRPr="006D62BB" w:rsidR="00D57F29">
        <w:t>inburgering te voltooien</w:t>
      </w:r>
      <w:r w:rsidR="00D57F29">
        <w:t>. Inburgeren is imm</w:t>
      </w:r>
      <w:r>
        <w:t xml:space="preserve">ers belangrijk en </w:t>
      </w:r>
      <w:r w:rsidR="00D57F29">
        <w:t>niet vrijblijvend.</w:t>
      </w:r>
    </w:p>
    <w:p w:rsidRPr="001E366E" w:rsidR="00240B25" w:rsidP="001E366E" w:rsidRDefault="00240B25" w14:paraId="6A3CC1D6" w14:textId="77777777"/>
    <w:p w:rsidR="009A6D60" w:rsidP="008D1C9C" w:rsidRDefault="009A6D60" w14:paraId="3DD57683" w14:textId="77777777">
      <w:pPr>
        <w:rPr>
          <w:b/>
          <w:bCs/>
        </w:rPr>
      </w:pPr>
    </w:p>
    <w:p w:rsidRPr="008D1C9C" w:rsidR="008D1C9C" w:rsidP="008D1C9C" w:rsidRDefault="008D1C9C" w14:paraId="771F770D" w14:textId="3507700D">
      <w:pPr>
        <w:rPr>
          <w:b/>
          <w:bCs/>
        </w:rPr>
      </w:pPr>
      <w:r w:rsidRPr="008D1C9C">
        <w:rPr>
          <w:b/>
          <w:bCs/>
        </w:rPr>
        <w:t>Vraag 3</w:t>
      </w:r>
    </w:p>
    <w:p w:rsidRPr="008D1C9C" w:rsidR="008D1C9C" w:rsidP="008D1C9C" w:rsidRDefault="008D1C9C" w14:paraId="0D2712F4" w14:textId="77777777">
      <w:r w:rsidRPr="008D1C9C">
        <w:t>Kunt u een overzicht geven van de boetemomenten in de Wet inburgering 2013 en de Wet inburgering 2021? Klopt het dat deze momenten als gevolg van de uitspraak van het Europese Hof van Justitie uit de wetten moeten worden gehaald? Zo ja, op welk termijn bent u voornemens dit te doen? Zo nee, waarom niet?</w:t>
      </w:r>
    </w:p>
    <w:p w:rsidRPr="008D1C9C" w:rsidR="008D1C9C" w:rsidP="008D1C9C" w:rsidRDefault="008D1C9C" w14:paraId="2F0EDD67" w14:textId="77777777">
      <w:pPr>
        <w:rPr>
          <w:b/>
          <w:bCs/>
        </w:rPr>
      </w:pPr>
    </w:p>
    <w:p w:rsidRPr="008D1C9C" w:rsidR="008D1C9C" w:rsidP="008D1C9C" w:rsidRDefault="008D1C9C" w14:paraId="68508C30" w14:textId="14FADF7C">
      <w:pPr>
        <w:rPr>
          <w:b/>
          <w:bCs/>
        </w:rPr>
      </w:pPr>
      <w:r w:rsidRPr="008D1C9C">
        <w:rPr>
          <w:b/>
          <w:bCs/>
        </w:rPr>
        <w:t>Antwoord 3</w:t>
      </w:r>
    </w:p>
    <w:p w:rsidRPr="008D1C9C" w:rsidR="008D1C9C" w:rsidP="008D1C9C" w:rsidRDefault="008D1C9C" w14:paraId="751EEA1F" w14:textId="77777777">
      <w:r w:rsidRPr="008D1C9C">
        <w:t xml:space="preserve">Bijlage 1 bevat het gevraagde overzicht van boetemomenten voor beide wetten. </w:t>
      </w:r>
    </w:p>
    <w:p w:rsidRPr="008D1C9C" w:rsidR="008D1C9C" w:rsidP="008D1C9C" w:rsidRDefault="008D1C9C" w14:paraId="3E089B8D" w14:textId="39C3CCA7">
      <w:r w:rsidRPr="008D1C9C">
        <w:t>Nadat de Afdeling uitspraak heeft gedaan, zal ik mij beraden op wat er structureel nodig is.</w:t>
      </w:r>
    </w:p>
    <w:p w:rsidRPr="008D1C9C" w:rsidR="008D1C9C" w:rsidP="008D1C9C" w:rsidRDefault="008D1C9C" w14:paraId="6B444676" w14:textId="77777777">
      <w:pPr>
        <w:rPr>
          <w:b/>
          <w:bCs/>
        </w:rPr>
      </w:pPr>
    </w:p>
    <w:p w:rsidR="008D1C9C" w:rsidP="008D1C9C" w:rsidRDefault="008D1C9C" w14:paraId="077907A9" w14:textId="77777777">
      <w:pPr>
        <w:rPr>
          <w:b/>
          <w:bCs/>
        </w:rPr>
      </w:pPr>
    </w:p>
    <w:p w:rsidRPr="008D1C9C" w:rsidR="008D1C9C" w:rsidP="008D1C9C" w:rsidRDefault="008D1C9C" w14:paraId="35501FB1" w14:textId="08CEFAD2">
      <w:pPr>
        <w:rPr>
          <w:b/>
          <w:bCs/>
        </w:rPr>
      </w:pPr>
      <w:r w:rsidRPr="008D1C9C">
        <w:rPr>
          <w:b/>
          <w:bCs/>
        </w:rPr>
        <w:t>Vraag 4</w:t>
      </w:r>
    </w:p>
    <w:p w:rsidRPr="008D1C9C" w:rsidR="008D1C9C" w:rsidP="008D1C9C" w:rsidRDefault="008D1C9C" w14:paraId="5DDCA8D5" w14:textId="77777777">
      <w:r w:rsidRPr="008D1C9C">
        <w:t>Kunt u aangeven hoeveel statushouders een boete hebben gehad of de lening terug hebben moeten betalen onder de Wet inburgering 2013 en onder de Wet inburgering 2021, omdat zij niet tijdig voldeden aan de inburgeringeis? Wat betekent de uitspraak voor deze mensen?</w:t>
      </w:r>
    </w:p>
    <w:p w:rsidR="008D1C9C" w:rsidP="008D1C9C" w:rsidRDefault="008D1C9C" w14:paraId="4577323C" w14:textId="77777777">
      <w:pPr>
        <w:rPr>
          <w:b/>
          <w:bCs/>
        </w:rPr>
      </w:pPr>
    </w:p>
    <w:p w:rsidRPr="008D1C9C" w:rsidR="008D1C9C" w:rsidP="008D1C9C" w:rsidRDefault="008D1C9C" w14:paraId="7545E3EB" w14:textId="775C4766">
      <w:pPr>
        <w:rPr>
          <w:b/>
          <w:bCs/>
        </w:rPr>
      </w:pPr>
      <w:r w:rsidRPr="008D1C9C">
        <w:rPr>
          <w:b/>
          <w:bCs/>
        </w:rPr>
        <w:t>Antwoord 4</w:t>
      </w:r>
    </w:p>
    <w:p w:rsidRPr="008D1C9C" w:rsidR="008D1C9C" w:rsidP="008D1C9C" w:rsidRDefault="008D1C9C" w14:paraId="1545A7D5" w14:textId="77777777">
      <w:r w:rsidRPr="008D1C9C">
        <w:t>Uit opgave van DUO blijkt dat onder de Wet inburgering 2013 (hierna: Wi2013)  sinds de inwerkintreding per 1 januari 2013 in totaal 4.025 asielstatushouders een of meerdere boetes hebben gekregen (peildatum 1 februari 2025). Dat is circa 3,5% van het totaal aantal asielstatushouders onder de Wi2013.</w:t>
      </w:r>
    </w:p>
    <w:p w:rsidRPr="008D1C9C" w:rsidR="008D1C9C" w:rsidP="008D1C9C" w:rsidRDefault="008D1C9C" w14:paraId="2C445ACA" w14:textId="77777777">
      <w:r w:rsidRPr="008D1C9C">
        <w:t>Uit cijfers van DUO blijkt dat onder de Wi2013 afgerond 2.100 asielstatushouders de sociale lening definitief (naar draagkracht) dienen terug te betalen (peildatum 1 februari 2025). Aan in totaal ruim 120.000 asielstatushouders onder de Wi2013 is een sociale lening toegekend.</w:t>
      </w:r>
    </w:p>
    <w:p w:rsidR="003E0796" w:rsidP="008D1C9C" w:rsidRDefault="003E0796" w14:paraId="781E397B" w14:textId="77777777"/>
    <w:p w:rsidRPr="008D1C9C" w:rsidR="008D1C9C" w:rsidP="008D1C9C" w:rsidRDefault="008D1C9C" w14:paraId="555BCB00" w14:textId="5B81B41F">
      <w:pPr>
        <w:rPr>
          <w:b/>
          <w:bCs/>
        </w:rPr>
      </w:pPr>
      <w:r w:rsidRPr="008D1C9C">
        <w:t xml:space="preserve">DUO heeft nog </w:t>
      </w:r>
      <w:r w:rsidR="00240B25">
        <w:t>nauwelijks</w:t>
      </w:r>
      <w:r w:rsidRPr="008D1C9C" w:rsidR="00240B25">
        <w:t xml:space="preserve"> </w:t>
      </w:r>
      <w:r w:rsidRPr="008D1C9C">
        <w:t xml:space="preserve">boetes </w:t>
      </w:r>
      <w:r w:rsidR="00240B25">
        <w:t xml:space="preserve">hoeven </w:t>
      </w:r>
      <w:r w:rsidRPr="008D1C9C">
        <w:t>opleg</w:t>
      </w:r>
      <w:r w:rsidR="00240B25">
        <w:t>gen</w:t>
      </w:r>
      <w:r w:rsidRPr="008D1C9C">
        <w:t xml:space="preserve"> aan </w:t>
      </w:r>
      <w:proofErr w:type="spellStart"/>
      <w:r w:rsidRPr="008D1C9C">
        <w:t>inburgeringsplichtigen</w:t>
      </w:r>
      <w:proofErr w:type="spellEnd"/>
      <w:r w:rsidRPr="008D1C9C">
        <w:t xml:space="preserve"> onder de Wet inburgering 2021 (hierna: Wi2021), aangezien op dit moment de inburgeringstermijn slechts voor een gering aantal inburgeraars kortgeleden is verlopen. Uit de Statistiek Wet Inburgering (SWI) </w:t>
      </w:r>
      <w:r w:rsidRPr="008D1C9C" w:rsidR="00240B25">
        <w:t>202</w:t>
      </w:r>
      <w:r w:rsidR="00240B25">
        <w:t>4</w:t>
      </w:r>
      <w:r w:rsidRPr="008D1C9C" w:rsidR="00240B25">
        <w:t xml:space="preserve"> </w:t>
      </w:r>
      <w:r w:rsidRPr="008D1C9C">
        <w:t>van het CBS blijkt dat gemeenten in de praktijk in een beperkt aantal gevallen boetes opleggen</w:t>
      </w:r>
      <w:r w:rsidRPr="00240B25" w:rsidR="00240B25">
        <w:t xml:space="preserve"> </w:t>
      </w:r>
      <w:r w:rsidR="00240B25">
        <w:t xml:space="preserve">vanwege </w:t>
      </w:r>
      <w:r w:rsidRPr="00240B25" w:rsidR="00240B25">
        <w:t xml:space="preserve">verwijtbaar niet meewerken aan </w:t>
      </w:r>
      <w:r w:rsidR="00240B25">
        <w:t>de</w:t>
      </w:r>
      <w:r w:rsidRPr="00240B25" w:rsidR="00240B25">
        <w:t xml:space="preserve"> inburgering</w:t>
      </w:r>
      <w:r w:rsidR="00240B25">
        <w:t xml:space="preserve"> (&lt;300)</w:t>
      </w:r>
      <w:r w:rsidRPr="008D1C9C">
        <w:t xml:space="preserve">. </w:t>
      </w:r>
    </w:p>
    <w:p w:rsidRPr="008D1C9C" w:rsidR="008D1C9C" w:rsidP="008D1C9C" w:rsidRDefault="008D1C9C" w14:paraId="3D87B41D" w14:textId="77777777">
      <w:pPr>
        <w:rPr>
          <w:b/>
          <w:bCs/>
        </w:rPr>
      </w:pPr>
    </w:p>
    <w:p w:rsidRPr="008D1C9C" w:rsidR="008D1C9C" w:rsidP="008D1C9C" w:rsidRDefault="008D1C9C" w14:paraId="1A1592B5" w14:textId="77777777">
      <w:pPr>
        <w:rPr>
          <w:b/>
          <w:bCs/>
        </w:rPr>
      </w:pPr>
    </w:p>
    <w:p w:rsidRPr="008D1C9C" w:rsidR="008D1C9C" w:rsidP="008D1C9C" w:rsidRDefault="008D1C9C" w14:paraId="48A9D8E2" w14:textId="77777777">
      <w:pPr>
        <w:rPr>
          <w:b/>
          <w:bCs/>
        </w:rPr>
      </w:pPr>
      <w:r w:rsidRPr="008D1C9C">
        <w:rPr>
          <w:b/>
          <w:bCs/>
        </w:rPr>
        <w:t>Vraag 5</w:t>
      </w:r>
    </w:p>
    <w:p w:rsidRPr="008D1C9C" w:rsidR="008D1C9C" w:rsidP="008D1C9C" w:rsidRDefault="008D1C9C" w14:paraId="36F2399B" w14:textId="77777777">
      <w:r w:rsidRPr="008D1C9C">
        <w:t>Klopt het dat in afwachting van deze uitspraak in de zomer van 2024 is besloten de boetes en de terugbetaling van leningen op te schorten? Zo ja, is bekend wat het effect daarvan is geweest om de inburgeringsaantallen?</w:t>
      </w:r>
    </w:p>
    <w:p w:rsidR="008D1C9C" w:rsidP="008D1C9C" w:rsidRDefault="008D1C9C" w14:paraId="4DA4646C" w14:textId="77777777">
      <w:pPr>
        <w:rPr>
          <w:b/>
          <w:bCs/>
        </w:rPr>
      </w:pPr>
    </w:p>
    <w:p w:rsidRPr="008D1C9C" w:rsidR="008D1C9C" w:rsidP="008D1C9C" w:rsidRDefault="008D1C9C" w14:paraId="0598D18B" w14:textId="2A2C0C77">
      <w:r w:rsidRPr="008D1C9C">
        <w:rPr>
          <w:b/>
          <w:bCs/>
        </w:rPr>
        <w:t>Antwoord 5</w:t>
      </w:r>
    </w:p>
    <w:p w:rsidRPr="008D1C9C" w:rsidR="008D1C9C" w:rsidP="008D1C9C" w:rsidRDefault="008D1C9C" w14:paraId="52AB79FE" w14:textId="77777777">
      <w:r w:rsidRPr="008D1C9C">
        <w:t>Ja, het klopt dat is besloten om de invordering van leningen en boetes voor besluiten die op of na 15 maart 2023 zijn genomen, te pauzeren. Daar is uw Kamer met de Uitvoeringbrief inburgering van december 2023 over geïnformeerd.</w:t>
      </w:r>
      <w:r w:rsidRPr="008D1C9C">
        <w:rPr>
          <w:vertAlign w:val="superscript"/>
        </w:rPr>
        <w:footnoteReference w:id="2"/>
      </w:r>
      <w:r w:rsidRPr="008D1C9C">
        <w:t xml:space="preserve">  Het effect van deze maatregel op de inburgeringsaantallen is niet geïsoleerd te bepalen en derhalve niet bekend.</w:t>
      </w:r>
    </w:p>
    <w:p w:rsidR="008D1C9C" w:rsidP="008D1C9C" w:rsidRDefault="008D1C9C" w14:paraId="1773DD78" w14:textId="77777777">
      <w:pPr>
        <w:rPr>
          <w:b/>
          <w:bCs/>
        </w:rPr>
      </w:pPr>
    </w:p>
    <w:p w:rsidRPr="008D1C9C" w:rsidR="008D1C9C" w:rsidP="008D1C9C" w:rsidRDefault="008D1C9C" w14:paraId="0CB81956" w14:textId="77777777">
      <w:pPr>
        <w:rPr>
          <w:b/>
          <w:bCs/>
        </w:rPr>
      </w:pPr>
    </w:p>
    <w:p w:rsidRPr="008D1C9C" w:rsidR="008D1C9C" w:rsidP="008D1C9C" w:rsidRDefault="008D1C9C" w14:paraId="5303F00D" w14:textId="77777777">
      <w:pPr>
        <w:rPr>
          <w:b/>
          <w:bCs/>
        </w:rPr>
      </w:pPr>
      <w:r w:rsidRPr="008D1C9C">
        <w:rPr>
          <w:b/>
          <w:bCs/>
        </w:rPr>
        <w:t>Vraag 6</w:t>
      </w:r>
    </w:p>
    <w:p w:rsidRPr="008D1C9C" w:rsidR="008D1C9C" w:rsidP="008D1C9C" w:rsidRDefault="008D1C9C" w14:paraId="591D0A0C" w14:textId="77777777">
      <w:r w:rsidRPr="008D1C9C">
        <w:t>Klopt het dat Nederland een van weinige landen is waarbij inburgeraars worden beboet als zij niet voldoen aan de inburgeringseisen? Kunt u aangeven door middel van welke (positieve) maatregelen andere Europese landen statushouders stimuleren om aan de inburgeringeis te voldoen?</w:t>
      </w:r>
    </w:p>
    <w:p w:rsidR="008D1C9C" w:rsidP="008D1C9C" w:rsidRDefault="008D1C9C" w14:paraId="325A24C7" w14:textId="77777777">
      <w:pPr>
        <w:rPr>
          <w:b/>
          <w:bCs/>
        </w:rPr>
      </w:pPr>
    </w:p>
    <w:p w:rsidRPr="008D1C9C" w:rsidR="008D1C9C" w:rsidP="008D1C9C" w:rsidRDefault="008D1C9C" w14:paraId="4A175AB5" w14:textId="76E7072C">
      <w:pPr>
        <w:rPr>
          <w:b/>
          <w:bCs/>
        </w:rPr>
      </w:pPr>
      <w:r w:rsidRPr="008D1C9C">
        <w:rPr>
          <w:b/>
          <w:bCs/>
        </w:rPr>
        <w:t>Antwoord 6</w:t>
      </w:r>
    </w:p>
    <w:p w:rsidR="008D1C9C" w:rsidP="008D1C9C" w:rsidRDefault="008D1C9C" w14:paraId="7CFF9E41" w14:textId="77777777">
      <w:r w:rsidRPr="008D1C9C">
        <w:t>Nederland is niet het enige land waar inburgeraars kunnen worden beboet als zij niet voldoen aan de inburgeringseisen. Naast Nederland hebben in ieder geval ook België, Oostenrijk en Tsjechië geregeld dat er een mogelijkheid bestaat tot het opleggen van boetes bij onvoldoende deelname aan taalcursussen (in welke mate zij dat ook daadwerkelijk doen, is mij niet bekend).</w:t>
      </w:r>
      <w:r w:rsidRPr="008D1C9C">
        <w:rPr>
          <w:vertAlign w:val="superscript"/>
        </w:rPr>
        <w:footnoteReference w:id="3"/>
      </w:r>
      <w:r w:rsidRPr="008D1C9C">
        <w:t xml:space="preserve"> Andere landen, waaronder Duitsland, hebben in hun wetgeving andere maatregelen opgenomen, zoals een korting op de uitkering. Het Duitse stelsel bevat naast sancties ook positieve prikkels. Zo kunnen asielstatushouders die taalniveau C1 na drie jaar behalen eerder in aanmerking komen voor een permanente verblijfsvergunning.</w:t>
      </w:r>
    </w:p>
    <w:p w:rsidRPr="008D1C9C" w:rsidR="00115B05" w:rsidP="008D1C9C" w:rsidRDefault="00115B05" w14:paraId="4E90FF31" w14:textId="77777777"/>
    <w:p w:rsidRPr="008D1C9C" w:rsidR="008D1C9C" w:rsidP="008D1C9C" w:rsidRDefault="008D1C9C" w14:paraId="75670EE8" w14:textId="77777777">
      <w:pPr>
        <w:rPr>
          <w:b/>
          <w:bCs/>
        </w:rPr>
      </w:pPr>
    </w:p>
    <w:p w:rsidRPr="008D1C9C" w:rsidR="008D1C9C" w:rsidP="008D1C9C" w:rsidRDefault="008D1C9C" w14:paraId="0DB3DEAF" w14:textId="77777777">
      <w:pPr>
        <w:rPr>
          <w:b/>
          <w:bCs/>
        </w:rPr>
      </w:pPr>
      <w:r w:rsidRPr="008D1C9C">
        <w:rPr>
          <w:b/>
          <w:bCs/>
        </w:rPr>
        <w:t>Vraag 7</w:t>
      </w:r>
    </w:p>
    <w:p w:rsidRPr="008D1C9C" w:rsidR="008D1C9C" w:rsidP="008D1C9C" w:rsidRDefault="008D1C9C" w14:paraId="4872918D" w14:textId="77777777">
      <w:r w:rsidRPr="008D1C9C">
        <w:t>Kunt u aangegeven op welke wijze statushouders kunnen aantonen dat zij al geïntegreerd zijn en dus vrijgesteld moeten worden van het verplichte examen?</w:t>
      </w:r>
    </w:p>
    <w:p w:rsidR="008D1C9C" w:rsidP="008D1C9C" w:rsidRDefault="008D1C9C" w14:paraId="3C4A3A01" w14:textId="77777777">
      <w:pPr>
        <w:rPr>
          <w:b/>
          <w:bCs/>
        </w:rPr>
      </w:pPr>
    </w:p>
    <w:p w:rsidRPr="008D1C9C" w:rsidR="008D1C9C" w:rsidP="008D1C9C" w:rsidRDefault="008D1C9C" w14:paraId="6E46ADFA" w14:textId="180B09F0">
      <w:pPr>
        <w:rPr>
          <w:b/>
          <w:bCs/>
        </w:rPr>
      </w:pPr>
      <w:r w:rsidRPr="008D1C9C">
        <w:rPr>
          <w:b/>
          <w:bCs/>
        </w:rPr>
        <w:t>Antwoord 7</w:t>
      </w:r>
    </w:p>
    <w:p w:rsidRPr="008D1C9C" w:rsidR="008D1C9C" w:rsidP="008D1C9C" w:rsidRDefault="008D1C9C" w14:paraId="288D5545" w14:textId="77777777">
      <w:r w:rsidRPr="008D1C9C">
        <w:t xml:space="preserve">Asielstatushouders kunnen momenteel op verschillende manieren aantonen dat zij al geïntegreerd zijn. </w:t>
      </w:r>
    </w:p>
    <w:p w:rsidRPr="008D1C9C" w:rsidR="008D1C9C" w:rsidP="008D1C9C" w:rsidRDefault="008D1C9C" w14:paraId="510CFEDF" w14:textId="77777777"/>
    <w:p w:rsidRPr="008D1C9C" w:rsidR="008D1C9C" w:rsidP="008D1C9C" w:rsidRDefault="008D1C9C" w14:paraId="7A9AA3CC" w14:textId="77777777">
      <w:r w:rsidRPr="008D1C9C">
        <w:t>Een statushouder hoeft niet in te burgeren wanneer hij aantoonbaar voldoende ingeburgerd is. De eisen daarvoor zijn dat een persoon minimaal tien jaar in Nederland verblijft, minimaal vijf jaar betaald werk of vrijwilligerswerk heeft verricht, en uit een gesprek met DUO blijkt dat de persoon spreekvaardigheid en luistervaardigheid op het niveau van het inburgeringsexamen beheerst. Tot aan 1 maart zijn er circa tachtig gesprekken gevoerd en zijn vijf personen op deze grond ontheven van de inburgeringsplicht.</w:t>
      </w:r>
    </w:p>
    <w:p w:rsidRPr="008D1C9C" w:rsidR="008D1C9C" w:rsidP="008D1C9C" w:rsidRDefault="008D1C9C" w14:paraId="198AD3CE" w14:textId="77777777"/>
    <w:p w:rsidRPr="008D1C9C" w:rsidR="008D1C9C" w:rsidP="008D1C9C" w:rsidRDefault="008D1C9C" w14:paraId="7DEC41B3" w14:textId="77777777">
      <w:r w:rsidRPr="008D1C9C">
        <w:t>Daarnaast hoeft een persoon niet in te burgeren wanneer hij vrijgesteld wordt van de inburgeringsplicht op grond van een diploma of een ander document waaruit blijkt dat hij de vaardigheden en kennis heeft op minimaal het vereiste niveau van de inburgeringsplicht. DUO geeft aan dat onder de Wi2013 aan circa 3% van de inburgeraars een vrijstelling op deze grond is verleend.</w:t>
      </w:r>
    </w:p>
    <w:p w:rsidRPr="008D1C9C" w:rsidR="008D1C9C" w:rsidP="008D1C9C" w:rsidRDefault="008D1C9C" w14:paraId="6BA1753F" w14:textId="77777777">
      <w:pPr>
        <w:rPr>
          <w:b/>
          <w:bCs/>
        </w:rPr>
      </w:pPr>
    </w:p>
    <w:p w:rsidRPr="008D1C9C" w:rsidR="008D1C9C" w:rsidP="008D1C9C" w:rsidRDefault="008D1C9C" w14:paraId="2C1BF098" w14:textId="77777777">
      <w:pPr>
        <w:rPr>
          <w:b/>
          <w:bCs/>
        </w:rPr>
      </w:pPr>
    </w:p>
    <w:p w:rsidRPr="008D1C9C" w:rsidR="008D1C9C" w:rsidP="008D1C9C" w:rsidRDefault="008D1C9C" w14:paraId="46E9B0B0" w14:textId="77777777">
      <w:pPr>
        <w:rPr>
          <w:b/>
          <w:bCs/>
        </w:rPr>
      </w:pPr>
      <w:r w:rsidRPr="008D1C9C">
        <w:rPr>
          <w:b/>
          <w:bCs/>
        </w:rPr>
        <w:t>Vraag 8</w:t>
      </w:r>
    </w:p>
    <w:p w:rsidRPr="008D1C9C" w:rsidR="008D1C9C" w:rsidP="008D1C9C" w:rsidRDefault="008D1C9C" w14:paraId="0E2C35FE" w14:textId="77777777">
      <w:r w:rsidRPr="008D1C9C">
        <w:t>Kunt u nader toelichten wat u bedoelt met uw reactie op de uitspraak, waarbij u stelt dat “het nog te vroeg” is om conclusies te verbinden aan de uitspraak van het Hof? Klopt het dat de regering eerder is gewezen op de tegenstrijdigheid van de beide wetten inburgering met Europese regelgeving specifiek op dit punt?</w:t>
      </w:r>
    </w:p>
    <w:p w:rsidRPr="008D1C9C" w:rsidR="008D1C9C" w:rsidP="008D1C9C" w:rsidRDefault="008D1C9C" w14:paraId="512013E2" w14:textId="77777777"/>
    <w:p w:rsidRPr="008D1C9C" w:rsidR="008D1C9C" w:rsidP="008D1C9C" w:rsidRDefault="008D1C9C" w14:paraId="56A7B14C" w14:textId="7A8905D7">
      <w:pPr>
        <w:rPr>
          <w:b/>
          <w:bCs/>
        </w:rPr>
      </w:pPr>
      <w:r w:rsidRPr="008D1C9C">
        <w:rPr>
          <w:b/>
          <w:bCs/>
        </w:rPr>
        <w:t>Antwoord 8</w:t>
      </w:r>
    </w:p>
    <w:p w:rsidRPr="008D1C9C" w:rsidR="008D1C9C" w:rsidP="008D1C9C" w:rsidRDefault="008D1C9C" w14:paraId="7A499589" w14:textId="2B3AAE3A">
      <w:r w:rsidRPr="008D1C9C">
        <w:t xml:space="preserve">Kort na het verschijnen van het arrest van het Hof </w:t>
      </w:r>
      <w:r w:rsidR="00BF5A71">
        <w:t xml:space="preserve">heeft de toenmalige staatssecretaris van Justitie en Veiligheid </w:t>
      </w:r>
      <w:r w:rsidRPr="008D1C9C">
        <w:t xml:space="preserve">aangegeven dat het nog te vroeg is om hier conclusies aan te verbinden, omdat </w:t>
      </w:r>
      <w:r w:rsidR="00BF5A71">
        <w:t>zij</w:t>
      </w:r>
      <w:r w:rsidRPr="008D1C9C">
        <w:t xml:space="preserve"> het belangrijk v</w:t>
      </w:r>
      <w:r w:rsidR="00BF5A71">
        <w:t>ond</w:t>
      </w:r>
      <w:r w:rsidRPr="008D1C9C">
        <w:t xml:space="preserve"> dit arrest nauwgezet in zijn totaliteit te bezien en geen overhaaste conclusies te trekken. Bij de duiding </w:t>
      </w:r>
      <w:r w:rsidR="005513CD">
        <w:t>had</w:t>
      </w:r>
      <w:r w:rsidR="00BF5A71">
        <w:t xml:space="preserve"> zij</w:t>
      </w:r>
      <w:r w:rsidRPr="008D1C9C">
        <w:t xml:space="preserve"> de uitspraak </w:t>
      </w:r>
      <w:r w:rsidR="00BF5A71">
        <w:t xml:space="preserve">willen </w:t>
      </w:r>
      <w:r w:rsidRPr="008D1C9C">
        <w:t xml:space="preserve">betrekken die de Afdeling nu zal doen in het onderhavige geding. </w:t>
      </w:r>
    </w:p>
    <w:p w:rsidR="00BF5A71" w:rsidP="008D1C9C" w:rsidRDefault="00BF5A71" w14:paraId="5EEC99CE" w14:textId="77777777"/>
    <w:p w:rsidRPr="008D1C9C" w:rsidR="008D1C9C" w:rsidP="008D1C9C" w:rsidRDefault="008D1C9C" w14:paraId="73FA9C4E" w14:textId="67E0D8C0">
      <w:r w:rsidRPr="008D1C9C">
        <w:t xml:space="preserve">De Afdeling heeft op 15 maart 2023 prejudiciële vragen gesteld aan het Hof. Dit heeft de regering opgevat als een signaal dat de Afdeling twijfels heeft over de verenigbaarheid van enkele onderdelen van de Wi2013 met de Europese Kwalificatierichtlijn. </w:t>
      </w:r>
      <w:r w:rsidR="00BF5A71">
        <w:t>Hier is naar</w:t>
      </w:r>
      <w:r w:rsidRPr="008D1C9C">
        <w:t xml:space="preserve"> gehandeld</w:t>
      </w:r>
      <w:r w:rsidR="00BF5A71">
        <w:t>. V</w:t>
      </w:r>
      <w:r w:rsidRPr="008D1C9C">
        <w:t xml:space="preserve">oor asielstatushouders </w:t>
      </w:r>
      <w:r w:rsidR="00BF5A71">
        <w:t xml:space="preserve">is </w:t>
      </w:r>
      <w:r w:rsidRPr="008D1C9C">
        <w:t>de invordering van leningen en het innen van boetes voor besluiten die op of na 15 maart 2023 zijn genomen, gepauzeerd (zie ook antwoord op vraag 5).</w:t>
      </w:r>
    </w:p>
    <w:p w:rsidRPr="008D1C9C" w:rsidR="008D1C9C" w:rsidP="008D1C9C" w:rsidRDefault="008D1C9C" w14:paraId="704B6022" w14:textId="77777777">
      <w:pPr>
        <w:rPr>
          <w:b/>
          <w:bCs/>
        </w:rPr>
      </w:pPr>
    </w:p>
    <w:p w:rsidR="005513CD" w:rsidP="008D1C9C" w:rsidRDefault="005513CD" w14:paraId="35B4CE1C" w14:textId="77777777">
      <w:pPr>
        <w:rPr>
          <w:b/>
          <w:bCs/>
        </w:rPr>
      </w:pPr>
    </w:p>
    <w:p w:rsidRPr="008D1C9C" w:rsidR="008D1C9C" w:rsidP="008D1C9C" w:rsidRDefault="008D1C9C" w14:paraId="16B3E5AD" w14:textId="053AA411">
      <w:pPr>
        <w:rPr>
          <w:b/>
          <w:bCs/>
        </w:rPr>
      </w:pPr>
      <w:r w:rsidRPr="008D1C9C">
        <w:rPr>
          <w:b/>
          <w:bCs/>
        </w:rPr>
        <w:t>Vraag 9</w:t>
      </w:r>
    </w:p>
    <w:p w:rsidR="008D1C9C" w:rsidP="008D1C9C" w:rsidRDefault="008D1C9C" w14:paraId="0E7ED1ED" w14:textId="77777777">
      <w:r w:rsidRPr="008D1C9C">
        <w:t>Herinnert u zich dat er, mede naar aanleiding van de toeslagenaffaire en de hardheden in de Wet inburgering 2013, is besloten om het mogelijk te maken dat een lening bij een verwijtbare termijnoverschrijding (gedeeltelijk) kwijtgescholden konden worden? 2) Zo ja, hoe verklaart u dat bij dit bij deze zaak niet is toegepast?</w:t>
      </w:r>
    </w:p>
    <w:p w:rsidR="00115B05" w:rsidP="008D1C9C" w:rsidRDefault="00115B05" w14:paraId="70604C47" w14:textId="77777777"/>
    <w:p w:rsidRPr="008D1C9C" w:rsidR="00115B05" w:rsidP="008D1C9C" w:rsidRDefault="00115B05" w14:paraId="7C45B04B" w14:textId="77777777"/>
    <w:p w:rsidRPr="008D1C9C" w:rsidR="008D1C9C" w:rsidP="008D1C9C" w:rsidRDefault="008D1C9C" w14:paraId="32482DCA" w14:textId="77777777">
      <w:pPr>
        <w:rPr>
          <w:b/>
          <w:bCs/>
        </w:rPr>
      </w:pPr>
    </w:p>
    <w:p w:rsidRPr="008D1C9C" w:rsidR="008D1C9C" w:rsidP="008D1C9C" w:rsidRDefault="008D1C9C" w14:paraId="16117D2C" w14:textId="75B1F825">
      <w:pPr>
        <w:rPr>
          <w:b/>
          <w:bCs/>
        </w:rPr>
      </w:pPr>
      <w:r w:rsidRPr="008D1C9C">
        <w:rPr>
          <w:b/>
          <w:bCs/>
        </w:rPr>
        <w:t>Antwoord 9</w:t>
      </w:r>
    </w:p>
    <w:p w:rsidRPr="008D1C9C" w:rsidR="008D1C9C" w:rsidP="008D1C9C" w:rsidRDefault="008D1C9C" w14:paraId="37FBABD8" w14:textId="77777777">
      <w:r w:rsidRPr="008D1C9C">
        <w:t>Ja, ik herinner mij dat. Sinds 1 januari 2022 is bij verminderde verwijtbaarheid op aanvraag gedeeltelijke kwijtschelding van de terug te betalen lening mogelijk. Dit is een van de verbeteringen in de Wi2013, waar uw Kamer bij brief van 12 oktober 2021 over is geïnformeerd.</w:t>
      </w:r>
      <w:r w:rsidRPr="008D1C9C">
        <w:rPr>
          <w:vertAlign w:val="superscript"/>
        </w:rPr>
        <w:footnoteReference w:id="4"/>
      </w:r>
    </w:p>
    <w:p w:rsidR="00BF5A71" w:rsidP="008D1C9C" w:rsidRDefault="00BF5A71" w14:paraId="626FC747" w14:textId="77777777"/>
    <w:p w:rsidRPr="008D1C9C" w:rsidR="008D1C9C" w:rsidP="008D1C9C" w:rsidRDefault="008D1C9C" w14:paraId="4CFC5369" w14:textId="37E83616">
      <w:r w:rsidRPr="008D1C9C">
        <w:t>Ik kan geen uitspraken over individuele gevallen doen. In het algemeen kan ik wel zeggen dat verminderde verwijtbaarheid afhankelijk is van de periode van termijnoverschrijding en het aantal behaalde examenonderdelen binnen de inburgeringstermijn. Een belangrijke voorwaarde is dat de voormalige inburgeraar binnen de (verlengde) inburgeringstermijn grotendeels heeft voldaan aan de vereisten die zijn gesteld aan de inburgeringsplicht. Dit betekent dat hij op het moment van het aflopen van de inburgeringstermijn nog maximaal twee (examen)onderdelen van het inburgeringsexamen hoeft te behalen. Daarnaast worden voorwaarden gesteld aan de termijn waarbinnen alsnog is voldaan aan de inburgeringsplicht. Deze termijn bedraagt zes maanden. Tot slot kan er besloten worden tot gedeeltelijke kwijtschelding op grond van bijzondere individuele omstandigheden of als er sprake is van een onevenredige uitkomst.</w:t>
      </w:r>
    </w:p>
    <w:p w:rsidRPr="008D1C9C" w:rsidR="008D1C9C" w:rsidP="008D1C9C" w:rsidRDefault="008D1C9C" w14:paraId="0718CA1A" w14:textId="77777777">
      <w:pPr>
        <w:rPr>
          <w:b/>
          <w:bCs/>
        </w:rPr>
      </w:pPr>
    </w:p>
    <w:p w:rsidR="008D1C9C" w:rsidP="008D1C9C" w:rsidRDefault="008D1C9C" w14:paraId="5D0DEA96" w14:textId="77777777">
      <w:pPr>
        <w:rPr>
          <w:b/>
          <w:bCs/>
        </w:rPr>
      </w:pPr>
    </w:p>
    <w:p w:rsidR="00BF5A71" w:rsidP="008D1C9C" w:rsidRDefault="00BF5A71" w14:paraId="38BB9715" w14:textId="77777777">
      <w:pPr>
        <w:rPr>
          <w:b/>
          <w:bCs/>
        </w:rPr>
      </w:pPr>
    </w:p>
    <w:p w:rsidR="00BF5A71" w:rsidP="008D1C9C" w:rsidRDefault="00BF5A71" w14:paraId="03677571" w14:textId="77777777">
      <w:pPr>
        <w:rPr>
          <w:b/>
          <w:bCs/>
        </w:rPr>
      </w:pPr>
    </w:p>
    <w:p w:rsidRPr="008D1C9C" w:rsidR="00BF5A71" w:rsidP="008D1C9C" w:rsidRDefault="00BF5A71" w14:paraId="328A0F5B" w14:textId="77777777">
      <w:pPr>
        <w:rPr>
          <w:b/>
          <w:bCs/>
        </w:rPr>
      </w:pPr>
    </w:p>
    <w:p w:rsidRPr="008D1C9C" w:rsidR="008D1C9C" w:rsidP="008D1C9C" w:rsidRDefault="008D1C9C" w14:paraId="79ED5D99" w14:textId="77777777">
      <w:r w:rsidRPr="008D1C9C">
        <w:t>1) NRC, 4 februari 2025 (www.nrc.nl/nieuws/2025/02/04/europese-hof-van-justitie-nederland-mag-vluchtelingen-niet-beboeten-als-die-zakken-voor-hun-inburgeringsexamen-a4881967).</w:t>
      </w:r>
      <w:r w:rsidRPr="008D1C9C">
        <w:br/>
      </w:r>
    </w:p>
    <w:p w:rsidRPr="008D1C9C" w:rsidR="008D1C9C" w:rsidP="008D1C9C" w:rsidRDefault="008D1C9C" w14:paraId="222CA002" w14:textId="77777777">
      <w:r w:rsidRPr="008D1C9C">
        <w:t>2) Kamerstuk 32 824, nr. 348.</w:t>
      </w:r>
    </w:p>
    <w:p w:rsidRPr="008D1C9C" w:rsidR="008D1C9C" w:rsidP="008D1C9C" w:rsidRDefault="008D1C9C" w14:paraId="25033615" w14:textId="77777777"/>
    <w:p w:rsidRPr="008D1C9C" w:rsidR="008D1C9C" w:rsidP="008D1C9C" w:rsidRDefault="008D1C9C" w14:paraId="073E96CE" w14:textId="77777777"/>
    <w:p w:rsidR="002D4D8E" w:rsidRDefault="002D4D8E" w14:paraId="2C5E5AF3" w14:textId="77777777">
      <w:pPr>
        <w:spacing w:line="240" w:lineRule="auto"/>
        <w:rPr>
          <w:rFonts w:eastAsia="Times New Roman"/>
          <w:b/>
          <w:bCs/>
        </w:rPr>
      </w:pPr>
      <w:r>
        <w:rPr>
          <w:rFonts w:eastAsia="Times New Roman"/>
          <w:b/>
          <w:bCs/>
        </w:rPr>
        <w:br w:type="page"/>
      </w:r>
    </w:p>
    <w:p w:rsidR="002D4D8E" w:rsidP="002D4D8E" w:rsidRDefault="002D4D8E" w14:paraId="5E87A567" w14:textId="747AF6E3">
      <w:pPr>
        <w:rPr>
          <w:rFonts w:eastAsia="Times New Roman"/>
          <w:b/>
          <w:bCs/>
        </w:rPr>
      </w:pPr>
      <w:r w:rsidRPr="00F732D6">
        <w:rPr>
          <w:rFonts w:eastAsia="Times New Roman"/>
          <w:b/>
          <w:bCs/>
        </w:rPr>
        <w:lastRenderedPageBreak/>
        <w:t>Bijlage 1</w:t>
      </w:r>
      <w:r>
        <w:rPr>
          <w:rFonts w:eastAsia="Times New Roman"/>
          <w:b/>
          <w:bCs/>
        </w:rPr>
        <w:t xml:space="preserve"> Overzicht boetes Wi2013 en Wi2021</w:t>
      </w:r>
    </w:p>
    <w:p w:rsidR="002D4D8E" w:rsidP="002D4D8E" w:rsidRDefault="002D4D8E" w14:paraId="14E14B0B" w14:textId="77777777">
      <w:pPr>
        <w:rPr>
          <w:rFonts w:eastAsia="Times New Roman"/>
          <w:b/>
          <w:bCs/>
        </w:rPr>
      </w:pPr>
    </w:p>
    <w:p w:rsidRPr="00974B43" w:rsidR="002D4D8E" w:rsidP="002D4D8E" w:rsidRDefault="002D4D8E" w14:paraId="2208AAAE" w14:textId="77777777">
      <w:pPr>
        <w:autoSpaceDN/>
        <w:spacing w:line="240" w:lineRule="auto"/>
        <w:textAlignment w:val="auto"/>
        <w:rPr>
          <w:rFonts w:eastAsia="Times New Roman"/>
          <w:b/>
          <w:bCs/>
        </w:rPr>
      </w:pPr>
      <w:r w:rsidRPr="007C6D6C">
        <w:t xml:space="preserve">Onder de Wi2013 kan DUO alleen bestuurlijke boetes opleggen in het geval dat inburgeraars niet tijdig aan hun inburgeringsverplichtingen voldoen. De Wi2021 geeft zowel gemeenten als DUO de verantwoordelijkheid om bestuurlijke boetes op te leggen. In </w:t>
      </w:r>
      <w:r w:rsidRPr="00166659">
        <w:t xml:space="preserve">het overzicht </w:t>
      </w:r>
      <w:r w:rsidRPr="007C6D6C">
        <w:t>is voor de Wi2021 aangegeven welke overschrijdingen door gemeenten of door DUO bestuurlijk beboet kunnen worden.</w:t>
      </w:r>
      <w:r>
        <w:t xml:space="preserve"> </w:t>
      </w:r>
      <w:r w:rsidRPr="00974B43">
        <w:rPr>
          <w:rFonts w:cs="Verdana"/>
        </w:rPr>
        <w:t>In het Besluit Inburgering 2021 zijn de gemeentelijke boetes uitgewerkt.</w:t>
      </w:r>
    </w:p>
    <w:p w:rsidR="00E300B9" w:rsidRDefault="002D4D8E" w14:paraId="6F2A8C99" w14:textId="77777777">
      <w:pPr>
        <w:rPr>
          <w:rFonts w:eastAsiaTheme="minorHAnsi" w:cstheme="minorBidi"/>
          <w:szCs w:val="22"/>
          <w:lang w:eastAsia="en-US"/>
        </w:rPr>
      </w:pPr>
      <w:r>
        <w:rPr>
          <w:rFonts w:eastAsia="Times New Roman"/>
          <w:b/>
          <w:bCs/>
        </w:rPr>
        <w:fldChar w:fldCharType="begin"/>
      </w:r>
      <w:r w:rsidR="00761108">
        <w:rPr>
          <w:rFonts w:eastAsia="Times New Roman"/>
          <w:b/>
          <w:bCs/>
        </w:rPr>
        <w:instrText xml:space="preserve"> LINK Excel.Sheet.12 "H:\\Application Data\\Microsoft Office\\Outlook\\SecureTempFolder\\20250306  Overzicht handhaving Wi2013 en Wi2021.xlsx" Blad1!R1K1:R42K4 \a \f 5 \h  \* MERGEFORMAT </w:instrText>
      </w:r>
      <w:r>
        <w:rPr>
          <w:rFonts w:eastAsia="Times New Roman"/>
          <w:b/>
          <w:bCs/>
        </w:rPr>
        <w:fldChar w:fldCharType="separate"/>
      </w:r>
    </w:p>
    <w:tbl>
      <w:tblPr>
        <w:tblStyle w:val="Tabelraster"/>
        <w:tblW w:w="5361" w:type="pct"/>
        <w:tblLayout w:type="fixed"/>
        <w:tblLook w:val="04A0" w:firstRow="1" w:lastRow="0" w:firstColumn="1" w:lastColumn="0" w:noHBand="0" w:noVBand="1"/>
      </w:tblPr>
      <w:tblGrid>
        <w:gridCol w:w="2139"/>
        <w:gridCol w:w="2221"/>
        <w:gridCol w:w="2526"/>
        <w:gridCol w:w="1189"/>
      </w:tblGrid>
      <w:tr w:rsidRPr="008F6EF5" w:rsidR="002D4D8E" w:rsidTr="002D4D8E" w14:paraId="721BA198" w14:textId="77777777">
        <w:trPr>
          <w:trHeight w:val="300"/>
        </w:trPr>
        <w:tc>
          <w:tcPr>
            <w:tcW w:w="1325" w:type="pct"/>
            <w:shd w:val="clear" w:color="auto" w:fill="auto"/>
            <w:noWrap/>
            <w:hideMark/>
          </w:tcPr>
          <w:p w:rsidRPr="008F6EF5" w:rsidR="002D4D8E" w:rsidP="00461815" w:rsidRDefault="002D4D8E" w14:paraId="33431C4F" w14:textId="77777777">
            <w:pPr>
              <w:rPr>
                <w:rFonts w:eastAsia="Times New Roman"/>
                <w:b/>
                <w:bCs/>
              </w:rPr>
            </w:pPr>
            <w:r w:rsidRPr="008F6EF5">
              <w:rPr>
                <w:rFonts w:eastAsia="Times New Roman"/>
                <w:b/>
                <w:bCs/>
              </w:rPr>
              <w:t>Beschrijving</w:t>
            </w:r>
          </w:p>
        </w:tc>
        <w:tc>
          <w:tcPr>
            <w:tcW w:w="1375" w:type="pct"/>
            <w:noWrap/>
            <w:hideMark/>
          </w:tcPr>
          <w:p w:rsidRPr="008F6EF5" w:rsidR="002D4D8E" w:rsidP="00461815" w:rsidRDefault="002D4D8E" w14:paraId="30A1DF3D" w14:textId="77777777">
            <w:pPr>
              <w:rPr>
                <w:rFonts w:eastAsia="Times New Roman"/>
                <w:b/>
                <w:bCs/>
              </w:rPr>
            </w:pPr>
            <w:r w:rsidRPr="008F6EF5">
              <w:rPr>
                <w:rFonts w:eastAsia="Times New Roman"/>
                <w:b/>
                <w:bCs/>
              </w:rPr>
              <w:t>Wi2013</w:t>
            </w:r>
          </w:p>
        </w:tc>
        <w:tc>
          <w:tcPr>
            <w:tcW w:w="1564" w:type="pct"/>
            <w:noWrap/>
            <w:hideMark/>
          </w:tcPr>
          <w:p w:rsidRPr="008F6EF5" w:rsidR="002D4D8E" w:rsidP="00461815" w:rsidRDefault="002D4D8E" w14:paraId="4CFDE726" w14:textId="77777777">
            <w:pPr>
              <w:rPr>
                <w:rFonts w:eastAsia="Times New Roman"/>
                <w:b/>
                <w:bCs/>
              </w:rPr>
            </w:pPr>
            <w:r w:rsidRPr="008F6EF5">
              <w:rPr>
                <w:rFonts w:eastAsia="Times New Roman"/>
                <w:b/>
                <w:bCs/>
              </w:rPr>
              <w:t>Wi2021</w:t>
            </w:r>
          </w:p>
        </w:tc>
        <w:tc>
          <w:tcPr>
            <w:tcW w:w="736" w:type="pct"/>
            <w:noWrap/>
            <w:hideMark/>
          </w:tcPr>
          <w:p w:rsidRPr="008F6EF5" w:rsidR="002D4D8E" w:rsidP="00461815" w:rsidRDefault="002D4D8E" w14:paraId="43997B4A" w14:textId="77777777">
            <w:pPr>
              <w:rPr>
                <w:rFonts w:eastAsia="Times New Roman"/>
                <w:b/>
                <w:bCs/>
              </w:rPr>
            </w:pPr>
            <w:r w:rsidRPr="008F6EF5">
              <w:rPr>
                <w:rFonts w:eastAsia="Times New Roman"/>
                <w:b/>
                <w:bCs/>
              </w:rPr>
              <w:t>Wie</w:t>
            </w:r>
          </w:p>
        </w:tc>
      </w:tr>
      <w:tr w:rsidRPr="008F6EF5" w:rsidR="002D4D8E" w:rsidTr="002D4D8E" w14:paraId="68418823" w14:textId="77777777">
        <w:trPr>
          <w:trHeight w:val="300"/>
        </w:trPr>
        <w:tc>
          <w:tcPr>
            <w:tcW w:w="1325" w:type="pct"/>
            <w:noWrap/>
            <w:hideMark/>
          </w:tcPr>
          <w:p w:rsidRPr="008F6EF5" w:rsidR="002D4D8E" w:rsidP="00461815" w:rsidRDefault="002D4D8E" w14:paraId="29132AA6" w14:textId="77777777">
            <w:pPr>
              <w:rPr>
                <w:rFonts w:eastAsia="Times New Roman"/>
              </w:rPr>
            </w:pPr>
            <w:r>
              <w:rPr>
                <w:rFonts w:eastAsia="Times New Roman"/>
              </w:rPr>
              <w:t>Niet tijdig afronden pa</w:t>
            </w:r>
            <w:r w:rsidRPr="008F6EF5">
              <w:rPr>
                <w:rFonts w:eastAsia="Times New Roman"/>
              </w:rPr>
              <w:t>rticipatieverklaringstraject</w:t>
            </w:r>
          </w:p>
        </w:tc>
        <w:tc>
          <w:tcPr>
            <w:tcW w:w="1375" w:type="pct"/>
            <w:noWrap/>
            <w:hideMark/>
          </w:tcPr>
          <w:p w:rsidRPr="008F6EF5" w:rsidR="002D4D8E" w:rsidP="00461815" w:rsidRDefault="002D4D8E" w14:paraId="5F57E178" w14:textId="77777777">
            <w:pPr>
              <w:rPr>
                <w:rFonts w:eastAsia="Times New Roman"/>
              </w:rPr>
            </w:pPr>
            <w:r w:rsidRPr="008F6EF5">
              <w:rPr>
                <w:rFonts w:eastAsia="Times New Roman"/>
              </w:rPr>
              <w:t xml:space="preserve">Boete van maximaal  € 340 na één jaar (art. 34 onderdeel a Wi2013) </w:t>
            </w:r>
          </w:p>
        </w:tc>
        <w:tc>
          <w:tcPr>
            <w:tcW w:w="1564" w:type="pct"/>
            <w:noWrap/>
            <w:hideMark/>
          </w:tcPr>
          <w:p w:rsidRPr="008F6EF5" w:rsidR="002D4D8E" w:rsidP="00461815" w:rsidRDefault="002D4D8E" w14:paraId="49719727" w14:textId="77777777">
            <w:pPr>
              <w:rPr>
                <w:rFonts w:eastAsia="Times New Roman"/>
              </w:rPr>
            </w:pPr>
            <w:r w:rsidRPr="008F6EF5">
              <w:rPr>
                <w:rFonts w:eastAsia="Times New Roman"/>
              </w:rPr>
              <w:t>Boete van maximaal € 340 na einde inburgeringstermijn (art 26. lid 1, onderdeel b Wi2021)</w:t>
            </w:r>
          </w:p>
        </w:tc>
        <w:tc>
          <w:tcPr>
            <w:tcW w:w="736" w:type="pct"/>
            <w:noWrap/>
            <w:hideMark/>
          </w:tcPr>
          <w:p w:rsidRPr="008F6EF5" w:rsidR="002D4D8E" w:rsidP="00461815" w:rsidRDefault="002D4D8E" w14:paraId="25C095DA" w14:textId="77777777">
            <w:pPr>
              <w:rPr>
                <w:rFonts w:eastAsia="Times New Roman"/>
              </w:rPr>
            </w:pPr>
            <w:r w:rsidRPr="008F6EF5">
              <w:rPr>
                <w:rFonts w:eastAsia="Times New Roman"/>
              </w:rPr>
              <w:t>DUO</w:t>
            </w:r>
          </w:p>
        </w:tc>
      </w:tr>
      <w:tr w:rsidRPr="008F6EF5" w:rsidR="002D4D8E" w:rsidTr="002D4D8E" w14:paraId="63CCFFAA" w14:textId="77777777">
        <w:trPr>
          <w:trHeight w:val="300"/>
        </w:trPr>
        <w:tc>
          <w:tcPr>
            <w:tcW w:w="1325" w:type="pct"/>
            <w:noWrap/>
            <w:hideMark/>
          </w:tcPr>
          <w:p w:rsidRPr="008F6EF5" w:rsidR="002D4D8E" w:rsidP="00461815" w:rsidRDefault="002D4D8E" w14:paraId="35108C8B" w14:textId="77777777">
            <w:pPr>
              <w:rPr>
                <w:rFonts w:eastAsia="Times New Roman"/>
              </w:rPr>
            </w:pPr>
          </w:p>
        </w:tc>
        <w:tc>
          <w:tcPr>
            <w:tcW w:w="1375" w:type="pct"/>
            <w:noWrap/>
            <w:hideMark/>
          </w:tcPr>
          <w:p w:rsidRPr="008F6EF5" w:rsidR="002D4D8E" w:rsidP="00461815" w:rsidRDefault="002D4D8E" w14:paraId="56EC8491" w14:textId="77777777">
            <w:pPr>
              <w:rPr>
                <w:rFonts w:eastAsia="Times New Roman"/>
              </w:rPr>
            </w:pPr>
            <w:r w:rsidRPr="008F6EF5">
              <w:rPr>
                <w:rFonts w:eastAsia="Times New Roman"/>
              </w:rPr>
              <w:t>Jaarlijkse herhaling boete tot PVT is afgerond (art. 34 onderdeel b Wi2013)</w:t>
            </w:r>
          </w:p>
        </w:tc>
        <w:tc>
          <w:tcPr>
            <w:tcW w:w="1564" w:type="pct"/>
            <w:noWrap/>
            <w:hideMark/>
          </w:tcPr>
          <w:p w:rsidRPr="008F6EF5" w:rsidR="002D4D8E" w:rsidP="00461815" w:rsidRDefault="002D4D8E" w14:paraId="4AA680DF" w14:textId="77777777">
            <w:pPr>
              <w:rPr>
                <w:rFonts w:eastAsia="Times New Roman"/>
              </w:rPr>
            </w:pPr>
            <w:r w:rsidRPr="008F6EF5">
              <w:rPr>
                <w:rFonts w:eastAsia="Times New Roman"/>
              </w:rPr>
              <w:t>Tweejaarlijkse herhaling boete tot PVT is afgerond (art 24 lid 4 Wi2021)</w:t>
            </w:r>
          </w:p>
        </w:tc>
        <w:tc>
          <w:tcPr>
            <w:tcW w:w="736" w:type="pct"/>
            <w:noWrap/>
            <w:hideMark/>
          </w:tcPr>
          <w:p w:rsidRPr="008F6EF5" w:rsidR="002D4D8E" w:rsidP="00461815" w:rsidRDefault="002D4D8E" w14:paraId="70AACED0" w14:textId="77777777">
            <w:pPr>
              <w:rPr>
                <w:rFonts w:eastAsia="Times New Roman"/>
              </w:rPr>
            </w:pPr>
          </w:p>
        </w:tc>
      </w:tr>
      <w:tr w:rsidRPr="008F6EF5" w:rsidR="002D4D8E" w:rsidTr="002D4D8E" w14:paraId="621C0D72" w14:textId="77777777">
        <w:trPr>
          <w:trHeight w:val="300"/>
        </w:trPr>
        <w:tc>
          <w:tcPr>
            <w:tcW w:w="1325" w:type="pct"/>
            <w:noWrap/>
            <w:hideMark/>
          </w:tcPr>
          <w:p w:rsidRPr="008F6EF5" w:rsidR="002D4D8E" w:rsidP="00461815" w:rsidRDefault="002D4D8E" w14:paraId="4A791192" w14:textId="77777777">
            <w:pPr>
              <w:rPr>
                <w:rFonts w:eastAsia="Times New Roman"/>
              </w:rPr>
            </w:pPr>
          </w:p>
        </w:tc>
        <w:tc>
          <w:tcPr>
            <w:tcW w:w="1375" w:type="pct"/>
            <w:noWrap/>
            <w:hideMark/>
          </w:tcPr>
          <w:p w:rsidRPr="008F6EF5" w:rsidR="002D4D8E" w:rsidP="00461815" w:rsidRDefault="002D4D8E" w14:paraId="21A3EEB3" w14:textId="77777777">
            <w:pPr>
              <w:rPr>
                <w:rFonts w:eastAsia="Times New Roman"/>
              </w:rPr>
            </w:pPr>
            <w:r w:rsidRPr="008F6EF5">
              <w:rPr>
                <w:rFonts w:eastAsia="Times New Roman"/>
              </w:rPr>
              <w:t>Terugbetaling lening en geen recht meer op lening (art. 16, lid 2 a Wi</w:t>
            </w:r>
            <w:r>
              <w:rPr>
                <w:rFonts w:eastAsia="Times New Roman"/>
              </w:rPr>
              <w:t>2013</w:t>
            </w:r>
            <w:r w:rsidRPr="008F6EF5">
              <w:rPr>
                <w:rFonts w:eastAsia="Times New Roman"/>
              </w:rPr>
              <w:t>)</w:t>
            </w:r>
          </w:p>
        </w:tc>
        <w:tc>
          <w:tcPr>
            <w:tcW w:w="1564" w:type="pct"/>
            <w:noWrap/>
            <w:hideMark/>
          </w:tcPr>
          <w:p w:rsidRPr="008F6EF5" w:rsidR="002D4D8E" w:rsidP="00461815" w:rsidRDefault="002D4D8E" w14:paraId="290908A5" w14:textId="77777777">
            <w:pPr>
              <w:rPr>
                <w:rFonts w:eastAsia="Times New Roman"/>
              </w:rPr>
            </w:pPr>
          </w:p>
        </w:tc>
        <w:tc>
          <w:tcPr>
            <w:tcW w:w="736" w:type="pct"/>
            <w:noWrap/>
            <w:hideMark/>
          </w:tcPr>
          <w:p w:rsidRPr="008F6EF5" w:rsidR="002D4D8E" w:rsidP="00461815" w:rsidRDefault="002D4D8E" w14:paraId="5A9D5D95" w14:textId="77777777">
            <w:pPr>
              <w:rPr>
                <w:rFonts w:eastAsia="Times New Roman"/>
              </w:rPr>
            </w:pPr>
          </w:p>
        </w:tc>
      </w:tr>
      <w:tr w:rsidRPr="008F6EF5" w:rsidR="002D4D8E" w:rsidTr="002D4D8E" w14:paraId="67042087" w14:textId="77777777">
        <w:trPr>
          <w:trHeight w:val="300"/>
        </w:trPr>
        <w:tc>
          <w:tcPr>
            <w:tcW w:w="1325" w:type="pct"/>
            <w:noWrap/>
            <w:hideMark/>
          </w:tcPr>
          <w:p w:rsidRPr="008F6EF5" w:rsidR="002D4D8E" w:rsidP="00461815" w:rsidRDefault="002D4D8E" w14:paraId="693CB2F7" w14:textId="77777777">
            <w:pPr>
              <w:rPr>
                <w:rFonts w:eastAsia="Times New Roman"/>
              </w:rPr>
            </w:pPr>
            <w:r w:rsidRPr="008F6EF5">
              <w:rPr>
                <w:rFonts w:eastAsia="Times New Roman"/>
              </w:rPr>
              <w:t xml:space="preserve">Niet meewerken aan brede intake </w:t>
            </w:r>
          </w:p>
        </w:tc>
        <w:tc>
          <w:tcPr>
            <w:tcW w:w="1375" w:type="pct"/>
            <w:noWrap/>
            <w:hideMark/>
          </w:tcPr>
          <w:p w:rsidRPr="008F6EF5" w:rsidR="002D4D8E" w:rsidP="00461815" w:rsidRDefault="002D4D8E" w14:paraId="58AAA4CA" w14:textId="77777777">
            <w:pPr>
              <w:rPr>
                <w:rFonts w:eastAsia="Times New Roman"/>
              </w:rPr>
            </w:pPr>
          </w:p>
        </w:tc>
        <w:tc>
          <w:tcPr>
            <w:tcW w:w="1564" w:type="pct"/>
            <w:noWrap/>
            <w:hideMark/>
          </w:tcPr>
          <w:p w:rsidRPr="008F6EF5" w:rsidR="002D4D8E" w:rsidP="00461815" w:rsidRDefault="002D4D8E" w14:paraId="2580CB47" w14:textId="77777777">
            <w:pPr>
              <w:rPr>
                <w:rFonts w:eastAsia="Times New Roman"/>
              </w:rPr>
            </w:pPr>
            <w:r w:rsidRPr="008F6EF5">
              <w:rPr>
                <w:rFonts w:eastAsia="Times New Roman"/>
              </w:rPr>
              <w:t>Boete van maximaal € 250 gedurende inburgeringstermijn (art. 26 lid 1 onderdeel a Wi2021)</w:t>
            </w:r>
          </w:p>
        </w:tc>
        <w:tc>
          <w:tcPr>
            <w:tcW w:w="736" w:type="pct"/>
            <w:noWrap/>
            <w:hideMark/>
          </w:tcPr>
          <w:p w:rsidRPr="008F6EF5" w:rsidR="002D4D8E" w:rsidP="00461815" w:rsidRDefault="002D4D8E" w14:paraId="590319DD" w14:textId="77777777">
            <w:pPr>
              <w:rPr>
                <w:rFonts w:eastAsia="Times New Roman"/>
              </w:rPr>
            </w:pPr>
            <w:r w:rsidRPr="008F6EF5">
              <w:rPr>
                <w:rFonts w:eastAsia="Times New Roman"/>
              </w:rPr>
              <w:t>Gemeente</w:t>
            </w:r>
          </w:p>
        </w:tc>
      </w:tr>
      <w:tr w:rsidRPr="008F6EF5" w:rsidR="002D4D8E" w:rsidTr="002D4D8E" w14:paraId="00F54C67" w14:textId="77777777">
        <w:trPr>
          <w:trHeight w:val="300"/>
        </w:trPr>
        <w:tc>
          <w:tcPr>
            <w:tcW w:w="1325" w:type="pct"/>
            <w:noWrap/>
            <w:hideMark/>
          </w:tcPr>
          <w:p w:rsidRPr="008F6EF5" w:rsidR="002D4D8E" w:rsidP="00461815" w:rsidRDefault="002D4D8E" w14:paraId="2460D4CE" w14:textId="77777777">
            <w:pPr>
              <w:rPr>
                <w:rFonts w:eastAsia="Times New Roman"/>
              </w:rPr>
            </w:pPr>
            <w:r w:rsidRPr="008F6EF5">
              <w:rPr>
                <w:rFonts w:eastAsia="Times New Roman"/>
              </w:rPr>
              <w:t>Niet meewerken aan inburgeringstraject</w:t>
            </w:r>
          </w:p>
        </w:tc>
        <w:tc>
          <w:tcPr>
            <w:tcW w:w="1375" w:type="pct"/>
            <w:noWrap/>
            <w:hideMark/>
          </w:tcPr>
          <w:p w:rsidRPr="008F6EF5" w:rsidR="002D4D8E" w:rsidP="00461815" w:rsidRDefault="002D4D8E" w14:paraId="31D09CAF" w14:textId="77777777">
            <w:pPr>
              <w:rPr>
                <w:rFonts w:eastAsia="Times New Roman"/>
              </w:rPr>
            </w:pPr>
          </w:p>
        </w:tc>
        <w:tc>
          <w:tcPr>
            <w:tcW w:w="1564" w:type="pct"/>
            <w:noWrap/>
            <w:hideMark/>
          </w:tcPr>
          <w:p w:rsidRPr="008F6EF5" w:rsidR="002D4D8E" w:rsidP="00461815" w:rsidRDefault="002D4D8E" w14:paraId="2B17A1BE" w14:textId="77777777">
            <w:pPr>
              <w:rPr>
                <w:rFonts w:eastAsia="Times New Roman"/>
              </w:rPr>
            </w:pPr>
            <w:r w:rsidRPr="008F6EF5">
              <w:rPr>
                <w:rFonts w:eastAsia="Times New Roman"/>
              </w:rPr>
              <w:t xml:space="preserve">Boete van maximaal € 800 gedurende inburgeringstermijn (art. 26 lid 1 onderdeel </w:t>
            </w:r>
            <w:r>
              <w:rPr>
                <w:rFonts w:eastAsia="Times New Roman"/>
              </w:rPr>
              <w:t>c</w:t>
            </w:r>
            <w:r w:rsidRPr="008F6EF5">
              <w:rPr>
                <w:rFonts w:eastAsia="Times New Roman"/>
              </w:rPr>
              <w:t xml:space="preserve"> Wi2021)</w:t>
            </w:r>
          </w:p>
        </w:tc>
        <w:tc>
          <w:tcPr>
            <w:tcW w:w="736" w:type="pct"/>
            <w:noWrap/>
            <w:hideMark/>
          </w:tcPr>
          <w:p w:rsidRPr="008F6EF5" w:rsidR="002D4D8E" w:rsidP="00461815" w:rsidRDefault="002D4D8E" w14:paraId="44A4CA65" w14:textId="77777777">
            <w:pPr>
              <w:rPr>
                <w:rFonts w:eastAsia="Times New Roman"/>
              </w:rPr>
            </w:pPr>
            <w:r w:rsidRPr="008F6EF5">
              <w:rPr>
                <w:rFonts w:eastAsia="Times New Roman"/>
              </w:rPr>
              <w:t>Gemeente</w:t>
            </w:r>
          </w:p>
        </w:tc>
      </w:tr>
      <w:tr w:rsidRPr="008F6EF5" w:rsidR="002D4D8E" w:rsidTr="002D4D8E" w14:paraId="31CA62D3" w14:textId="77777777">
        <w:trPr>
          <w:trHeight w:val="300"/>
        </w:trPr>
        <w:tc>
          <w:tcPr>
            <w:tcW w:w="1325" w:type="pct"/>
            <w:noWrap/>
            <w:hideMark/>
          </w:tcPr>
          <w:p w:rsidRPr="008F6EF5" w:rsidR="002D4D8E" w:rsidP="00461815" w:rsidRDefault="002D4D8E" w14:paraId="5D80B860" w14:textId="77777777">
            <w:pPr>
              <w:rPr>
                <w:rFonts w:eastAsia="Times New Roman"/>
              </w:rPr>
            </w:pPr>
          </w:p>
        </w:tc>
        <w:tc>
          <w:tcPr>
            <w:tcW w:w="1375" w:type="pct"/>
            <w:noWrap/>
            <w:hideMark/>
          </w:tcPr>
          <w:p w:rsidRPr="008F6EF5" w:rsidR="002D4D8E" w:rsidP="00461815" w:rsidRDefault="002D4D8E" w14:paraId="2E2E141E" w14:textId="77777777">
            <w:pPr>
              <w:rPr>
                <w:rFonts w:eastAsia="Times New Roman"/>
              </w:rPr>
            </w:pPr>
          </w:p>
        </w:tc>
        <w:tc>
          <w:tcPr>
            <w:tcW w:w="1564" w:type="pct"/>
            <w:noWrap/>
            <w:hideMark/>
          </w:tcPr>
          <w:p w:rsidRPr="008F6EF5" w:rsidR="002D4D8E" w:rsidP="00461815" w:rsidRDefault="002D4D8E" w14:paraId="38C68EA7" w14:textId="77777777">
            <w:pPr>
              <w:rPr>
                <w:rFonts w:eastAsia="Times New Roman"/>
              </w:rPr>
            </w:pPr>
            <w:r>
              <w:rPr>
                <w:rFonts w:eastAsia="Times New Roman"/>
              </w:rPr>
              <w:t>De eerste b</w:t>
            </w:r>
            <w:r w:rsidRPr="008F6EF5">
              <w:rPr>
                <w:rFonts w:eastAsia="Times New Roman"/>
              </w:rPr>
              <w:t>oete bedraagt € 50 (art 7.1, lid 2 Bi2021)</w:t>
            </w:r>
          </w:p>
        </w:tc>
        <w:tc>
          <w:tcPr>
            <w:tcW w:w="736" w:type="pct"/>
            <w:noWrap/>
            <w:hideMark/>
          </w:tcPr>
          <w:p w:rsidRPr="008F6EF5" w:rsidR="002D4D8E" w:rsidP="00461815" w:rsidRDefault="002D4D8E" w14:paraId="345B68A5" w14:textId="77777777">
            <w:pPr>
              <w:rPr>
                <w:rFonts w:eastAsia="Times New Roman"/>
              </w:rPr>
            </w:pPr>
          </w:p>
        </w:tc>
      </w:tr>
      <w:tr w:rsidRPr="008F6EF5" w:rsidR="002D4D8E" w:rsidTr="002D4D8E" w14:paraId="0E639E34" w14:textId="77777777">
        <w:trPr>
          <w:trHeight w:val="300"/>
        </w:trPr>
        <w:tc>
          <w:tcPr>
            <w:tcW w:w="1325" w:type="pct"/>
            <w:noWrap/>
            <w:hideMark/>
          </w:tcPr>
          <w:p w:rsidRPr="008F6EF5" w:rsidR="002D4D8E" w:rsidP="00461815" w:rsidRDefault="002D4D8E" w14:paraId="3C3E0D2C" w14:textId="77777777">
            <w:pPr>
              <w:rPr>
                <w:rFonts w:eastAsia="Times New Roman"/>
              </w:rPr>
            </w:pPr>
          </w:p>
        </w:tc>
        <w:tc>
          <w:tcPr>
            <w:tcW w:w="1375" w:type="pct"/>
            <w:noWrap/>
            <w:hideMark/>
          </w:tcPr>
          <w:p w:rsidRPr="008F6EF5" w:rsidR="002D4D8E" w:rsidP="00461815" w:rsidRDefault="002D4D8E" w14:paraId="338C26A1" w14:textId="77777777">
            <w:pPr>
              <w:rPr>
                <w:rFonts w:eastAsia="Times New Roman"/>
              </w:rPr>
            </w:pPr>
          </w:p>
        </w:tc>
        <w:tc>
          <w:tcPr>
            <w:tcW w:w="1564" w:type="pct"/>
            <w:noWrap/>
            <w:hideMark/>
          </w:tcPr>
          <w:p w:rsidRPr="000029A8" w:rsidR="002D4D8E" w:rsidP="00461815" w:rsidRDefault="002D4D8E" w14:paraId="22B2B992" w14:textId="77777777">
            <w:pPr>
              <w:rPr>
                <w:rFonts w:eastAsia="Times New Roman"/>
              </w:rPr>
            </w:pPr>
            <w:r w:rsidRPr="008F6EF5">
              <w:rPr>
                <w:rFonts w:eastAsia="Times New Roman"/>
              </w:rPr>
              <w:t>Verhoging boete met 100% tot een bedrag van maximaal € 800 (art. 7.1 lid 4 Bi2021):</w:t>
            </w:r>
            <w:r>
              <w:rPr>
                <w:rFonts w:eastAsia="Times New Roman"/>
              </w:rPr>
              <w:br/>
            </w:r>
            <w:r w:rsidRPr="000029A8">
              <w:rPr>
                <w:rFonts w:eastAsia="Times New Roman"/>
              </w:rPr>
              <w:t>- opzet: 100%</w:t>
            </w:r>
          </w:p>
          <w:p w:rsidRPr="000029A8" w:rsidR="002D4D8E" w:rsidP="00461815" w:rsidRDefault="002D4D8E" w14:paraId="3D85C9AA" w14:textId="77777777">
            <w:pPr>
              <w:rPr>
                <w:rFonts w:eastAsia="Times New Roman"/>
              </w:rPr>
            </w:pPr>
            <w:r w:rsidRPr="000029A8">
              <w:rPr>
                <w:rFonts w:eastAsia="Times New Roman"/>
              </w:rPr>
              <w:t>- grove schuld: 75%</w:t>
            </w:r>
          </w:p>
          <w:p w:rsidRPr="000029A8" w:rsidR="002D4D8E" w:rsidP="00461815" w:rsidRDefault="002D4D8E" w14:paraId="50965E5E" w14:textId="77777777">
            <w:pPr>
              <w:rPr>
                <w:rFonts w:eastAsia="Times New Roman"/>
              </w:rPr>
            </w:pPr>
            <w:r w:rsidRPr="000029A8">
              <w:rPr>
                <w:rFonts w:eastAsia="Times New Roman"/>
              </w:rPr>
              <w:t>- geen opzet of grove schuld: 50%</w:t>
            </w:r>
          </w:p>
          <w:p w:rsidRPr="008F6EF5" w:rsidR="002D4D8E" w:rsidP="00461815" w:rsidRDefault="002D4D8E" w14:paraId="33AF0D4C" w14:textId="77777777">
            <w:pPr>
              <w:rPr>
                <w:rFonts w:eastAsia="Times New Roman"/>
              </w:rPr>
            </w:pPr>
            <w:r w:rsidRPr="000029A8">
              <w:rPr>
                <w:rFonts w:eastAsia="Times New Roman"/>
              </w:rPr>
              <w:t>- verminderde verwijtbaarheid: 25%</w:t>
            </w:r>
          </w:p>
        </w:tc>
        <w:tc>
          <w:tcPr>
            <w:tcW w:w="736" w:type="pct"/>
            <w:noWrap/>
            <w:hideMark/>
          </w:tcPr>
          <w:p w:rsidRPr="008F6EF5" w:rsidR="002D4D8E" w:rsidP="00461815" w:rsidRDefault="002D4D8E" w14:paraId="5D9DEB95" w14:textId="77777777">
            <w:pPr>
              <w:rPr>
                <w:rFonts w:eastAsia="Times New Roman"/>
              </w:rPr>
            </w:pPr>
          </w:p>
        </w:tc>
      </w:tr>
      <w:tr w:rsidRPr="008F6EF5" w:rsidR="002D4D8E" w:rsidTr="002D4D8E" w14:paraId="1F7BB315" w14:textId="77777777">
        <w:trPr>
          <w:trHeight w:val="300"/>
        </w:trPr>
        <w:tc>
          <w:tcPr>
            <w:tcW w:w="1325" w:type="pct"/>
            <w:noWrap/>
            <w:hideMark/>
          </w:tcPr>
          <w:p w:rsidRPr="008F6EF5" w:rsidR="002D4D8E" w:rsidP="00461815" w:rsidRDefault="002D4D8E" w14:paraId="1EB8FA06" w14:textId="77777777">
            <w:pPr>
              <w:rPr>
                <w:rFonts w:eastAsia="Times New Roman"/>
              </w:rPr>
            </w:pPr>
            <w:r w:rsidRPr="008F6EF5">
              <w:rPr>
                <w:rFonts w:eastAsia="Times New Roman"/>
              </w:rPr>
              <w:t>Niet afronden MAP binnen inburgeringstermijn</w:t>
            </w:r>
          </w:p>
        </w:tc>
        <w:tc>
          <w:tcPr>
            <w:tcW w:w="1375" w:type="pct"/>
            <w:noWrap/>
            <w:hideMark/>
          </w:tcPr>
          <w:p w:rsidRPr="008F6EF5" w:rsidR="002D4D8E" w:rsidP="00461815" w:rsidRDefault="002D4D8E" w14:paraId="395C7672" w14:textId="77777777">
            <w:pPr>
              <w:rPr>
                <w:rFonts w:eastAsia="Times New Roman"/>
              </w:rPr>
            </w:pPr>
          </w:p>
        </w:tc>
        <w:tc>
          <w:tcPr>
            <w:tcW w:w="1564" w:type="pct"/>
            <w:noWrap/>
            <w:hideMark/>
          </w:tcPr>
          <w:p w:rsidRPr="008F6EF5" w:rsidR="002D4D8E" w:rsidP="00461815" w:rsidRDefault="002D4D8E" w14:paraId="2B38CB15" w14:textId="77777777">
            <w:pPr>
              <w:rPr>
                <w:rFonts w:eastAsia="Times New Roman"/>
              </w:rPr>
            </w:pPr>
            <w:r w:rsidRPr="008F6EF5">
              <w:rPr>
                <w:rFonts w:eastAsia="Times New Roman"/>
              </w:rPr>
              <w:t>Boete van maximaal € 340 na einde inburgeringstermijn (art</w:t>
            </w:r>
            <w:r>
              <w:rPr>
                <w:rFonts w:eastAsia="Times New Roman"/>
              </w:rPr>
              <w:t>.</w:t>
            </w:r>
            <w:r w:rsidRPr="008F6EF5">
              <w:rPr>
                <w:rFonts w:eastAsia="Times New Roman"/>
              </w:rPr>
              <w:t xml:space="preserve"> 26 lid 1 </w:t>
            </w:r>
            <w:r>
              <w:rPr>
                <w:rFonts w:eastAsia="Times New Roman"/>
              </w:rPr>
              <w:t xml:space="preserve">onderdeel </w:t>
            </w:r>
            <w:r w:rsidRPr="008F6EF5">
              <w:rPr>
                <w:rFonts w:eastAsia="Times New Roman"/>
              </w:rPr>
              <w:t>b Wi2021)</w:t>
            </w:r>
          </w:p>
        </w:tc>
        <w:tc>
          <w:tcPr>
            <w:tcW w:w="736" w:type="pct"/>
            <w:noWrap/>
            <w:hideMark/>
          </w:tcPr>
          <w:p w:rsidRPr="008F6EF5" w:rsidR="002D4D8E" w:rsidP="00461815" w:rsidRDefault="002D4D8E" w14:paraId="3CD3AC09" w14:textId="77777777">
            <w:pPr>
              <w:rPr>
                <w:rFonts w:eastAsia="Times New Roman"/>
              </w:rPr>
            </w:pPr>
            <w:r w:rsidRPr="008F6EF5">
              <w:rPr>
                <w:rFonts w:eastAsia="Times New Roman"/>
              </w:rPr>
              <w:t>DUO</w:t>
            </w:r>
          </w:p>
        </w:tc>
      </w:tr>
      <w:tr w:rsidRPr="008F6EF5" w:rsidR="002D4D8E" w:rsidTr="002D4D8E" w14:paraId="75A97BF7" w14:textId="77777777">
        <w:trPr>
          <w:trHeight w:val="300"/>
        </w:trPr>
        <w:tc>
          <w:tcPr>
            <w:tcW w:w="1325" w:type="pct"/>
            <w:noWrap/>
            <w:hideMark/>
          </w:tcPr>
          <w:p w:rsidRPr="008F6EF5" w:rsidR="002D4D8E" w:rsidP="00461815" w:rsidRDefault="002D4D8E" w14:paraId="6791EFFD" w14:textId="77777777">
            <w:pPr>
              <w:rPr>
                <w:rFonts w:eastAsia="Times New Roman"/>
              </w:rPr>
            </w:pPr>
          </w:p>
        </w:tc>
        <w:tc>
          <w:tcPr>
            <w:tcW w:w="1375" w:type="pct"/>
            <w:noWrap/>
            <w:hideMark/>
          </w:tcPr>
          <w:p w:rsidRPr="008F6EF5" w:rsidR="002D4D8E" w:rsidP="00461815" w:rsidRDefault="002D4D8E" w14:paraId="64B0A210" w14:textId="77777777">
            <w:pPr>
              <w:rPr>
                <w:rFonts w:eastAsia="Times New Roman"/>
              </w:rPr>
            </w:pPr>
          </w:p>
        </w:tc>
        <w:tc>
          <w:tcPr>
            <w:tcW w:w="1564" w:type="pct"/>
            <w:noWrap/>
            <w:hideMark/>
          </w:tcPr>
          <w:p w:rsidRPr="008F6EF5" w:rsidR="002D4D8E" w:rsidP="00461815" w:rsidRDefault="002D4D8E" w14:paraId="674621E4" w14:textId="77777777">
            <w:pPr>
              <w:rPr>
                <w:rFonts w:eastAsia="Times New Roman"/>
              </w:rPr>
            </w:pPr>
            <w:r w:rsidRPr="008F6EF5">
              <w:rPr>
                <w:rFonts w:eastAsia="Times New Roman"/>
              </w:rPr>
              <w:t xml:space="preserve">Tweejaarlijkse herhaling boete tot MAP is </w:t>
            </w:r>
            <w:r w:rsidRPr="008F6EF5">
              <w:rPr>
                <w:rFonts w:eastAsia="Times New Roman"/>
              </w:rPr>
              <w:lastRenderedPageBreak/>
              <w:t>afgerond (art 24</w:t>
            </w:r>
            <w:r>
              <w:rPr>
                <w:rFonts w:eastAsia="Times New Roman"/>
              </w:rPr>
              <w:t>.</w:t>
            </w:r>
            <w:r w:rsidRPr="008F6EF5">
              <w:rPr>
                <w:rFonts w:eastAsia="Times New Roman"/>
              </w:rPr>
              <w:t xml:space="preserve"> lid 4 Wi2021)</w:t>
            </w:r>
          </w:p>
        </w:tc>
        <w:tc>
          <w:tcPr>
            <w:tcW w:w="736" w:type="pct"/>
            <w:noWrap/>
            <w:hideMark/>
          </w:tcPr>
          <w:p w:rsidRPr="008F6EF5" w:rsidR="002D4D8E" w:rsidP="00461815" w:rsidRDefault="002D4D8E" w14:paraId="088F1F1E" w14:textId="77777777">
            <w:pPr>
              <w:rPr>
                <w:rFonts w:eastAsia="Times New Roman"/>
              </w:rPr>
            </w:pPr>
          </w:p>
        </w:tc>
      </w:tr>
      <w:tr w:rsidRPr="008F6EF5" w:rsidR="002D4D8E" w:rsidTr="002D4D8E" w14:paraId="51E23759" w14:textId="77777777">
        <w:trPr>
          <w:trHeight w:val="300"/>
        </w:trPr>
        <w:tc>
          <w:tcPr>
            <w:tcW w:w="1325" w:type="pct"/>
            <w:noWrap/>
            <w:hideMark/>
          </w:tcPr>
          <w:p w:rsidRPr="008F6EF5" w:rsidR="002D4D8E" w:rsidP="00461815" w:rsidRDefault="002D4D8E" w14:paraId="0205AA2C" w14:textId="77777777">
            <w:pPr>
              <w:rPr>
                <w:rFonts w:eastAsia="Times New Roman"/>
              </w:rPr>
            </w:pPr>
            <w:r w:rsidRPr="008F6EF5">
              <w:rPr>
                <w:rFonts w:eastAsia="Times New Roman"/>
              </w:rPr>
              <w:t xml:space="preserve">Verwijtbaar niet voldoen aan inburgeringsplicht                                       </w:t>
            </w:r>
          </w:p>
        </w:tc>
        <w:tc>
          <w:tcPr>
            <w:tcW w:w="1375" w:type="pct"/>
            <w:noWrap/>
            <w:hideMark/>
          </w:tcPr>
          <w:p w:rsidRPr="008F6EF5" w:rsidR="002D4D8E" w:rsidP="00461815" w:rsidRDefault="002D4D8E" w14:paraId="2E5DFBC7" w14:textId="77777777">
            <w:pPr>
              <w:rPr>
                <w:rFonts w:eastAsia="Times New Roman"/>
              </w:rPr>
            </w:pPr>
            <w:r w:rsidRPr="008F6EF5">
              <w:rPr>
                <w:rFonts w:eastAsia="Times New Roman"/>
              </w:rPr>
              <w:t>Boete van maximaal € 1250 na einde inburgeringstermijn (art</w:t>
            </w:r>
            <w:r>
              <w:rPr>
                <w:rFonts w:eastAsia="Times New Roman"/>
              </w:rPr>
              <w:t>.</w:t>
            </w:r>
            <w:r w:rsidRPr="008F6EF5">
              <w:rPr>
                <w:rFonts w:eastAsia="Times New Roman"/>
              </w:rPr>
              <w:t xml:space="preserve"> 34 </w:t>
            </w:r>
            <w:r>
              <w:rPr>
                <w:rFonts w:eastAsia="Times New Roman"/>
              </w:rPr>
              <w:t xml:space="preserve">onderdeel </w:t>
            </w:r>
            <w:r w:rsidRPr="008F6EF5">
              <w:rPr>
                <w:rFonts w:eastAsia="Times New Roman"/>
              </w:rPr>
              <w:t>c Wi</w:t>
            </w:r>
            <w:r>
              <w:rPr>
                <w:rFonts w:eastAsia="Times New Roman"/>
              </w:rPr>
              <w:t>2013</w:t>
            </w:r>
            <w:r w:rsidRPr="008F6EF5">
              <w:rPr>
                <w:rFonts w:eastAsia="Times New Roman"/>
              </w:rPr>
              <w:t xml:space="preserve">)                   </w:t>
            </w:r>
          </w:p>
        </w:tc>
        <w:tc>
          <w:tcPr>
            <w:tcW w:w="1564" w:type="pct"/>
            <w:noWrap/>
            <w:hideMark/>
          </w:tcPr>
          <w:p w:rsidRPr="008F6EF5" w:rsidR="002D4D8E" w:rsidP="00461815" w:rsidRDefault="002D4D8E" w14:paraId="6690D80F" w14:textId="77777777">
            <w:pPr>
              <w:rPr>
                <w:rFonts w:eastAsia="Times New Roman"/>
              </w:rPr>
            </w:pPr>
            <w:r w:rsidRPr="008F6EF5">
              <w:rPr>
                <w:rFonts w:eastAsia="Times New Roman"/>
              </w:rPr>
              <w:t>Boete van maximaal € 1000 na einde inburgeringstermijn (art</w:t>
            </w:r>
            <w:r>
              <w:rPr>
                <w:rFonts w:eastAsia="Times New Roman"/>
              </w:rPr>
              <w:t>.</w:t>
            </w:r>
            <w:r w:rsidRPr="008F6EF5">
              <w:rPr>
                <w:rFonts w:eastAsia="Times New Roman"/>
              </w:rPr>
              <w:t xml:space="preserve"> 26 lid 1 </w:t>
            </w:r>
            <w:r>
              <w:rPr>
                <w:rFonts w:eastAsia="Times New Roman"/>
              </w:rPr>
              <w:t xml:space="preserve">onderdeel </w:t>
            </w:r>
            <w:r w:rsidRPr="008F6EF5">
              <w:rPr>
                <w:rFonts w:eastAsia="Times New Roman"/>
              </w:rPr>
              <w:t xml:space="preserve">d  Wi2021) </w:t>
            </w:r>
          </w:p>
        </w:tc>
        <w:tc>
          <w:tcPr>
            <w:tcW w:w="736" w:type="pct"/>
            <w:noWrap/>
            <w:hideMark/>
          </w:tcPr>
          <w:p w:rsidRPr="008F6EF5" w:rsidR="002D4D8E" w:rsidP="00461815" w:rsidRDefault="002D4D8E" w14:paraId="5DBDB554" w14:textId="77777777">
            <w:pPr>
              <w:rPr>
                <w:rFonts w:eastAsia="Times New Roman"/>
              </w:rPr>
            </w:pPr>
            <w:r w:rsidRPr="008F6EF5">
              <w:rPr>
                <w:rFonts w:eastAsia="Times New Roman"/>
              </w:rPr>
              <w:t>DUO</w:t>
            </w:r>
          </w:p>
        </w:tc>
      </w:tr>
      <w:tr w:rsidRPr="008F6EF5" w:rsidR="002D4D8E" w:rsidTr="002D4D8E" w14:paraId="7D17CCA7" w14:textId="77777777">
        <w:trPr>
          <w:trHeight w:val="300"/>
        </w:trPr>
        <w:tc>
          <w:tcPr>
            <w:tcW w:w="1325" w:type="pct"/>
            <w:noWrap/>
            <w:hideMark/>
          </w:tcPr>
          <w:p w:rsidRPr="008F6EF5" w:rsidR="002D4D8E" w:rsidP="00461815" w:rsidRDefault="002D4D8E" w14:paraId="6E723762" w14:textId="77777777">
            <w:pPr>
              <w:rPr>
                <w:rFonts w:eastAsia="Times New Roman"/>
              </w:rPr>
            </w:pPr>
          </w:p>
        </w:tc>
        <w:tc>
          <w:tcPr>
            <w:tcW w:w="1375" w:type="pct"/>
            <w:noWrap/>
            <w:hideMark/>
          </w:tcPr>
          <w:p w:rsidRPr="008F6EF5" w:rsidR="002D4D8E" w:rsidP="00461815" w:rsidRDefault="002D4D8E" w14:paraId="2EC39394" w14:textId="77777777">
            <w:pPr>
              <w:rPr>
                <w:rFonts w:eastAsia="Times New Roman"/>
              </w:rPr>
            </w:pPr>
            <w:r w:rsidRPr="008F6EF5">
              <w:rPr>
                <w:rFonts w:eastAsia="Times New Roman"/>
              </w:rPr>
              <w:t>Herhaling iedere twee jaar boete tot inburgeringsplicht is afgerond (art</w:t>
            </w:r>
            <w:r>
              <w:rPr>
                <w:rFonts w:eastAsia="Times New Roman"/>
              </w:rPr>
              <w:t>.</w:t>
            </w:r>
            <w:r w:rsidRPr="008F6EF5">
              <w:rPr>
                <w:rFonts w:eastAsia="Times New Roman"/>
              </w:rPr>
              <w:t xml:space="preserve"> 34 </w:t>
            </w:r>
            <w:r>
              <w:rPr>
                <w:rFonts w:eastAsia="Times New Roman"/>
              </w:rPr>
              <w:t xml:space="preserve">onderdeel </w:t>
            </w:r>
            <w:r w:rsidRPr="008F6EF5">
              <w:rPr>
                <w:rFonts w:eastAsia="Times New Roman"/>
              </w:rPr>
              <w:t>d Wi</w:t>
            </w:r>
            <w:r>
              <w:rPr>
                <w:rFonts w:eastAsia="Times New Roman"/>
              </w:rPr>
              <w:t>2013</w:t>
            </w:r>
            <w:r w:rsidRPr="008F6EF5">
              <w:rPr>
                <w:rFonts w:eastAsia="Times New Roman"/>
              </w:rPr>
              <w:t>)</w:t>
            </w:r>
          </w:p>
        </w:tc>
        <w:tc>
          <w:tcPr>
            <w:tcW w:w="1564" w:type="pct"/>
            <w:noWrap/>
            <w:hideMark/>
          </w:tcPr>
          <w:p w:rsidRPr="008F6EF5" w:rsidR="002D4D8E" w:rsidP="00461815" w:rsidRDefault="002D4D8E" w14:paraId="20015AAD" w14:textId="77777777">
            <w:pPr>
              <w:rPr>
                <w:rFonts w:eastAsia="Times New Roman"/>
              </w:rPr>
            </w:pPr>
            <w:r>
              <w:rPr>
                <w:rFonts w:eastAsia="Times New Roman"/>
              </w:rPr>
              <w:t>H</w:t>
            </w:r>
            <w:r w:rsidRPr="008F6EF5">
              <w:rPr>
                <w:rFonts w:eastAsia="Times New Roman"/>
              </w:rPr>
              <w:t xml:space="preserve">erhaling boete tot </w:t>
            </w:r>
            <w:r>
              <w:rPr>
                <w:rFonts w:eastAsia="Times New Roman"/>
              </w:rPr>
              <w:t xml:space="preserve">MAP en of PVT is </w:t>
            </w:r>
            <w:r w:rsidRPr="008F6EF5">
              <w:rPr>
                <w:rFonts w:eastAsia="Times New Roman"/>
              </w:rPr>
              <w:t>afgerond</w:t>
            </w:r>
            <w:r>
              <w:rPr>
                <w:rFonts w:eastAsia="Times New Roman"/>
              </w:rPr>
              <w:t xml:space="preserve"> </w:t>
            </w:r>
            <w:r w:rsidRPr="00F732D6">
              <w:rPr>
                <w:rFonts w:eastAsia="Times New Roman"/>
              </w:rPr>
              <w:t>(art</w:t>
            </w:r>
            <w:r>
              <w:rPr>
                <w:rFonts w:eastAsia="Times New Roman"/>
              </w:rPr>
              <w:t>.</w:t>
            </w:r>
            <w:r w:rsidRPr="00F732D6">
              <w:rPr>
                <w:rFonts w:eastAsia="Times New Roman"/>
              </w:rPr>
              <w:t xml:space="preserve"> 24  Wi2021)</w:t>
            </w:r>
            <w:r>
              <w:rPr>
                <w:rFonts w:eastAsia="Times New Roman"/>
              </w:rPr>
              <w:t xml:space="preserve"> dan wel tot afronding leerroute (art. 25  Wi2021)</w:t>
            </w:r>
          </w:p>
        </w:tc>
        <w:tc>
          <w:tcPr>
            <w:tcW w:w="736" w:type="pct"/>
            <w:noWrap/>
            <w:hideMark/>
          </w:tcPr>
          <w:p w:rsidRPr="008F6EF5" w:rsidR="002D4D8E" w:rsidP="00461815" w:rsidRDefault="002D4D8E" w14:paraId="6F006461" w14:textId="77777777">
            <w:pPr>
              <w:rPr>
                <w:rFonts w:eastAsia="Times New Roman"/>
              </w:rPr>
            </w:pPr>
          </w:p>
        </w:tc>
      </w:tr>
      <w:tr w:rsidRPr="008F6EF5" w:rsidR="002D4D8E" w:rsidTr="002D4D8E" w14:paraId="17538F26" w14:textId="77777777">
        <w:trPr>
          <w:trHeight w:val="300"/>
        </w:trPr>
        <w:tc>
          <w:tcPr>
            <w:tcW w:w="1325" w:type="pct"/>
            <w:noWrap/>
            <w:hideMark/>
          </w:tcPr>
          <w:p w:rsidRPr="008F6EF5" w:rsidR="002D4D8E" w:rsidP="00461815" w:rsidRDefault="002D4D8E" w14:paraId="151326C5" w14:textId="77777777">
            <w:pPr>
              <w:rPr>
                <w:rFonts w:eastAsia="Times New Roman"/>
              </w:rPr>
            </w:pPr>
          </w:p>
        </w:tc>
        <w:tc>
          <w:tcPr>
            <w:tcW w:w="1375" w:type="pct"/>
            <w:noWrap/>
            <w:hideMark/>
          </w:tcPr>
          <w:p w:rsidRPr="008F6EF5" w:rsidR="002D4D8E" w:rsidP="00461815" w:rsidRDefault="002D4D8E" w14:paraId="1AC31009" w14:textId="77777777">
            <w:pPr>
              <w:rPr>
                <w:rFonts w:eastAsia="Times New Roman"/>
              </w:rPr>
            </w:pPr>
            <w:r w:rsidRPr="008F6EF5">
              <w:rPr>
                <w:rFonts w:eastAsia="Times New Roman"/>
              </w:rPr>
              <w:t>Matigingsgronden vastgelegd in beleidsregel matiging boete</w:t>
            </w:r>
          </w:p>
        </w:tc>
        <w:tc>
          <w:tcPr>
            <w:tcW w:w="1564" w:type="pct"/>
            <w:noWrap/>
            <w:hideMark/>
          </w:tcPr>
          <w:p w:rsidRPr="008F6EF5" w:rsidR="002D4D8E" w:rsidP="00461815" w:rsidRDefault="002D4D8E" w14:paraId="484AF326" w14:textId="77777777">
            <w:pPr>
              <w:rPr>
                <w:rFonts w:eastAsia="Times New Roman"/>
              </w:rPr>
            </w:pPr>
            <w:r w:rsidRPr="008F6EF5">
              <w:rPr>
                <w:rFonts w:eastAsia="Times New Roman"/>
              </w:rPr>
              <w:t>Matigingsgronden vastgelegd in bijlage 6A (B1</w:t>
            </w:r>
            <w:r>
              <w:rPr>
                <w:rFonts w:eastAsia="Times New Roman"/>
              </w:rPr>
              <w:t>-</w:t>
            </w:r>
            <w:r w:rsidRPr="008F6EF5">
              <w:rPr>
                <w:rFonts w:eastAsia="Times New Roman"/>
              </w:rPr>
              <w:t>route), 6B (onderwijsroute) en</w:t>
            </w:r>
            <w:r>
              <w:rPr>
                <w:rFonts w:eastAsia="Times New Roman"/>
              </w:rPr>
              <w:t xml:space="preserve"> 6</w:t>
            </w:r>
            <w:r w:rsidRPr="008F6EF5">
              <w:rPr>
                <w:rFonts w:eastAsia="Times New Roman"/>
              </w:rPr>
              <w:t>C (Z-route)</w:t>
            </w:r>
          </w:p>
        </w:tc>
        <w:tc>
          <w:tcPr>
            <w:tcW w:w="736" w:type="pct"/>
            <w:noWrap/>
            <w:hideMark/>
          </w:tcPr>
          <w:p w:rsidRPr="008F6EF5" w:rsidR="002D4D8E" w:rsidP="00461815" w:rsidRDefault="002D4D8E" w14:paraId="7E5ED663" w14:textId="77777777">
            <w:pPr>
              <w:rPr>
                <w:rFonts w:eastAsia="Times New Roman"/>
              </w:rPr>
            </w:pPr>
          </w:p>
        </w:tc>
      </w:tr>
      <w:tr w:rsidRPr="008F6EF5" w:rsidR="002D4D8E" w:rsidTr="002D4D8E" w14:paraId="608F05DD" w14:textId="77777777">
        <w:trPr>
          <w:trHeight w:val="300"/>
        </w:trPr>
        <w:tc>
          <w:tcPr>
            <w:tcW w:w="1325" w:type="pct"/>
            <w:noWrap/>
            <w:hideMark/>
          </w:tcPr>
          <w:p w:rsidRPr="008F6EF5" w:rsidR="002D4D8E" w:rsidP="00461815" w:rsidRDefault="002D4D8E" w14:paraId="7BA76FF4" w14:textId="77777777">
            <w:pPr>
              <w:rPr>
                <w:rFonts w:eastAsia="Times New Roman"/>
              </w:rPr>
            </w:pPr>
          </w:p>
        </w:tc>
        <w:tc>
          <w:tcPr>
            <w:tcW w:w="1375" w:type="pct"/>
            <w:noWrap/>
            <w:hideMark/>
          </w:tcPr>
          <w:p w:rsidRPr="008F6EF5" w:rsidR="002D4D8E" w:rsidP="00461815" w:rsidRDefault="002D4D8E" w14:paraId="617EEAF6" w14:textId="77777777">
            <w:pPr>
              <w:rPr>
                <w:rFonts w:eastAsia="Times New Roman"/>
              </w:rPr>
            </w:pPr>
            <w:r w:rsidRPr="008F6EF5">
              <w:rPr>
                <w:rFonts w:eastAsia="Times New Roman"/>
              </w:rPr>
              <w:t>Geen kwijtschelding lening voor asielgerechtigden.</w:t>
            </w:r>
          </w:p>
        </w:tc>
        <w:tc>
          <w:tcPr>
            <w:tcW w:w="1564" w:type="pct"/>
            <w:noWrap/>
            <w:hideMark/>
          </w:tcPr>
          <w:p w:rsidRPr="008F6EF5" w:rsidR="002D4D8E" w:rsidP="00461815" w:rsidRDefault="002D4D8E" w14:paraId="5D08BB01" w14:textId="77777777">
            <w:pPr>
              <w:rPr>
                <w:rFonts w:eastAsia="Times New Roman"/>
              </w:rPr>
            </w:pPr>
          </w:p>
        </w:tc>
        <w:tc>
          <w:tcPr>
            <w:tcW w:w="736" w:type="pct"/>
            <w:noWrap/>
            <w:hideMark/>
          </w:tcPr>
          <w:p w:rsidRPr="008F6EF5" w:rsidR="002D4D8E" w:rsidP="00461815" w:rsidRDefault="002D4D8E" w14:paraId="32FAF4D3" w14:textId="77777777">
            <w:pPr>
              <w:rPr>
                <w:rFonts w:eastAsia="Times New Roman"/>
              </w:rPr>
            </w:pPr>
          </w:p>
        </w:tc>
      </w:tr>
      <w:tr w:rsidRPr="008F6EF5" w:rsidR="002D4D8E" w:rsidTr="002D4D8E" w14:paraId="4DCCAFA6" w14:textId="77777777">
        <w:trPr>
          <w:trHeight w:val="300"/>
        </w:trPr>
        <w:tc>
          <w:tcPr>
            <w:tcW w:w="1325" w:type="pct"/>
            <w:noWrap/>
            <w:hideMark/>
          </w:tcPr>
          <w:p w:rsidRPr="008F6EF5" w:rsidR="002D4D8E" w:rsidP="00461815" w:rsidRDefault="002D4D8E" w14:paraId="69E0C680" w14:textId="77777777">
            <w:pPr>
              <w:rPr>
                <w:rFonts w:eastAsia="Times New Roman"/>
              </w:rPr>
            </w:pPr>
          </w:p>
        </w:tc>
        <w:tc>
          <w:tcPr>
            <w:tcW w:w="1375" w:type="pct"/>
            <w:noWrap/>
            <w:hideMark/>
          </w:tcPr>
          <w:p w:rsidRPr="008F6EF5" w:rsidR="002D4D8E" w:rsidP="00461815" w:rsidRDefault="002D4D8E" w14:paraId="6F2C06D2" w14:textId="77777777">
            <w:pPr>
              <w:rPr>
                <w:rFonts w:eastAsia="Times New Roman"/>
              </w:rPr>
            </w:pPr>
            <w:r w:rsidRPr="008F6EF5">
              <w:rPr>
                <w:rFonts w:eastAsia="Times New Roman"/>
              </w:rPr>
              <w:t>Gronden voor gedeeltelijke kwijtschelding (art 4.16a Ri</w:t>
            </w:r>
            <w:r>
              <w:rPr>
                <w:rFonts w:eastAsia="Times New Roman"/>
              </w:rPr>
              <w:t>2013</w:t>
            </w:r>
            <w:r w:rsidRPr="008F6EF5">
              <w:rPr>
                <w:rFonts w:eastAsia="Times New Roman"/>
              </w:rPr>
              <w:t>)</w:t>
            </w:r>
          </w:p>
        </w:tc>
        <w:tc>
          <w:tcPr>
            <w:tcW w:w="1564" w:type="pct"/>
            <w:noWrap/>
            <w:hideMark/>
          </w:tcPr>
          <w:p w:rsidRPr="008F6EF5" w:rsidR="002D4D8E" w:rsidP="00461815" w:rsidRDefault="002D4D8E" w14:paraId="070E9CD4" w14:textId="77777777">
            <w:pPr>
              <w:rPr>
                <w:rFonts w:eastAsia="Times New Roman"/>
              </w:rPr>
            </w:pPr>
          </w:p>
        </w:tc>
        <w:tc>
          <w:tcPr>
            <w:tcW w:w="736" w:type="pct"/>
            <w:noWrap/>
            <w:hideMark/>
          </w:tcPr>
          <w:p w:rsidRPr="008F6EF5" w:rsidR="002D4D8E" w:rsidP="00461815" w:rsidRDefault="002D4D8E" w14:paraId="56A33247" w14:textId="77777777">
            <w:pPr>
              <w:rPr>
                <w:rFonts w:eastAsia="Times New Roman"/>
              </w:rPr>
            </w:pPr>
          </w:p>
        </w:tc>
      </w:tr>
      <w:tr w:rsidRPr="008F6EF5" w:rsidR="002D4D8E" w:rsidTr="002D4D8E" w14:paraId="1D56EDAD" w14:textId="77777777">
        <w:trPr>
          <w:trHeight w:val="300"/>
        </w:trPr>
        <w:tc>
          <w:tcPr>
            <w:tcW w:w="1325" w:type="pct"/>
            <w:noWrap/>
            <w:hideMark/>
          </w:tcPr>
          <w:p w:rsidRPr="008F6EF5" w:rsidR="002D4D8E" w:rsidP="00461815" w:rsidRDefault="002D4D8E" w14:paraId="407B55B0" w14:textId="77777777">
            <w:pPr>
              <w:rPr>
                <w:rFonts w:eastAsia="Times New Roman"/>
              </w:rPr>
            </w:pPr>
            <w:r w:rsidRPr="008F6EF5">
              <w:rPr>
                <w:rFonts w:eastAsia="Times New Roman"/>
              </w:rPr>
              <w:t>Maximum aan gemeentelijke boetes</w:t>
            </w:r>
          </w:p>
        </w:tc>
        <w:tc>
          <w:tcPr>
            <w:tcW w:w="1375" w:type="pct"/>
            <w:noWrap/>
            <w:hideMark/>
          </w:tcPr>
          <w:p w:rsidRPr="008F6EF5" w:rsidR="002D4D8E" w:rsidP="00461815" w:rsidRDefault="002D4D8E" w14:paraId="5693075E" w14:textId="77777777">
            <w:pPr>
              <w:rPr>
                <w:rFonts w:eastAsia="Times New Roman"/>
              </w:rPr>
            </w:pPr>
          </w:p>
        </w:tc>
        <w:tc>
          <w:tcPr>
            <w:tcW w:w="1564" w:type="pct"/>
            <w:noWrap/>
            <w:hideMark/>
          </w:tcPr>
          <w:p w:rsidRPr="000029A8" w:rsidR="002D4D8E" w:rsidP="00461815" w:rsidRDefault="002D4D8E" w14:paraId="618E9775" w14:textId="77777777">
            <w:pPr>
              <w:rPr>
                <w:rFonts w:eastAsia="Times New Roman"/>
              </w:rPr>
            </w:pPr>
            <w:r w:rsidRPr="000029A8">
              <w:rPr>
                <w:rFonts w:eastAsia="Times New Roman"/>
              </w:rPr>
              <w:t>Maximum totaal opgelegde gemeentelijke boetes € 2400 in inburgeringstermijn en verlengde termijn en in nieuwe termijn (art. 7.1 lid 5 Bi2021):</w:t>
            </w:r>
            <w:r>
              <w:rPr>
                <w:rFonts w:eastAsia="Times New Roman"/>
              </w:rPr>
              <w:br/>
            </w:r>
            <w:r w:rsidRPr="000029A8">
              <w:rPr>
                <w:rFonts w:eastAsia="Times New Roman"/>
              </w:rPr>
              <w:t>- € 400 bij een nieuwe termijn v</w:t>
            </w:r>
            <w:r>
              <w:rPr>
                <w:rFonts w:eastAsia="Times New Roman"/>
              </w:rPr>
              <w:t>an</w:t>
            </w:r>
            <w:r w:rsidRPr="000029A8">
              <w:rPr>
                <w:rFonts w:eastAsia="Times New Roman"/>
              </w:rPr>
              <w:t xml:space="preserve"> 6 </w:t>
            </w:r>
            <w:proofErr w:type="spellStart"/>
            <w:r w:rsidRPr="000029A8">
              <w:rPr>
                <w:rFonts w:eastAsia="Times New Roman"/>
              </w:rPr>
              <w:t>mnd</w:t>
            </w:r>
            <w:proofErr w:type="spellEnd"/>
          </w:p>
          <w:p w:rsidRPr="000029A8" w:rsidR="002D4D8E" w:rsidP="00461815" w:rsidRDefault="002D4D8E" w14:paraId="36555C70" w14:textId="77777777">
            <w:pPr>
              <w:rPr>
                <w:rFonts w:eastAsia="Times New Roman"/>
              </w:rPr>
            </w:pPr>
            <w:r w:rsidRPr="000029A8">
              <w:rPr>
                <w:rFonts w:eastAsia="Times New Roman"/>
              </w:rPr>
              <w:t>- € 800 bij een nieuwe termijn v</w:t>
            </w:r>
            <w:r>
              <w:rPr>
                <w:rFonts w:eastAsia="Times New Roman"/>
              </w:rPr>
              <w:t>an</w:t>
            </w:r>
            <w:r w:rsidRPr="000029A8">
              <w:rPr>
                <w:rFonts w:eastAsia="Times New Roman"/>
              </w:rPr>
              <w:t xml:space="preserve"> een jaar</w:t>
            </w:r>
          </w:p>
          <w:p w:rsidRPr="000029A8" w:rsidR="002D4D8E" w:rsidP="00461815" w:rsidRDefault="002D4D8E" w14:paraId="03C814F9" w14:textId="77777777">
            <w:pPr>
              <w:rPr>
                <w:rFonts w:eastAsia="Times New Roman"/>
              </w:rPr>
            </w:pPr>
            <w:r w:rsidRPr="000029A8">
              <w:rPr>
                <w:rFonts w:eastAsia="Times New Roman"/>
              </w:rPr>
              <w:t>- € 1200 bij een nieuwe termijn v</w:t>
            </w:r>
            <w:r>
              <w:rPr>
                <w:rFonts w:eastAsia="Times New Roman"/>
              </w:rPr>
              <w:t>an</w:t>
            </w:r>
            <w:r w:rsidRPr="000029A8">
              <w:rPr>
                <w:rFonts w:eastAsia="Times New Roman"/>
              </w:rPr>
              <w:t xml:space="preserve"> 1,5 jaar</w:t>
            </w:r>
          </w:p>
          <w:p w:rsidRPr="008F6EF5" w:rsidR="002D4D8E" w:rsidP="00461815" w:rsidRDefault="002D4D8E" w14:paraId="2DD95798" w14:textId="77777777">
            <w:pPr>
              <w:rPr>
                <w:rFonts w:eastAsia="Times New Roman"/>
              </w:rPr>
            </w:pPr>
            <w:r w:rsidRPr="000029A8">
              <w:rPr>
                <w:rFonts w:eastAsia="Times New Roman"/>
              </w:rPr>
              <w:t>- € 1600 bij een nieuwe termijn v</w:t>
            </w:r>
            <w:r>
              <w:rPr>
                <w:rFonts w:eastAsia="Times New Roman"/>
              </w:rPr>
              <w:t>an</w:t>
            </w:r>
            <w:r w:rsidRPr="000029A8">
              <w:rPr>
                <w:rFonts w:eastAsia="Times New Roman"/>
              </w:rPr>
              <w:t xml:space="preserve"> 2 jaar</w:t>
            </w:r>
          </w:p>
        </w:tc>
        <w:tc>
          <w:tcPr>
            <w:tcW w:w="736" w:type="pct"/>
            <w:noWrap/>
            <w:hideMark/>
          </w:tcPr>
          <w:p w:rsidRPr="008F6EF5" w:rsidR="002D4D8E" w:rsidP="00461815" w:rsidRDefault="002D4D8E" w14:paraId="06023279" w14:textId="77777777">
            <w:pPr>
              <w:rPr>
                <w:rFonts w:eastAsia="Times New Roman"/>
              </w:rPr>
            </w:pPr>
            <w:r w:rsidRPr="008F6EF5">
              <w:rPr>
                <w:rFonts w:eastAsia="Times New Roman"/>
              </w:rPr>
              <w:t>Gemeente</w:t>
            </w:r>
          </w:p>
        </w:tc>
      </w:tr>
      <w:tr w:rsidRPr="008F6EF5" w:rsidR="002D4D8E" w:rsidTr="002D4D8E" w14:paraId="304201F1" w14:textId="77777777">
        <w:trPr>
          <w:trHeight w:val="300"/>
        </w:trPr>
        <w:tc>
          <w:tcPr>
            <w:tcW w:w="1325" w:type="pct"/>
            <w:noWrap/>
            <w:hideMark/>
          </w:tcPr>
          <w:p w:rsidRPr="008F6EF5" w:rsidR="002D4D8E" w:rsidP="00461815" w:rsidRDefault="002D4D8E" w14:paraId="2AE8D5A6" w14:textId="77777777">
            <w:pPr>
              <w:rPr>
                <w:rFonts w:eastAsia="Times New Roman"/>
              </w:rPr>
            </w:pPr>
            <w:r w:rsidRPr="008F6EF5">
              <w:rPr>
                <w:rFonts w:eastAsia="Times New Roman"/>
              </w:rPr>
              <w:t>Samenloop boete en verlaging bijstand</w:t>
            </w:r>
          </w:p>
        </w:tc>
        <w:tc>
          <w:tcPr>
            <w:tcW w:w="1375" w:type="pct"/>
            <w:noWrap/>
            <w:hideMark/>
          </w:tcPr>
          <w:p w:rsidRPr="008F6EF5" w:rsidR="002D4D8E" w:rsidP="00461815" w:rsidRDefault="002D4D8E" w14:paraId="415905F0" w14:textId="77777777">
            <w:pPr>
              <w:rPr>
                <w:rFonts w:eastAsia="Times New Roman"/>
              </w:rPr>
            </w:pPr>
          </w:p>
        </w:tc>
        <w:tc>
          <w:tcPr>
            <w:tcW w:w="1564" w:type="pct"/>
            <w:noWrap/>
            <w:hideMark/>
          </w:tcPr>
          <w:p w:rsidRPr="008F6EF5" w:rsidR="002D4D8E" w:rsidP="00461815" w:rsidRDefault="002D4D8E" w14:paraId="0F45B0B7" w14:textId="77777777">
            <w:pPr>
              <w:rPr>
                <w:rFonts w:eastAsia="Times New Roman"/>
              </w:rPr>
            </w:pPr>
            <w:r w:rsidRPr="008F6EF5">
              <w:rPr>
                <w:rFonts w:eastAsia="Times New Roman"/>
              </w:rPr>
              <w:t>Opleggen boete blijft achterwege als voor zelfde gedraging bijstand is verlaagd</w:t>
            </w:r>
            <w:r>
              <w:rPr>
                <w:rFonts w:eastAsia="Times New Roman"/>
              </w:rPr>
              <w:t xml:space="preserve"> </w:t>
            </w:r>
            <w:r w:rsidRPr="000029A8">
              <w:rPr>
                <w:rFonts w:eastAsia="Times New Roman"/>
              </w:rPr>
              <w:t>op grond art. 18 of 18b Participatiewet (art. 27 Wi2021</w:t>
            </w:r>
            <w:r w:rsidRPr="008F6EF5">
              <w:rPr>
                <w:rFonts w:eastAsia="Times New Roman"/>
              </w:rPr>
              <w:t xml:space="preserve"> </w:t>
            </w:r>
          </w:p>
        </w:tc>
        <w:tc>
          <w:tcPr>
            <w:tcW w:w="736" w:type="pct"/>
            <w:noWrap/>
            <w:hideMark/>
          </w:tcPr>
          <w:p w:rsidRPr="008F6EF5" w:rsidR="002D4D8E" w:rsidP="00461815" w:rsidRDefault="002D4D8E" w14:paraId="7F991EDD" w14:textId="77777777">
            <w:pPr>
              <w:rPr>
                <w:rFonts w:eastAsia="Times New Roman"/>
              </w:rPr>
            </w:pPr>
            <w:r w:rsidRPr="008F6EF5">
              <w:rPr>
                <w:rFonts w:eastAsia="Times New Roman"/>
              </w:rPr>
              <w:t>Gemeente</w:t>
            </w:r>
          </w:p>
        </w:tc>
      </w:tr>
      <w:tr w:rsidRPr="008F6EF5" w:rsidR="002D4D8E" w:rsidTr="002D4D8E" w14:paraId="38C7DD47" w14:textId="77777777">
        <w:trPr>
          <w:trHeight w:val="300"/>
        </w:trPr>
        <w:tc>
          <w:tcPr>
            <w:tcW w:w="1325" w:type="pct"/>
            <w:noWrap/>
            <w:hideMark/>
          </w:tcPr>
          <w:p w:rsidRPr="008F6EF5" w:rsidR="002D4D8E" w:rsidP="00461815" w:rsidRDefault="002D4D8E" w14:paraId="6F51458D" w14:textId="77777777">
            <w:pPr>
              <w:rPr>
                <w:rFonts w:eastAsia="Times New Roman"/>
              </w:rPr>
            </w:pPr>
            <w:r w:rsidRPr="008F6EF5">
              <w:rPr>
                <w:rFonts w:eastAsia="Times New Roman"/>
              </w:rPr>
              <w:t>Samenloop boete en intrekking verblijfsvergunning</w:t>
            </w:r>
          </w:p>
        </w:tc>
        <w:tc>
          <w:tcPr>
            <w:tcW w:w="1375" w:type="pct"/>
            <w:noWrap/>
            <w:hideMark/>
          </w:tcPr>
          <w:p w:rsidRPr="008F6EF5" w:rsidR="002D4D8E" w:rsidP="00461815" w:rsidRDefault="002D4D8E" w14:paraId="1BE62B9C" w14:textId="77777777">
            <w:pPr>
              <w:rPr>
                <w:rFonts w:eastAsia="Times New Roman"/>
              </w:rPr>
            </w:pPr>
            <w:r w:rsidRPr="00F732D6">
              <w:rPr>
                <w:rFonts w:eastAsia="Times New Roman"/>
              </w:rPr>
              <w:t>Geen boete in geval afwijzing verlenging of intrekking verblijfsvergunning</w:t>
            </w:r>
            <w:r>
              <w:rPr>
                <w:rFonts w:eastAsia="Times New Roman"/>
              </w:rPr>
              <w:t xml:space="preserve"> </w:t>
            </w:r>
            <w:r w:rsidRPr="00F732D6">
              <w:rPr>
                <w:rFonts w:eastAsia="Times New Roman"/>
              </w:rPr>
              <w:t>(art</w:t>
            </w:r>
            <w:r>
              <w:rPr>
                <w:rFonts w:eastAsia="Times New Roman"/>
              </w:rPr>
              <w:t>.</w:t>
            </w:r>
            <w:r w:rsidRPr="00F732D6">
              <w:rPr>
                <w:rFonts w:eastAsia="Times New Roman"/>
              </w:rPr>
              <w:t xml:space="preserve"> 31 lid 2 Wi</w:t>
            </w:r>
            <w:r>
              <w:rPr>
                <w:rFonts w:eastAsia="Times New Roman"/>
              </w:rPr>
              <w:t>2013</w:t>
            </w:r>
            <w:r w:rsidRPr="00F732D6">
              <w:rPr>
                <w:rFonts w:eastAsia="Times New Roman"/>
              </w:rPr>
              <w:t>)</w:t>
            </w:r>
          </w:p>
        </w:tc>
        <w:tc>
          <w:tcPr>
            <w:tcW w:w="1564" w:type="pct"/>
            <w:noWrap/>
            <w:hideMark/>
          </w:tcPr>
          <w:p w:rsidRPr="008F6EF5" w:rsidR="002D4D8E" w:rsidP="00461815" w:rsidRDefault="002D4D8E" w14:paraId="6823BD09" w14:textId="77777777">
            <w:pPr>
              <w:rPr>
                <w:rFonts w:eastAsia="Times New Roman"/>
              </w:rPr>
            </w:pPr>
            <w:r w:rsidRPr="008F6EF5">
              <w:rPr>
                <w:rFonts w:eastAsia="Times New Roman"/>
              </w:rPr>
              <w:t>Geen boete in geval afwijzing verlenging of intrekking verblijfsvergunning</w:t>
            </w:r>
            <w:r>
              <w:rPr>
                <w:rFonts w:eastAsia="Times New Roman"/>
              </w:rPr>
              <w:t xml:space="preserve"> </w:t>
            </w:r>
            <w:r w:rsidRPr="00F732D6">
              <w:rPr>
                <w:rFonts w:eastAsia="Times New Roman"/>
              </w:rPr>
              <w:t>(art</w:t>
            </w:r>
            <w:r>
              <w:rPr>
                <w:rFonts w:eastAsia="Times New Roman"/>
              </w:rPr>
              <w:t>.</w:t>
            </w:r>
            <w:r w:rsidRPr="00F732D6">
              <w:rPr>
                <w:rFonts w:eastAsia="Times New Roman"/>
              </w:rPr>
              <w:t xml:space="preserve"> 25 lid 3 Wi2021)</w:t>
            </w:r>
          </w:p>
        </w:tc>
        <w:tc>
          <w:tcPr>
            <w:tcW w:w="736" w:type="pct"/>
            <w:noWrap/>
            <w:hideMark/>
          </w:tcPr>
          <w:p w:rsidRPr="008F6EF5" w:rsidR="002D4D8E" w:rsidP="00461815" w:rsidRDefault="002D4D8E" w14:paraId="3E17F968" w14:textId="77777777">
            <w:pPr>
              <w:rPr>
                <w:rFonts w:eastAsia="Times New Roman"/>
              </w:rPr>
            </w:pPr>
            <w:r w:rsidRPr="008F6EF5">
              <w:rPr>
                <w:rFonts w:eastAsia="Times New Roman"/>
              </w:rPr>
              <w:t>DUO</w:t>
            </w:r>
          </w:p>
        </w:tc>
      </w:tr>
      <w:tr w:rsidRPr="008F6EF5" w:rsidR="002D4D8E" w:rsidTr="002D4D8E" w14:paraId="4641831D" w14:textId="77777777">
        <w:trPr>
          <w:trHeight w:val="300"/>
        </w:trPr>
        <w:tc>
          <w:tcPr>
            <w:tcW w:w="1325" w:type="pct"/>
            <w:noWrap/>
            <w:hideMark/>
          </w:tcPr>
          <w:p w:rsidRPr="008F6EF5" w:rsidR="002D4D8E" w:rsidP="00461815" w:rsidRDefault="002D4D8E" w14:paraId="6680C61B" w14:textId="77777777">
            <w:pPr>
              <w:rPr>
                <w:rFonts w:eastAsia="Times New Roman"/>
              </w:rPr>
            </w:pPr>
            <w:r w:rsidRPr="008F6EF5">
              <w:rPr>
                <w:rFonts w:eastAsia="Times New Roman"/>
              </w:rPr>
              <w:t>Geen aanspraak meer op lening</w:t>
            </w:r>
          </w:p>
        </w:tc>
        <w:tc>
          <w:tcPr>
            <w:tcW w:w="1375" w:type="pct"/>
            <w:noWrap/>
            <w:hideMark/>
          </w:tcPr>
          <w:p w:rsidRPr="008F6EF5" w:rsidR="002D4D8E" w:rsidP="00461815" w:rsidRDefault="002D4D8E" w14:paraId="753CE76D" w14:textId="77777777">
            <w:pPr>
              <w:rPr>
                <w:rFonts w:eastAsia="Times New Roman"/>
              </w:rPr>
            </w:pPr>
            <w:r w:rsidRPr="00F732D6">
              <w:rPr>
                <w:rFonts w:eastAsia="Times New Roman"/>
              </w:rPr>
              <w:t xml:space="preserve">Geen aanspraak op lening 6 jaar na </w:t>
            </w:r>
            <w:r w:rsidRPr="00F732D6">
              <w:rPr>
                <w:rFonts w:eastAsia="Times New Roman"/>
              </w:rPr>
              <w:lastRenderedPageBreak/>
              <w:t>verstrijken inburgeringstermijn of verlengde inburgeringstermijn (art</w:t>
            </w:r>
            <w:r>
              <w:rPr>
                <w:rFonts w:eastAsia="Times New Roman"/>
              </w:rPr>
              <w:t>.</w:t>
            </w:r>
            <w:r w:rsidRPr="00F732D6">
              <w:rPr>
                <w:rFonts w:eastAsia="Times New Roman"/>
              </w:rPr>
              <w:t xml:space="preserve"> 16 lid 2</w:t>
            </w:r>
            <w:r>
              <w:rPr>
                <w:rFonts w:eastAsia="Times New Roman"/>
              </w:rPr>
              <w:t>, onderdeel</w:t>
            </w:r>
            <w:r w:rsidRPr="00F732D6">
              <w:rPr>
                <w:rFonts w:eastAsia="Times New Roman"/>
              </w:rPr>
              <w:t xml:space="preserve"> b Wi</w:t>
            </w:r>
            <w:r>
              <w:rPr>
                <w:rFonts w:eastAsia="Times New Roman"/>
              </w:rPr>
              <w:t>2013</w:t>
            </w:r>
            <w:r w:rsidRPr="00F732D6">
              <w:rPr>
                <w:rFonts w:eastAsia="Times New Roman"/>
              </w:rPr>
              <w:t>)</w:t>
            </w:r>
            <w:r w:rsidRPr="008F6EF5">
              <w:rPr>
                <w:rFonts w:eastAsia="Times New Roman"/>
              </w:rPr>
              <w:t xml:space="preserve"> </w:t>
            </w:r>
          </w:p>
        </w:tc>
        <w:tc>
          <w:tcPr>
            <w:tcW w:w="1564" w:type="pct"/>
            <w:noWrap/>
            <w:hideMark/>
          </w:tcPr>
          <w:p w:rsidRPr="008F6EF5" w:rsidR="002D4D8E" w:rsidP="00461815" w:rsidRDefault="002D4D8E" w14:paraId="3C8736D6" w14:textId="77777777">
            <w:pPr>
              <w:rPr>
                <w:rFonts w:eastAsia="Times New Roman"/>
              </w:rPr>
            </w:pPr>
            <w:r w:rsidRPr="00F732D6">
              <w:rPr>
                <w:rFonts w:eastAsia="Times New Roman"/>
              </w:rPr>
              <w:lastRenderedPageBreak/>
              <w:t xml:space="preserve">Geen aanspraak op lening 6 jaar na </w:t>
            </w:r>
            <w:r w:rsidRPr="00F732D6">
              <w:rPr>
                <w:rFonts w:eastAsia="Times New Roman"/>
              </w:rPr>
              <w:lastRenderedPageBreak/>
              <w:t xml:space="preserve">verstrijken inburgeringstermijn of </w:t>
            </w:r>
            <w:r>
              <w:rPr>
                <w:rFonts w:eastAsia="Times New Roman"/>
              </w:rPr>
              <w:t>v</w:t>
            </w:r>
            <w:r w:rsidRPr="00F732D6">
              <w:rPr>
                <w:rFonts w:eastAsia="Times New Roman"/>
              </w:rPr>
              <w:t>erlengde inburgeringstermijn (art</w:t>
            </w:r>
            <w:r>
              <w:rPr>
                <w:rFonts w:eastAsia="Times New Roman"/>
              </w:rPr>
              <w:t>.</w:t>
            </w:r>
            <w:r w:rsidRPr="00F732D6">
              <w:rPr>
                <w:rFonts w:eastAsia="Times New Roman"/>
              </w:rPr>
              <w:t xml:space="preserve"> 20 lid 2</w:t>
            </w:r>
            <w:r>
              <w:rPr>
                <w:rFonts w:eastAsia="Times New Roman"/>
              </w:rPr>
              <w:t>,</w:t>
            </w:r>
            <w:r w:rsidRPr="00F732D6">
              <w:rPr>
                <w:rFonts w:eastAsia="Times New Roman"/>
              </w:rPr>
              <w:t xml:space="preserve"> onder</w:t>
            </w:r>
            <w:r>
              <w:rPr>
                <w:rFonts w:eastAsia="Times New Roman"/>
              </w:rPr>
              <w:t>deel</w:t>
            </w:r>
            <w:r w:rsidRPr="00F732D6">
              <w:rPr>
                <w:rFonts w:eastAsia="Times New Roman"/>
              </w:rPr>
              <w:t xml:space="preserve"> a </w:t>
            </w:r>
            <w:proofErr w:type="spellStart"/>
            <w:r w:rsidRPr="00F732D6">
              <w:rPr>
                <w:rFonts w:eastAsia="Times New Roman"/>
              </w:rPr>
              <w:t>Wi</w:t>
            </w:r>
            <w:proofErr w:type="spellEnd"/>
            <w:r w:rsidRPr="00F732D6">
              <w:rPr>
                <w:rFonts w:eastAsia="Times New Roman"/>
              </w:rPr>
              <w:t xml:space="preserve"> 2021)</w:t>
            </w:r>
          </w:p>
        </w:tc>
        <w:tc>
          <w:tcPr>
            <w:tcW w:w="736" w:type="pct"/>
            <w:noWrap/>
            <w:hideMark/>
          </w:tcPr>
          <w:p w:rsidRPr="008F6EF5" w:rsidR="002D4D8E" w:rsidP="00461815" w:rsidRDefault="002D4D8E" w14:paraId="2A4F7B7F" w14:textId="77777777">
            <w:pPr>
              <w:rPr>
                <w:rFonts w:eastAsia="Times New Roman"/>
              </w:rPr>
            </w:pPr>
            <w:r w:rsidRPr="008F6EF5">
              <w:rPr>
                <w:rFonts w:eastAsia="Times New Roman"/>
              </w:rPr>
              <w:lastRenderedPageBreak/>
              <w:t>DUO</w:t>
            </w:r>
          </w:p>
        </w:tc>
      </w:tr>
    </w:tbl>
    <w:p w:rsidRPr="00F732D6" w:rsidR="002D4D8E" w:rsidP="002D4D8E" w:rsidRDefault="002D4D8E" w14:paraId="5A4FD06B" w14:textId="77777777">
      <w:pPr>
        <w:rPr>
          <w:rFonts w:eastAsia="Times New Roman"/>
          <w:b/>
          <w:bCs/>
        </w:rPr>
      </w:pPr>
      <w:r>
        <w:rPr>
          <w:rFonts w:eastAsia="Times New Roman"/>
          <w:b/>
          <w:bCs/>
        </w:rPr>
        <w:fldChar w:fldCharType="end"/>
      </w:r>
    </w:p>
    <w:p w:rsidRPr="00983085" w:rsidR="002D4D8E" w:rsidP="002D4D8E" w:rsidRDefault="002D4D8E" w14:paraId="42FB6D64" w14:textId="77777777"/>
    <w:p w:rsidRPr="008D1C9C" w:rsidR="008D1C9C" w:rsidP="008D1C9C" w:rsidRDefault="008D1C9C" w14:paraId="072C01C8" w14:textId="77777777"/>
    <w:p w:rsidRPr="008D1C9C" w:rsidR="008D1C9C" w:rsidP="008D1C9C" w:rsidRDefault="008D1C9C" w14:paraId="3E4CF7D3" w14:textId="77777777"/>
    <w:p w:rsidRPr="008D1C9C" w:rsidR="008D1C9C" w:rsidP="008D1C9C" w:rsidRDefault="008D1C9C" w14:paraId="29CC2CE6" w14:textId="77777777"/>
    <w:p w:rsidRPr="008D1C9C" w:rsidR="008D1C9C" w:rsidP="008D1C9C" w:rsidRDefault="008D1C9C" w14:paraId="18E345D4" w14:textId="77777777"/>
    <w:p w:rsidRPr="008D1C9C" w:rsidR="008D1C9C" w:rsidP="008D1C9C" w:rsidRDefault="008D1C9C" w14:paraId="61FA9A6C" w14:textId="77777777"/>
    <w:p w:rsidRPr="008D1C9C" w:rsidR="008D1C9C" w:rsidP="008D1C9C" w:rsidRDefault="008D1C9C" w14:paraId="66031B37" w14:textId="77777777"/>
    <w:p w:rsidRPr="008D1C9C" w:rsidR="008D1C9C" w:rsidP="008D1C9C" w:rsidRDefault="008D1C9C" w14:paraId="20380218" w14:textId="77777777"/>
    <w:p w:rsidRPr="008D1C9C" w:rsidR="008D1C9C" w:rsidP="008D1C9C" w:rsidRDefault="008D1C9C" w14:paraId="1FB528E3" w14:textId="77777777"/>
    <w:sectPr w:rsidRPr="008D1C9C" w:rsidR="008D1C9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BEE6" w14:textId="77777777" w:rsidR="003A5060" w:rsidRDefault="003A5060">
      <w:pPr>
        <w:spacing w:line="240" w:lineRule="auto"/>
      </w:pPr>
      <w:r>
        <w:separator/>
      </w:r>
    </w:p>
  </w:endnote>
  <w:endnote w:type="continuationSeparator" w:id="0">
    <w:p w14:paraId="58DFBEE8" w14:textId="77777777" w:rsidR="003A5060" w:rsidRDefault="003A5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6A9C" w14:textId="77777777" w:rsidR="007D43AC" w:rsidRDefault="007D43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B51B" w14:textId="77777777" w:rsidR="007D43AC" w:rsidRDefault="007D43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8071" w14:textId="77777777" w:rsidR="007D43AC" w:rsidRDefault="007D43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BEE2" w14:textId="77777777" w:rsidR="003A5060" w:rsidRDefault="003A5060">
      <w:pPr>
        <w:spacing w:line="240" w:lineRule="auto"/>
      </w:pPr>
      <w:r>
        <w:separator/>
      </w:r>
    </w:p>
  </w:footnote>
  <w:footnote w:type="continuationSeparator" w:id="0">
    <w:p w14:paraId="58DFBEE4" w14:textId="77777777" w:rsidR="003A5060" w:rsidRDefault="003A5060">
      <w:pPr>
        <w:spacing w:line="240" w:lineRule="auto"/>
      </w:pPr>
      <w:r>
        <w:continuationSeparator/>
      </w:r>
    </w:p>
  </w:footnote>
  <w:footnote w:id="1">
    <w:p w14:paraId="6F0ADEB0" w14:textId="14A714E1" w:rsidR="008D1C9C" w:rsidRDefault="008D1C9C" w:rsidP="008D1C9C">
      <w:pPr>
        <w:pStyle w:val="Voetnoottekst"/>
      </w:pPr>
      <w:r>
        <w:rPr>
          <w:rStyle w:val="Voetnootmarkering"/>
        </w:rPr>
        <w:footnoteRef/>
      </w:r>
      <w:r>
        <w:t xml:space="preserve"> </w:t>
      </w:r>
      <w:r>
        <w:rPr>
          <w:sz w:val="16"/>
          <w:szCs w:val="16"/>
        </w:rPr>
        <w:t>Hof van Justitie van de Europese Unie</w:t>
      </w:r>
      <w:r w:rsidR="00A015BC">
        <w:rPr>
          <w:sz w:val="16"/>
          <w:szCs w:val="16"/>
        </w:rPr>
        <w:t>,</w:t>
      </w:r>
      <w:r>
        <w:rPr>
          <w:sz w:val="16"/>
          <w:szCs w:val="16"/>
        </w:rPr>
        <w:t xml:space="preserve"> 4 februari 2025,</w:t>
      </w:r>
      <w:r>
        <w:rPr>
          <w:sz w:val="14"/>
          <w:szCs w:val="14"/>
        </w:rPr>
        <w:t xml:space="preserve"> </w:t>
      </w:r>
      <w:r>
        <w:rPr>
          <w:sz w:val="16"/>
          <w:szCs w:val="16"/>
        </w:rPr>
        <w:t>ECLI:EU:C:2025:52</w:t>
      </w:r>
    </w:p>
  </w:footnote>
  <w:footnote w:id="2">
    <w:p w14:paraId="0F0DE759" w14:textId="77777777" w:rsidR="008D1C9C" w:rsidRPr="00115B05" w:rsidRDefault="008D1C9C" w:rsidP="008D1C9C">
      <w:pPr>
        <w:pStyle w:val="Voetnoottekst"/>
        <w:rPr>
          <w:lang w:val="en-US"/>
        </w:rPr>
      </w:pPr>
      <w:r>
        <w:rPr>
          <w:rStyle w:val="Voetnootmarkering"/>
        </w:rPr>
        <w:footnoteRef/>
      </w:r>
      <w:r w:rsidRPr="00115B05">
        <w:rPr>
          <w:lang w:val="en-US"/>
        </w:rPr>
        <w:t xml:space="preserve"> </w:t>
      </w:r>
      <w:proofErr w:type="spellStart"/>
      <w:r w:rsidRPr="00115B05">
        <w:rPr>
          <w:sz w:val="16"/>
          <w:szCs w:val="16"/>
          <w:lang w:val="en-US"/>
        </w:rPr>
        <w:t>Kamerstukken</w:t>
      </w:r>
      <w:proofErr w:type="spellEnd"/>
      <w:r w:rsidRPr="00115B05">
        <w:rPr>
          <w:sz w:val="16"/>
          <w:szCs w:val="16"/>
          <w:lang w:val="en-US"/>
        </w:rPr>
        <w:t xml:space="preserve"> II 2023/24, 32 824, nr. 408</w:t>
      </w:r>
    </w:p>
  </w:footnote>
  <w:footnote w:id="3">
    <w:p w14:paraId="2370F9E8" w14:textId="77777777" w:rsidR="008D1C9C" w:rsidRPr="00115B05" w:rsidRDefault="008D1C9C" w:rsidP="008D1C9C">
      <w:pPr>
        <w:pStyle w:val="Voetnoottekst"/>
        <w:rPr>
          <w:lang w:val="en-US"/>
        </w:rPr>
      </w:pPr>
      <w:r>
        <w:rPr>
          <w:rStyle w:val="Voetnootmarkering"/>
        </w:rPr>
        <w:footnoteRef/>
      </w:r>
      <w:r w:rsidRPr="00115B05">
        <w:rPr>
          <w:lang w:val="en-US"/>
        </w:rPr>
        <w:t xml:space="preserve"> </w:t>
      </w:r>
      <w:r w:rsidRPr="00115B05">
        <w:rPr>
          <w:sz w:val="16"/>
          <w:szCs w:val="16"/>
          <w:lang w:val="en-US"/>
        </w:rPr>
        <w:t>European Migration Network, Implementation of measures for civic training as an important tool for integration of third-country nationals, 2024</w:t>
      </w:r>
    </w:p>
  </w:footnote>
  <w:footnote w:id="4">
    <w:p w14:paraId="402FF214" w14:textId="77777777" w:rsidR="008D1C9C" w:rsidRDefault="008D1C9C" w:rsidP="008D1C9C">
      <w:pPr>
        <w:pStyle w:val="Voetnoottekst"/>
      </w:pPr>
      <w:r>
        <w:rPr>
          <w:rStyle w:val="Voetnootmarkering"/>
        </w:rPr>
        <w:footnoteRef/>
      </w:r>
      <w:r>
        <w:t xml:space="preserve"> </w:t>
      </w:r>
      <w:r>
        <w:rPr>
          <w:sz w:val="16"/>
          <w:szCs w:val="16"/>
        </w:rPr>
        <w:t>Kamerstukken II 2021/22, 32 824, nr. 348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F38F" w14:textId="77777777" w:rsidR="007D43AC" w:rsidRDefault="007D43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BEDE" w14:textId="77777777" w:rsidR="00460E6A" w:rsidRDefault="003A5060">
    <w:r>
      <w:rPr>
        <w:noProof/>
      </w:rPr>
      <mc:AlternateContent>
        <mc:Choice Requires="wps">
          <w:drawing>
            <wp:anchor distT="0" distB="0" distL="0" distR="0" simplePos="0" relativeHeight="251654144" behindDoc="0" locked="1" layoutInCell="1" allowOverlap="1" wp14:anchorId="58DFBEE2" wp14:editId="58DFBEE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DFBF16" w14:textId="77777777" w:rsidR="00460E6A" w:rsidRDefault="003A5060">
                          <w:pPr>
                            <w:pStyle w:val="Referentiegegevenskopjes"/>
                          </w:pPr>
                          <w:r>
                            <w:t>Datum</w:t>
                          </w:r>
                        </w:p>
                        <w:p w14:paraId="5A1B4E25" w14:textId="1DE589F3" w:rsidR="00E300B9" w:rsidRDefault="00761108">
                          <w:pPr>
                            <w:pStyle w:val="Referentiegegevens"/>
                          </w:pPr>
                          <w:r>
                            <w:fldChar w:fldCharType="begin"/>
                          </w:r>
                          <w:r>
                            <w:instrText xml:space="preserve"> DOCPROPERTY  "iDatum"  \* MERGEFORMAT </w:instrText>
                          </w:r>
                          <w:r w:rsidR="007D43AC">
                            <w:fldChar w:fldCharType="separate"/>
                          </w:r>
                          <w:r w:rsidR="007D43AC">
                            <w:t>26 juni 2025</w:t>
                          </w:r>
                          <w:r>
                            <w:fldChar w:fldCharType="end"/>
                          </w:r>
                        </w:p>
                        <w:p w14:paraId="58DFBF18" w14:textId="77777777" w:rsidR="00460E6A" w:rsidRDefault="00460E6A">
                          <w:pPr>
                            <w:pStyle w:val="WitregelW1"/>
                          </w:pPr>
                        </w:p>
                        <w:p w14:paraId="58DFBF19" w14:textId="77777777" w:rsidR="00460E6A" w:rsidRDefault="003A5060">
                          <w:pPr>
                            <w:pStyle w:val="Referentiegegevenskopjes"/>
                          </w:pPr>
                          <w:r>
                            <w:t>Onze referentie</w:t>
                          </w:r>
                        </w:p>
                        <w:p w14:paraId="6491BB21" w14:textId="708C8B2A" w:rsidR="00E300B9" w:rsidRDefault="00761108">
                          <w:pPr>
                            <w:pStyle w:val="ReferentiegegevensHL"/>
                          </w:pPr>
                          <w:r>
                            <w:fldChar w:fldCharType="begin"/>
                          </w:r>
                          <w:r>
                            <w:instrText xml:space="preserve"> DOCPROPERTY  "iOnsKenmerk"  \* MERGEFORMAT </w:instrText>
                          </w:r>
                          <w:r>
                            <w:fldChar w:fldCharType="separate"/>
                          </w:r>
                          <w:r w:rsidR="007D43AC">
                            <w:t>2025-0000138576</w:t>
                          </w:r>
                          <w:r>
                            <w:fldChar w:fldCharType="end"/>
                          </w:r>
                        </w:p>
                      </w:txbxContent>
                    </wps:txbx>
                    <wps:bodyPr vert="horz" wrap="square" lIns="0" tIns="0" rIns="0" bIns="0" anchor="t" anchorCtr="0"/>
                  </wps:wsp>
                </a:graphicData>
              </a:graphic>
            </wp:anchor>
          </w:drawing>
        </mc:Choice>
        <mc:Fallback>
          <w:pict>
            <v:shapetype w14:anchorId="58DFBEE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8DFBF16" w14:textId="77777777" w:rsidR="00460E6A" w:rsidRDefault="003A5060">
                    <w:pPr>
                      <w:pStyle w:val="Referentiegegevenskopjes"/>
                    </w:pPr>
                    <w:r>
                      <w:t>Datum</w:t>
                    </w:r>
                  </w:p>
                  <w:p w14:paraId="5A1B4E25" w14:textId="1DE589F3" w:rsidR="00E300B9" w:rsidRDefault="00761108">
                    <w:pPr>
                      <w:pStyle w:val="Referentiegegevens"/>
                    </w:pPr>
                    <w:r>
                      <w:fldChar w:fldCharType="begin"/>
                    </w:r>
                    <w:r>
                      <w:instrText xml:space="preserve"> DOCPROPERTY  "iDatum"  \* MERGEFORMAT </w:instrText>
                    </w:r>
                    <w:r w:rsidR="007D43AC">
                      <w:fldChar w:fldCharType="separate"/>
                    </w:r>
                    <w:r w:rsidR="007D43AC">
                      <w:t>26 juni 2025</w:t>
                    </w:r>
                    <w:r>
                      <w:fldChar w:fldCharType="end"/>
                    </w:r>
                  </w:p>
                  <w:p w14:paraId="58DFBF18" w14:textId="77777777" w:rsidR="00460E6A" w:rsidRDefault="00460E6A">
                    <w:pPr>
                      <w:pStyle w:val="WitregelW1"/>
                    </w:pPr>
                  </w:p>
                  <w:p w14:paraId="58DFBF19" w14:textId="77777777" w:rsidR="00460E6A" w:rsidRDefault="003A5060">
                    <w:pPr>
                      <w:pStyle w:val="Referentiegegevenskopjes"/>
                    </w:pPr>
                    <w:r>
                      <w:t>Onze referentie</w:t>
                    </w:r>
                  </w:p>
                  <w:p w14:paraId="6491BB21" w14:textId="708C8B2A" w:rsidR="00E300B9" w:rsidRDefault="00761108">
                    <w:pPr>
                      <w:pStyle w:val="ReferentiegegevensHL"/>
                    </w:pPr>
                    <w:r>
                      <w:fldChar w:fldCharType="begin"/>
                    </w:r>
                    <w:r>
                      <w:instrText xml:space="preserve"> DOCPROPERTY  "iOnsKenmerk"  \* MERGEFORMAT </w:instrText>
                    </w:r>
                    <w:r>
                      <w:fldChar w:fldCharType="separate"/>
                    </w:r>
                    <w:r w:rsidR="007D43AC">
                      <w:t>2025-0000138576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DFBEE4" wp14:editId="58DFBEE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158399" w14:textId="77777777" w:rsidR="00E300B9" w:rsidRDefault="0076110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DFBEE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158399" w14:textId="77777777" w:rsidR="00E300B9" w:rsidRDefault="0076110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BEE0" w14:textId="77777777" w:rsidR="00460E6A" w:rsidRDefault="003A5060">
    <w:pPr>
      <w:spacing w:after="7029" w:line="14" w:lineRule="exact"/>
    </w:pPr>
    <w:r>
      <w:rPr>
        <w:noProof/>
      </w:rPr>
      <mc:AlternateContent>
        <mc:Choice Requires="wps">
          <w:drawing>
            <wp:anchor distT="0" distB="0" distL="0" distR="0" simplePos="0" relativeHeight="251656192" behindDoc="0" locked="1" layoutInCell="1" allowOverlap="1" wp14:anchorId="58DFBEE6" wp14:editId="58DFBEE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DFBEF2" w14:textId="77777777" w:rsidR="00460E6A" w:rsidRDefault="003A5060">
                          <w:pPr>
                            <w:spacing w:line="240" w:lineRule="auto"/>
                          </w:pPr>
                          <w:r>
                            <w:rPr>
                              <w:noProof/>
                            </w:rPr>
                            <w:drawing>
                              <wp:inline distT="0" distB="0" distL="0" distR="0">
                                <wp:extent cx="2339975" cy="1582834"/>
                                <wp:effectExtent l="0" t="0" r="0" b="0"/>
                                <wp:docPr id="2053345038"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DFBEE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8DFBEF2" w14:textId="77777777" w:rsidR="00460E6A" w:rsidRDefault="003A5060">
                    <w:pPr>
                      <w:spacing w:line="240" w:lineRule="auto"/>
                    </w:pPr>
                    <w:r>
                      <w:rPr>
                        <w:noProof/>
                      </w:rPr>
                      <w:drawing>
                        <wp:inline distT="0" distB="0" distL="0" distR="0">
                          <wp:extent cx="2339975" cy="1582834"/>
                          <wp:effectExtent l="0" t="0" r="0" b="0"/>
                          <wp:docPr id="2053345038"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DFBEE8" wp14:editId="58DFBEE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DFBEF5" w14:textId="77777777" w:rsidR="00460E6A" w:rsidRPr="00115B05" w:rsidRDefault="003A5060">
                          <w:pPr>
                            <w:pStyle w:val="Afzendgegevens"/>
                            <w:rPr>
                              <w:lang w:val="de-DE"/>
                            </w:rPr>
                          </w:pPr>
                          <w:r w:rsidRPr="00115B05">
                            <w:rPr>
                              <w:lang w:val="de-DE"/>
                            </w:rPr>
                            <w:t>Postbus 90801</w:t>
                          </w:r>
                        </w:p>
                        <w:p w14:paraId="58DFBEF6" w14:textId="77777777" w:rsidR="00460E6A" w:rsidRPr="00115B05" w:rsidRDefault="003A5060">
                          <w:pPr>
                            <w:pStyle w:val="Afzendgegevens"/>
                            <w:rPr>
                              <w:lang w:val="de-DE"/>
                            </w:rPr>
                          </w:pPr>
                          <w:r w:rsidRPr="00115B05">
                            <w:rPr>
                              <w:lang w:val="de-DE"/>
                            </w:rPr>
                            <w:t>2509 LV  Den Haag</w:t>
                          </w:r>
                        </w:p>
                        <w:p w14:paraId="58DFBEF7" w14:textId="77777777" w:rsidR="00460E6A" w:rsidRPr="00115B05" w:rsidRDefault="003A5060">
                          <w:pPr>
                            <w:pStyle w:val="Afzendgegevens"/>
                            <w:rPr>
                              <w:lang w:val="de-DE"/>
                            </w:rPr>
                          </w:pPr>
                          <w:r w:rsidRPr="00115B05">
                            <w:rPr>
                              <w:lang w:val="de-DE"/>
                            </w:rPr>
                            <w:t>T   070 333 44 44</w:t>
                          </w:r>
                        </w:p>
                        <w:p w14:paraId="58DFBEF8" w14:textId="77777777" w:rsidR="00460E6A" w:rsidRPr="00115B05" w:rsidRDefault="00460E6A">
                          <w:pPr>
                            <w:pStyle w:val="WitregelW2"/>
                            <w:rPr>
                              <w:lang w:val="de-DE"/>
                            </w:rPr>
                          </w:pPr>
                        </w:p>
                        <w:p w14:paraId="58DFBEF9" w14:textId="77777777" w:rsidR="00460E6A" w:rsidRDefault="003A5060">
                          <w:pPr>
                            <w:pStyle w:val="Referentiegegevenskopjes"/>
                          </w:pPr>
                          <w:r>
                            <w:t>Onze referentie</w:t>
                          </w:r>
                        </w:p>
                        <w:p w14:paraId="72B2717D" w14:textId="23D0877A" w:rsidR="00E300B9" w:rsidRDefault="00761108">
                          <w:pPr>
                            <w:pStyle w:val="ReferentiegegevensHL"/>
                          </w:pPr>
                          <w:r>
                            <w:fldChar w:fldCharType="begin"/>
                          </w:r>
                          <w:r>
                            <w:instrText xml:space="preserve"> DOCPROPERTY  "iOnsKenmerk"  \* MERGEFORMAT </w:instrText>
                          </w:r>
                          <w:r>
                            <w:fldChar w:fldCharType="separate"/>
                          </w:r>
                          <w:r w:rsidR="007D43AC">
                            <w:t>2025-0000138576</w:t>
                          </w:r>
                          <w:r>
                            <w:fldChar w:fldCharType="end"/>
                          </w:r>
                        </w:p>
                        <w:p w14:paraId="58DFBEFB" w14:textId="77777777" w:rsidR="00460E6A" w:rsidRDefault="00460E6A">
                          <w:pPr>
                            <w:pStyle w:val="WitregelW1"/>
                          </w:pPr>
                        </w:p>
                        <w:p w14:paraId="58DFBEFC" w14:textId="77777777" w:rsidR="00460E6A" w:rsidRDefault="003A5060">
                          <w:pPr>
                            <w:pStyle w:val="Referentiegegevenskopjes"/>
                          </w:pPr>
                          <w:r>
                            <w:t>Uw referentie</w:t>
                          </w:r>
                        </w:p>
                        <w:p w14:paraId="42B8CC36" w14:textId="5BF39C2F" w:rsidR="00E300B9" w:rsidRDefault="00761108">
                          <w:pPr>
                            <w:pStyle w:val="Referentiegegevens"/>
                          </w:pPr>
                          <w:r>
                            <w:fldChar w:fldCharType="begin"/>
                          </w:r>
                          <w:r>
                            <w:instrText xml:space="preserve"> DOCPROPERTY  "iUwBrief"  \* MERGEFORMAT </w:instrText>
                          </w:r>
                          <w:r>
                            <w:fldChar w:fldCharType="separate"/>
                          </w:r>
                          <w:r w:rsidR="007D43AC">
                            <w:t>2025Z02023</w:t>
                          </w:r>
                          <w:r>
                            <w:fldChar w:fldCharType="end"/>
                          </w:r>
                        </w:p>
                        <w:p w14:paraId="58DFBEFE" w14:textId="77777777" w:rsidR="00460E6A" w:rsidRDefault="00460E6A">
                          <w:pPr>
                            <w:pStyle w:val="WitregelW1"/>
                          </w:pPr>
                        </w:p>
                        <w:p w14:paraId="467EFA93" w14:textId="55FB0F72" w:rsidR="00E300B9" w:rsidRDefault="00761108">
                          <w:pPr>
                            <w:pStyle w:val="Referentiegegevens"/>
                          </w:pPr>
                          <w:r>
                            <w:fldChar w:fldCharType="begin"/>
                          </w:r>
                          <w:r>
                            <w:instrText xml:space="preserve"> DOCPROPERTY  "iCC"  \* MERGEFORMAT </w:instrText>
                          </w:r>
                          <w:r>
                            <w:fldChar w:fldCharType="end"/>
                          </w:r>
                        </w:p>
                        <w:p w14:paraId="58DFBF00" w14:textId="77777777" w:rsidR="00460E6A" w:rsidRDefault="00460E6A">
                          <w:pPr>
                            <w:pStyle w:val="WitregelW1"/>
                          </w:pPr>
                        </w:p>
                      </w:txbxContent>
                    </wps:txbx>
                    <wps:bodyPr vert="horz" wrap="square" lIns="0" tIns="0" rIns="0" bIns="0" anchor="t" anchorCtr="0"/>
                  </wps:wsp>
                </a:graphicData>
              </a:graphic>
            </wp:anchor>
          </w:drawing>
        </mc:Choice>
        <mc:Fallback>
          <w:pict>
            <v:shape w14:anchorId="58DFBEE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8DFBEF5" w14:textId="77777777" w:rsidR="00460E6A" w:rsidRPr="00115B05" w:rsidRDefault="003A5060">
                    <w:pPr>
                      <w:pStyle w:val="Afzendgegevens"/>
                      <w:rPr>
                        <w:lang w:val="de-DE"/>
                      </w:rPr>
                    </w:pPr>
                    <w:r w:rsidRPr="00115B05">
                      <w:rPr>
                        <w:lang w:val="de-DE"/>
                      </w:rPr>
                      <w:t>Postbus 90801</w:t>
                    </w:r>
                  </w:p>
                  <w:p w14:paraId="58DFBEF6" w14:textId="77777777" w:rsidR="00460E6A" w:rsidRPr="00115B05" w:rsidRDefault="003A5060">
                    <w:pPr>
                      <w:pStyle w:val="Afzendgegevens"/>
                      <w:rPr>
                        <w:lang w:val="de-DE"/>
                      </w:rPr>
                    </w:pPr>
                    <w:r w:rsidRPr="00115B05">
                      <w:rPr>
                        <w:lang w:val="de-DE"/>
                      </w:rPr>
                      <w:t>2509 LV  Den Haag</w:t>
                    </w:r>
                  </w:p>
                  <w:p w14:paraId="58DFBEF7" w14:textId="77777777" w:rsidR="00460E6A" w:rsidRPr="00115B05" w:rsidRDefault="003A5060">
                    <w:pPr>
                      <w:pStyle w:val="Afzendgegevens"/>
                      <w:rPr>
                        <w:lang w:val="de-DE"/>
                      </w:rPr>
                    </w:pPr>
                    <w:r w:rsidRPr="00115B05">
                      <w:rPr>
                        <w:lang w:val="de-DE"/>
                      </w:rPr>
                      <w:t>T   070 333 44 44</w:t>
                    </w:r>
                  </w:p>
                  <w:p w14:paraId="58DFBEF8" w14:textId="77777777" w:rsidR="00460E6A" w:rsidRPr="00115B05" w:rsidRDefault="00460E6A">
                    <w:pPr>
                      <w:pStyle w:val="WitregelW2"/>
                      <w:rPr>
                        <w:lang w:val="de-DE"/>
                      </w:rPr>
                    </w:pPr>
                  </w:p>
                  <w:p w14:paraId="58DFBEF9" w14:textId="77777777" w:rsidR="00460E6A" w:rsidRDefault="003A5060">
                    <w:pPr>
                      <w:pStyle w:val="Referentiegegevenskopjes"/>
                    </w:pPr>
                    <w:r>
                      <w:t>Onze referentie</w:t>
                    </w:r>
                  </w:p>
                  <w:p w14:paraId="72B2717D" w14:textId="23D0877A" w:rsidR="00E300B9" w:rsidRDefault="00761108">
                    <w:pPr>
                      <w:pStyle w:val="ReferentiegegevensHL"/>
                    </w:pPr>
                    <w:r>
                      <w:fldChar w:fldCharType="begin"/>
                    </w:r>
                    <w:r>
                      <w:instrText xml:space="preserve"> DOCPROPERTY  "iOnsKenmerk"  \* MERGEFORMAT </w:instrText>
                    </w:r>
                    <w:r>
                      <w:fldChar w:fldCharType="separate"/>
                    </w:r>
                    <w:r w:rsidR="007D43AC">
                      <w:t>2025-0000138576</w:t>
                    </w:r>
                    <w:r>
                      <w:fldChar w:fldCharType="end"/>
                    </w:r>
                  </w:p>
                  <w:p w14:paraId="58DFBEFB" w14:textId="77777777" w:rsidR="00460E6A" w:rsidRDefault="00460E6A">
                    <w:pPr>
                      <w:pStyle w:val="WitregelW1"/>
                    </w:pPr>
                  </w:p>
                  <w:p w14:paraId="58DFBEFC" w14:textId="77777777" w:rsidR="00460E6A" w:rsidRDefault="003A5060">
                    <w:pPr>
                      <w:pStyle w:val="Referentiegegevenskopjes"/>
                    </w:pPr>
                    <w:r>
                      <w:t>Uw referentie</w:t>
                    </w:r>
                  </w:p>
                  <w:p w14:paraId="42B8CC36" w14:textId="5BF39C2F" w:rsidR="00E300B9" w:rsidRDefault="00761108">
                    <w:pPr>
                      <w:pStyle w:val="Referentiegegevens"/>
                    </w:pPr>
                    <w:r>
                      <w:fldChar w:fldCharType="begin"/>
                    </w:r>
                    <w:r>
                      <w:instrText xml:space="preserve"> DOCPROPERTY  "iUwBrief"  \* MERGEFORMAT </w:instrText>
                    </w:r>
                    <w:r>
                      <w:fldChar w:fldCharType="separate"/>
                    </w:r>
                    <w:r w:rsidR="007D43AC">
                      <w:t>2025Z02023</w:t>
                    </w:r>
                    <w:r>
                      <w:fldChar w:fldCharType="end"/>
                    </w:r>
                  </w:p>
                  <w:p w14:paraId="58DFBEFE" w14:textId="77777777" w:rsidR="00460E6A" w:rsidRDefault="00460E6A">
                    <w:pPr>
                      <w:pStyle w:val="WitregelW1"/>
                    </w:pPr>
                  </w:p>
                  <w:p w14:paraId="467EFA93" w14:textId="55FB0F72" w:rsidR="00E300B9" w:rsidRDefault="00761108">
                    <w:pPr>
                      <w:pStyle w:val="Referentiegegevens"/>
                    </w:pPr>
                    <w:r>
                      <w:fldChar w:fldCharType="begin"/>
                    </w:r>
                    <w:r>
                      <w:instrText xml:space="preserve"> DOCPROPERTY  "iCC"  \* MERGEFORMAT </w:instrText>
                    </w:r>
                    <w:r>
                      <w:fldChar w:fldCharType="end"/>
                    </w:r>
                  </w:p>
                  <w:p w14:paraId="58DFBF00" w14:textId="77777777" w:rsidR="00460E6A" w:rsidRDefault="00460E6A">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DFBEEA" wp14:editId="58DFBEE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8DFBF03" w14:textId="77777777" w:rsidR="00460E6A" w:rsidRDefault="003A506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8DFBEE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8DFBF03" w14:textId="77777777" w:rsidR="00460E6A" w:rsidRDefault="003A506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DFBEEC" wp14:editId="58DFBEE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8DFBF04" w14:textId="77777777" w:rsidR="00460E6A" w:rsidRDefault="003A5060">
                          <w:r>
                            <w:t>De voorzitter van de Tweede Kamer der Staten-Generaal</w:t>
                          </w:r>
                        </w:p>
                        <w:p w14:paraId="58DFBF05" w14:textId="77777777" w:rsidR="00460E6A" w:rsidRDefault="003A5060">
                          <w:r>
                            <w:t>Prinses Irenestraat 6</w:t>
                          </w:r>
                        </w:p>
                        <w:p w14:paraId="58DFBF06" w14:textId="77777777" w:rsidR="00460E6A" w:rsidRDefault="003A5060">
                          <w:r>
                            <w:t>2595 BD  Den Haag</w:t>
                          </w:r>
                        </w:p>
                      </w:txbxContent>
                    </wps:txbx>
                    <wps:bodyPr vert="horz" wrap="square" lIns="0" tIns="0" rIns="0" bIns="0" anchor="t" anchorCtr="0"/>
                  </wps:wsp>
                </a:graphicData>
              </a:graphic>
            </wp:anchor>
          </w:drawing>
        </mc:Choice>
        <mc:Fallback>
          <w:pict>
            <v:shape w14:anchorId="58DFBEE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8DFBF04" w14:textId="77777777" w:rsidR="00460E6A" w:rsidRDefault="003A5060">
                    <w:r>
                      <w:t>De voorzitter van de Tweede Kamer der Staten-Generaal</w:t>
                    </w:r>
                  </w:p>
                  <w:p w14:paraId="58DFBF05" w14:textId="77777777" w:rsidR="00460E6A" w:rsidRDefault="003A5060">
                    <w:r>
                      <w:t>Prinses Irenestraat 6</w:t>
                    </w:r>
                  </w:p>
                  <w:p w14:paraId="58DFBF06" w14:textId="77777777" w:rsidR="00460E6A" w:rsidRDefault="003A506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8DFBEEE" wp14:editId="342DBAFF">
              <wp:simplePos x="0" y="0"/>
              <wp:positionH relativeFrom="margin">
                <wp:align>left</wp:align>
              </wp:positionH>
              <wp:positionV relativeFrom="page">
                <wp:posOffset>3638550</wp:posOffset>
              </wp:positionV>
              <wp:extent cx="4103370" cy="10858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0858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60E6A" w14:paraId="58DFBF09" w14:textId="77777777">
                            <w:trPr>
                              <w:trHeight w:val="200"/>
                            </w:trPr>
                            <w:tc>
                              <w:tcPr>
                                <w:tcW w:w="1134" w:type="dxa"/>
                              </w:tcPr>
                              <w:p w14:paraId="58DFBF07" w14:textId="77777777" w:rsidR="00460E6A" w:rsidRDefault="00460E6A"/>
                            </w:tc>
                            <w:tc>
                              <w:tcPr>
                                <w:tcW w:w="5244" w:type="dxa"/>
                              </w:tcPr>
                              <w:p w14:paraId="58DFBF08" w14:textId="77777777" w:rsidR="00460E6A" w:rsidRDefault="00460E6A"/>
                            </w:tc>
                          </w:tr>
                          <w:tr w:rsidR="00460E6A" w14:paraId="58DFBF0C" w14:textId="77777777">
                            <w:trPr>
                              <w:trHeight w:val="240"/>
                            </w:trPr>
                            <w:tc>
                              <w:tcPr>
                                <w:tcW w:w="1134" w:type="dxa"/>
                              </w:tcPr>
                              <w:p w14:paraId="58DFBF0A" w14:textId="77777777" w:rsidR="00460E6A" w:rsidRDefault="003A5060">
                                <w:r>
                                  <w:t>Datum</w:t>
                                </w:r>
                              </w:p>
                            </w:tc>
                            <w:tc>
                              <w:tcPr>
                                <w:tcW w:w="5244" w:type="dxa"/>
                              </w:tcPr>
                              <w:p w14:paraId="5487BDF4" w14:textId="755FB53D" w:rsidR="00E300B9" w:rsidRDefault="00761108">
                                <w:r>
                                  <w:fldChar w:fldCharType="begin"/>
                                </w:r>
                                <w:r>
                                  <w:instrText xml:space="preserve"> DOCPROPERTY  "iDatum"  \* MERGEFORMAT </w:instrText>
                                </w:r>
                                <w:r w:rsidR="007D43AC">
                                  <w:fldChar w:fldCharType="separate"/>
                                </w:r>
                                <w:r w:rsidR="007D43AC">
                                  <w:t>26 juni 2025</w:t>
                                </w:r>
                                <w:r>
                                  <w:fldChar w:fldCharType="end"/>
                                </w:r>
                              </w:p>
                            </w:tc>
                          </w:tr>
                          <w:tr w:rsidR="00460E6A" w14:paraId="58DFBF0F" w14:textId="77777777">
                            <w:trPr>
                              <w:trHeight w:val="240"/>
                            </w:trPr>
                            <w:tc>
                              <w:tcPr>
                                <w:tcW w:w="1134" w:type="dxa"/>
                              </w:tcPr>
                              <w:p w14:paraId="58DFBF0D" w14:textId="77777777" w:rsidR="00460E6A" w:rsidRDefault="003A5060">
                                <w:r>
                                  <w:t>Betreft</w:t>
                                </w:r>
                              </w:p>
                            </w:tc>
                            <w:tc>
                              <w:tcPr>
                                <w:tcW w:w="5244" w:type="dxa"/>
                              </w:tcPr>
                              <w:p w14:paraId="768F1713" w14:textId="13757E4D" w:rsidR="00E300B9" w:rsidRDefault="00761108">
                                <w:r>
                                  <w:fldChar w:fldCharType="begin"/>
                                </w:r>
                                <w:r>
                                  <w:instrText xml:space="preserve"> DOCPROPERTY  "iOnderwerp"  \* MERGEFORMAT </w:instrText>
                                </w:r>
                                <w:r>
                                  <w:fldChar w:fldCharType="separate"/>
                                </w:r>
                                <w:r w:rsidR="007D43AC">
                                  <w:t>Beantwoording Kamervragen over de uitspraak van het Europese Hof van Justitie over het feit dat het Nederlands sanctiebeleid bij niet tijdig halen van het inburgeringsexamen in strijd is met het Europees recht</w:t>
                                </w:r>
                                <w:r>
                                  <w:fldChar w:fldCharType="end"/>
                                </w:r>
                              </w:p>
                            </w:tc>
                          </w:tr>
                          <w:tr w:rsidR="00460E6A" w14:paraId="58DFBF12" w14:textId="77777777">
                            <w:trPr>
                              <w:trHeight w:val="200"/>
                            </w:trPr>
                            <w:tc>
                              <w:tcPr>
                                <w:tcW w:w="1134" w:type="dxa"/>
                              </w:tcPr>
                              <w:p w14:paraId="58DFBF10" w14:textId="77777777" w:rsidR="00460E6A" w:rsidRDefault="00460E6A"/>
                            </w:tc>
                            <w:tc>
                              <w:tcPr>
                                <w:tcW w:w="5244" w:type="dxa"/>
                              </w:tcPr>
                              <w:p w14:paraId="58DFBF11" w14:textId="77777777" w:rsidR="00460E6A" w:rsidRDefault="00460E6A"/>
                            </w:tc>
                          </w:tr>
                        </w:tbl>
                        <w:p w14:paraId="58DFBF20" w14:textId="77777777" w:rsidR="003A5060" w:rsidRDefault="003A506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DFBEEE" id="bd55b0e2-03a6-11ee-8f29-0242ac130005" o:spid="_x0000_s1032" type="#_x0000_t202" style="position:absolute;margin-left:0;margin-top:286.5pt;width:323.1pt;height:85.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460E6A" w14:paraId="58DFBF09" w14:textId="77777777">
                      <w:trPr>
                        <w:trHeight w:val="200"/>
                      </w:trPr>
                      <w:tc>
                        <w:tcPr>
                          <w:tcW w:w="1134" w:type="dxa"/>
                        </w:tcPr>
                        <w:p w14:paraId="58DFBF07" w14:textId="77777777" w:rsidR="00460E6A" w:rsidRDefault="00460E6A"/>
                      </w:tc>
                      <w:tc>
                        <w:tcPr>
                          <w:tcW w:w="5244" w:type="dxa"/>
                        </w:tcPr>
                        <w:p w14:paraId="58DFBF08" w14:textId="77777777" w:rsidR="00460E6A" w:rsidRDefault="00460E6A"/>
                      </w:tc>
                    </w:tr>
                    <w:tr w:rsidR="00460E6A" w14:paraId="58DFBF0C" w14:textId="77777777">
                      <w:trPr>
                        <w:trHeight w:val="240"/>
                      </w:trPr>
                      <w:tc>
                        <w:tcPr>
                          <w:tcW w:w="1134" w:type="dxa"/>
                        </w:tcPr>
                        <w:p w14:paraId="58DFBF0A" w14:textId="77777777" w:rsidR="00460E6A" w:rsidRDefault="003A5060">
                          <w:r>
                            <w:t>Datum</w:t>
                          </w:r>
                        </w:p>
                      </w:tc>
                      <w:tc>
                        <w:tcPr>
                          <w:tcW w:w="5244" w:type="dxa"/>
                        </w:tcPr>
                        <w:p w14:paraId="5487BDF4" w14:textId="755FB53D" w:rsidR="00E300B9" w:rsidRDefault="00761108">
                          <w:r>
                            <w:fldChar w:fldCharType="begin"/>
                          </w:r>
                          <w:r>
                            <w:instrText xml:space="preserve"> DOCPROPERTY  "iDatum"  \* MERGEFORMAT </w:instrText>
                          </w:r>
                          <w:r w:rsidR="007D43AC">
                            <w:fldChar w:fldCharType="separate"/>
                          </w:r>
                          <w:r w:rsidR="007D43AC">
                            <w:t>26 juni 2025</w:t>
                          </w:r>
                          <w:r>
                            <w:fldChar w:fldCharType="end"/>
                          </w:r>
                        </w:p>
                      </w:tc>
                    </w:tr>
                    <w:tr w:rsidR="00460E6A" w14:paraId="58DFBF0F" w14:textId="77777777">
                      <w:trPr>
                        <w:trHeight w:val="240"/>
                      </w:trPr>
                      <w:tc>
                        <w:tcPr>
                          <w:tcW w:w="1134" w:type="dxa"/>
                        </w:tcPr>
                        <w:p w14:paraId="58DFBF0D" w14:textId="77777777" w:rsidR="00460E6A" w:rsidRDefault="003A5060">
                          <w:r>
                            <w:t>Betreft</w:t>
                          </w:r>
                        </w:p>
                      </w:tc>
                      <w:tc>
                        <w:tcPr>
                          <w:tcW w:w="5244" w:type="dxa"/>
                        </w:tcPr>
                        <w:p w14:paraId="768F1713" w14:textId="13757E4D" w:rsidR="00E300B9" w:rsidRDefault="00761108">
                          <w:r>
                            <w:fldChar w:fldCharType="begin"/>
                          </w:r>
                          <w:r>
                            <w:instrText xml:space="preserve"> DOCPROPERTY  "iOnderwerp"  \* MERGEFORMAT </w:instrText>
                          </w:r>
                          <w:r>
                            <w:fldChar w:fldCharType="separate"/>
                          </w:r>
                          <w:r w:rsidR="007D43AC">
                            <w:t>Beantwoording Kamervragen over de uitspraak van het Europese Hof van Justitie over het feit dat het Nederlands sanctiebeleid bij niet tijdig halen van het inburgeringsexamen in strijd is met het Europees recht</w:t>
                          </w:r>
                          <w:r>
                            <w:fldChar w:fldCharType="end"/>
                          </w:r>
                        </w:p>
                      </w:tc>
                    </w:tr>
                    <w:tr w:rsidR="00460E6A" w14:paraId="58DFBF12" w14:textId="77777777">
                      <w:trPr>
                        <w:trHeight w:val="200"/>
                      </w:trPr>
                      <w:tc>
                        <w:tcPr>
                          <w:tcW w:w="1134" w:type="dxa"/>
                        </w:tcPr>
                        <w:p w14:paraId="58DFBF10" w14:textId="77777777" w:rsidR="00460E6A" w:rsidRDefault="00460E6A"/>
                      </w:tc>
                      <w:tc>
                        <w:tcPr>
                          <w:tcW w:w="5244" w:type="dxa"/>
                        </w:tcPr>
                        <w:p w14:paraId="58DFBF11" w14:textId="77777777" w:rsidR="00460E6A" w:rsidRDefault="00460E6A"/>
                      </w:tc>
                    </w:tr>
                  </w:tbl>
                  <w:p w14:paraId="58DFBF20" w14:textId="77777777" w:rsidR="003A5060" w:rsidRDefault="003A506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8DFBEF0" wp14:editId="58DFBEF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E67E7A" w14:textId="77777777" w:rsidR="00E300B9" w:rsidRDefault="0076110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DFBEF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EE67E7A" w14:textId="77777777" w:rsidR="00E300B9" w:rsidRDefault="0076110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750BB0"/>
    <w:multiLevelType w:val="multilevel"/>
    <w:tmpl w:val="B915998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552AB3"/>
    <w:multiLevelType w:val="multilevel"/>
    <w:tmpl w:val="C3E5E0B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2FBF55D"/>
    <w:multiLevelType w:val="multilevel"/>
    <w:tmpl w:val="A6F5967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35900D"/>
    <w:multiLevelType w:val="multilevel"/>
    <w:tmpl w:val="ACBE720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02D74"/>
    <w:multiLevelType w:val="multilevel"/>
    <w:tmpl w:val="023D22D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7CBD48"/>
    <w:multiLevelType w:val="multilevel"/>
    <w:tmpl w:val="E45FDC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97155FA"/>
    <w:multiLevelType w:val="multilevel"/>
    <w:tmpl w:val="0A21BC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3443B0B"/>
    <w:multiLevelType w:val="hybridMultilevel"/>
    <w:tmpl w:val="B6A694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DDB7920"/>
    <w:multiLevelType w:val="multilevel"/>
    <w:tmpl w:val="68C7F2B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356644">
    <w:abstractNumId w:val="8"/>
  </w:num>
  <w:num w:numId="2" w16cid:durableId="1008102131">
    <w:abstractNumId w:val="3"/>
  </w:num>
  <w:num w:numId="3" w16cid:durableId="1755592164">
    <w:abstractNumId w:val="6"/>
  </w:num>
  <w:num w:numId="4" w16cid:durableId="1255747401">
    <w:abstractNumId w:val="5"/>
  </w:num>
  <w:num w:numId="5" w16cid:durableId="586303720">
    <w:abstractNumId w:val="2"/>
  </w:num>
  <w:num w:numId="6" w16cid:durableId="2145152067">
    <w:abstractNumId w:val="4"/>
  </w:num>
  <w:num w:numId="7" w16cid:durableId="1392732867">
    <w:abstractNumId w:val="0"/>
  </w:num>
  <w:num w:numId="8" w16cid:durableId="245845746">
    <w:abstractNumId w:val="1"/>
  </w:num>
  <w:num w:numId="9" w16cid:durableId="1435203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6A"/>
    <w:rsid w:val="000055AC"/>
    <w:rsid w:val="000266D0"/>
    <w:rsid w:val="000B3789"/>
    <w:rsid w:val="000F3BA4"/>
    <w:rsid w:val="00115B05"/>
    <w:rsid w:val="001333DE"/>
    <w:rsid w:val="00153C25"/>
    <w:rsid w:val="001850B2"/>
    <w:rsid w:val="001B3A40"/>
    <w:rsid w:val="001E260F"/>
    <w:rsid w:val="001E366E"/>
    <w:rsid w:val="00240B25"/>
    <w:rsid w:val="002D4D8E"/>
    <w:rsid w:val="0030776C"/>
    <w:rsid w:val="003353F5"/>
    <w:rsid w:val="003A5060"/>
    <w:rsid w:val="003B55C4"/>
    <w:rsid w:val="003E0796"/>
    <w:rsid w:val="00460E6A"/>
    <w:rsid w:val="0047374F"/>
    <w:rsid w:val="004B0805"/>
    <w:rsid w:val="00504C0E"/>
    <w:rsid w:val="005513CD"/>
    <w:rsid w:val="005A3FF8"/>
    <w:rsid w:val="006D62BB"/>
    <w:rsid w:val="006E2AB0"/>
    <w:rsid w:val="007363C6"/>
    <w:rsid w:val="00774223"/>
    <w:rsid w:val="007D43AC"/>
    <w:rsid w:val="00806FA3"/>
    <w:rsid w:val="00813B27"/>
    <w:rsid w:val="00863443"/>
    <w:rsid w:val="008B5CB4"/>
    <w:rsid w:val="008D1C9C"/>
    <w:rsid w:val="009163DB"/>
    <w:rsid w:val="00937F93"/>
    <w:rsid w:val="009A6D60"/>
    <w:rsid w:val="009B1123"/>
    <w:rsid w:val="00A015BC"/>
    <w:rsid w:val="00A423C6"/>
    <w:rsid w:val="00AE03FA"/>
    <w:rsid w:val="00B003CD"/>
    <w:rsid w:val="00BF5A71"/>
    <w:rsid w:val="00C25829"/>
    <w:rsid w:val="00C6128D"/>
    <w:rsid w:val="00C964C0"/>
    <w:rsid w:val="00D36423"/>
    <w:rsid w:val="00D57F29"/>
    <w:rsid w:val="00D73026"/>
    <w:rsid w:val="00DD6417"/>
    <w:rsid w:val="00E07624"/>
    <w:rsid w:val="00E300B9"/>
    <w:rsid w:val="00E5152C"/>
    <w:rsid w:val="00F20516"/>
    <w:rsid w:val="00FA09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8DF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D1C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1C9C"/>
    <w:rPr>
      <w:rFonts w:ascii="Verdana" w:hAnsi="Verdana"/>
      <w:color w:val="000000"/>
    </w:rPr>
  </w:style>
  <w:style w:type="table" w:styleId="Tabelraster">
    <w:name w:val="Table Grid"/>
    <w:basedOn w:val="Standaardtabel"/>
    <w:rsid w:val="008D1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8D1C9C"/>
    <w:rPr>
      <w:vertAlign w:val="superscript"/>
    </w:rPr>
  </w:style>
  <w:style w:type="paragraph" w:styleId="Revisie">
    <w:name w:val="Revision"/>
    <w:hidden/>
    <w:uiPriority w:val="99"/>
    <w:semiHidden/>
    <w:rsid w:val="001E366E"/>
    <w:pPr>
      <w:autoSpaceDN/>
      <w:textAlignment w:val="auto"/>
    </w:pPr>
    <w:rPr>
      <w:rFonts w:ascii="Verdana" w:hAnsi="Verdana"/>
      <w:color w:val="000000"/>
      <w:sz w:val="18"/>
      <w:szCs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9A6D60"/>
    <w:pPr>
      <w:autoSpaceDN/>
      <w:spacing w:after="200" w:line="276" w:lineRule="auto"/>
      <w:ind w:left="720"/>
      <w:contextualSpacing/>
      <w:textAlignment w:val="auto"/>
    </w:pPr>
    <w:rPr>
      <w:rFonts w:ascii="Calibri" w:eastAsia="Calibri" w:hAnsi="Calibri" w:cs="Times New Roman"/>
      <w:color w:val="auto"/>
      <w:sz w:val="22"/>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9A6D60"/>
    <w:rPr>
      <w:rFonts w:ascii="Calibri" w:eastAsia="Calibri" w:hAnsi="Calibri" w:cs="Times New Roman"/>
      <w:sz w:val="22"/>
      <w:szCs w:val="22"/>
      <w:lang w:eastAsia="en-US"/>
    </w:rPr>
  </w:style>
  <w:style w:type="character" w:styleId="Verwijzingopmerking">
    <w:name w:val="annotation reference"/>
    <w:basedOn w:val="Standaardalinea-lettertype"/>
    <w:uiPriority w:val="99"/>
    <w:semiHidden/>
    <w:unhideWhenUsed/>
    <w:rsid w:val="00E07624"/>
    <w:rPr>
      <w:sz w:val="16"/>
      <w:szCs w:val="16"/>
    </w:rPr>
  </w:style>
  <w:style w:type="paragraph" w:styleId="Tekstopmerking">
    <w:name w:val="annotation text"/>
    <w:basedOn w:val="Standaard"/>
    <w:link w:val="TekstopmerkingChar"/>
    <w:uiPriority w:val="99"/>
    <w:unhideWhenUsed/>
    <w:rsid w:val="00E07624"/>
    <w:pPr>
      <w:spacing w:line="240" w:lineRule="auto"/>
    </w:pPr>
    <w:rPr>
      <w:sz w:val="20"/>
      <w:szCs w:val="20"/>
    </w:rPr>
  </w:style>
  <w:style w:type="character" w:customStyle="1" w:styleId="TekstopmerkingChar">
    <w:name w:val="Tekst opmerking Char"/>
    <w:basedOn w:val="Standaardalinea-lettertype"/>
    <w:link w:val="Tekstopmerking"/>
    <w:uiPriority w:val="99"/>
    <w:rsid w:val="00E076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07624"/>
    <w:rPr>
      <w:b/>
      <w:bCs/>
    </w:rPr>
  </w:style>
  <w:style w:type="character" w:customStyle="1" w:styleId="OnderwerpvanopmerkingChar">
    <w:name w:val="Onderwerp van opmerking Char"/>
    <w:basedOn w:val="TekstopmerkingChar"/>
    <w:link w:val="Onderwerpvanopmerking"/>
    <w:uiPriority w:val="99"/>
    <w:semiHidden/>
    <w:rsid w:val="00E0762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821">
      <w:bodyDiv w:val="1"/>
      <w:marLeft w:val="0"/>
      <w:marRight w:val="0"/>
      <w:marTop w:val="0"/>
      <w:marBottom w:val="0"/>
      <w:divBdr>
        <w:top w:val="none" w:sz="0" w:space="0" w:color="auto"/>
        <w:left w:val="none" w:sz="0" w:space="0" w:color="auto"/>
        <w:bottom w:val="none" w:sz="0" w:space="0" w:color="auto"/>
        <w:right w:val="none" w:sz="0" w:space="0" w:color="auto"/>
      </w:divBdr>
    </w:div>
    <w:div w:id="109707299">
      <w:bodyDiv w:val="1"/>
      <w:marLeft w:val="0"/>
      <w:marRight w:val="0"/>
      <w:marTop w:val="0"/>
      <w:marBottom w:val="0"/>
      <w:divBdr>
        <w:top w:val="none" w:sz="0" w:space="0" w:color="auto"/>
        <w:left w:val="none" w:sz="0" w:space="0" w:color="auto"/>
        <w:bottom w:val="none" w:sz="0" w:space="0" w:color="auto"/>
        <w:right w:val="none" w:sz="0" w:space="0" w:color="auto"/>
      </w:divBdr>
    </w:div>
    <w:div w:id="116147194">
      <w:bodyDiv w:val="1"/>
      <w:marLeft w:val="0"/>
      <w:marRight w:val="0"/>
      <w:marTop w:val="0"/>
      <w:marBottom w:val="0"/>
      <w:divBdr>
        <w:top w:val="none" w:sz="0" w:space="0" w:color="auto"/>
        <w:left w:val="none" w:sz="0" w:space="0" w:color="auto"/>
        <w:bottom w:val="none" w:sz="0" w:space="0" w:color="auto"/>
        <w:right w:val="none" w:sz="0" w:space="0" w:color="auto"/>
      </w:divBdr>
    </w:div>
    <w:div w:id="208958772">
      <w:bodyDiv w:val="1"/>
      <w:marLeft w:val="0"/>
      <w:marRight w:val="0"/>
      <w:marTop w:val="0"/>
      <w:marBottom w:val="0"/>
      <w:divBdr>
        <w:top w:val="none" w:sz="0" w:space="0" w:color="auto"/>
        <w:left w:val="none" w:sz="0" w:space="0" w:color="auto"/>
        <w:bottom w:val="none" w:sz="0" w:space="0" w:color="auto"/>
        <w:right w:val="none" w:sz="0" w:space="0" w:color="auto"/>
      </w:divBdr>
    </w:div>
    <w:div w:id="262039039">
      <w:bodyDiv w:val="1"/>
      <w:marLeft w:val="0"/>
      <w:marRight w:val="0"/>
      <w:marTop w:val="0"/>
      <w:marBottom w:val="0"/>
      <w:divBdr>
        <w:top w:val="none" w:sz="0" w:space="0" w:color="auto"/>
        <w:left w:val="none" w:sz="0" w:space="0" w:color="auto"/>
        <w:bottom w:val="none" w:sz="0" w:space="0" w:color="auto"/>
        <w:right w:val="none" w:sz="0" w:space="0" w:color="auto"/>
      </w:divBdr>
    </w:div>
    <w:div w:id="582758548">
      <w:bodyDiv w:val="1"/>
      <w:marLeft w:val="0"/>
      <w:marRight w:val="0"/>
      <w:marTop w:val="0"/>
      <w:marBottom w:val="0"/>
      <w:divBdr>
        <w:top w:val="none" w:sz="0" w:space="0" w:color="auto"/>
        <w:left w:val="none" w:sz="0" w:space="0" w:color="auto"/>
        <w:bottom w:val="none" w:sz="0" w:space="0" w:color="auto"/>
        <w:right w:val="none" w:sz="0" w:space="0" w:color="auto"/>
      </w:divBdr>
    </w:div>
    <w:div w:id="882064080">
      <w:bodyDiv w:val="1"/>
      <w:marLeft w:val="0"/>
      <w:marRight w:val="0"/>
      <w:marTop w:val="0"/>
      <w:marBottom w:val="0"/>
      <w:divBdr>
        <w:top w:val="none" w:sz="0" w:space="0" w:color="auto"/>
        <w:left w:val="none" w:sz="0" w:space="0" w:color="auto"/>
        <w:bottom w:val="none" w:sz="0" w:space="0" w:color="auto"/>
        <w:right w:val="none" w:sz="0" w:space="0" w:color="auto"/>
      </w:divBdr>
    </w:div>
    <w:div w:id="1017386940">
      <w:bodyDiv w:val="1"/>
      <w:marLeft w:val="0"/>
      <w:marRight w:val="0"/>
      <w:marTop w:val="0"/>
      <w:marBottom w:val="0"/>
      <w:divBdr>
        <w:top w:val="none" w:sz="0" w:space="0" w:color="auto"/>
        <w:left w:val="none" w:sz="0" w:space="0" w:color="auto"/>
        <w:bottom w:val="none" w:sz="0" w:space="0" w:color="auto"/>
        <w:right w:val="none" w:sz="0" w:space="0" w:color="auto"/>
      </w:divBdr>
    </w:div>
    <w:div w:id="1479297794">
      <w:bodyDiv w:val="1"/>
      <w:marLeft w:val="0"/>
      <w:marRight w:val="0"/>
      <w:marTop w:val="0"/>
      <w:marBottom w:val="0"/>
      <w:divBdr>
        <w:top w:val="none" w:sz="0" w:space="0" w:color="auto"/>
        <w:left w:val="none" w:sz="0" w:space="0" w:color="auto"/>
        <w:bottom w:val="none" w:sz="0" w:space="0" w:color="auto"/>
        <w:right w:val="none" w:sz="0" w:space="0" w:color="auto"/>
      </w:divBdr>
    </w:div>
    <w:div w:id="1494955169">
      <w:bodyDiv w:val="1"/>
      <w:marLeft w:val="0"/>
      <w:marRight w:val="0"/>
      <w:marTop w:val="0"/>
      <w:marBottom w:val="0"/>
      <w:divBdr>
        <w:top w:val="none" w:sz="0" w:space="0" w:color="auto"/>
        <w:left w:val="none" w:sz="0" w:space="0" w:color="auto"/>
        <w:bottom w:val="none" w:sz="0" w:space="0" w:color="auto"/>
        <w:right w:val="none" w:sz="0" w:space="0" w:color="auto"/>
      </w:divBdr>
    </w:div>
    <w:div w:id="1534150147">
      <w:bodyDiv w:val="1"/>
      <w:marLeft w:val="0"/>
      <w:marRight w:val="0"/>
      <w:marTop w:val="0"/>
      <w:marBottom w:val="0"/>
      <w:divBdr>
        <w:top w:val="none" w:sz="0" w:space="0" w:color="auto"/>
        <w:left w:val="none" w:sz="0" w:space="0" w:color="auto"/>
        <w:bottom w:val="none" w:sz="0" w:space="0" w:color="auto"/>
        <w:right w:val="none" w:sz="0" w:space="0" w:color="auto"/>
      </w:divBdr>
    </w:div>
    <w:div w:id="1650011440">
      <w:bodyDiv w:val="1"/>
      <w:marLeft w:val="0"/>
      <w:marRight w:val="0"/>
      <w:marTop w:val="0"/>
      <w:marBottom w:val="0"/>
      <w:divBdr>
        <w:top w:val="none" w:sz="0" w:space="0" w:color="auto"/>
        <w:left w:val="none" w:sz="0" w:space="0" w:color="auto"/>
        <w:bottom w:val="none" w:sz="0" w:space="0" w:color="auto"/>
        <w:right w:val="none" w:sz="0" w:space="0" w:color="auto"/>
      </w:divBdr>
    </w:div>
    <w:div w:id="2116628766">
      <w:bodyDiv w:val="1"/>
      <w:marLeft w:val="0"/>
      <w:marRight w:val="0"/>
      <w:marTop w:val="0"/>
      <w:marBottom w:val="0"/>
      <w:divBdr>
        <w:top w:val="none" w:sz="0" w:space="0" w:color="auto"/>
        <w:left w:val="none" w:sz="0" w:space="0" w:color="auto"/>
        <w:bottom w:val="none" w:sz="0" w:space="0" w:color="auto"/>
        <w:right w:val="none" w:sz="0" w:space="0" w:color="auto"/>
      </w:divBdr>
    </w:div>
    <w:div w:id="214238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2079</ap:Words>
  <ap:Characters>11435</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Kamer - Kamervragen van van de leden Piri en Tseggai (beiden GroenLinks-PvdA) over de uitspraak van het Europese Hof van Justitie over het feit dat het Nederlands sanctiebeleid bij niet tijdig halen van het inburgeringsexamen in strijd is met het Eu</vt:lpstr>
    </vt:vector>
  </ap:TitlesOfParts>
  <ap:LinksUpToDate>false</ap:LinksUpToDate>
  <ap:CharactersWithSpaces>13488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2025-06-18T14:38:00.0000000Z</lastPrinted>
  <dcterms:created xsi:type="dcterms:W3CDTF">2025-06-26T13:09:00.0000000Z</dcterms:created>
  <dcterms:modified xsi:type="dcterms:W3CDTF">2025-06-26T13:09:00.0000000Z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van de leden Piri en Tseggai (beiden GroenLinks-PvdA) over de uitspraak van het Europese Hof van Justitie over het feit dat het Nederlands sanctiebeleid bij niet tijdig halen van het inburgeringsexamen in strijd is met het Europees recht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J.H. Hermsen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26 juni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uitspraak van het Europese Hof van Justitie over het feit dat het Nederlands sanctiebeleid bij niet tijdig halen van het inburgeringsexamen in strijd is met het Europees recht</vt:lpwstr>
  </property>
  <property fmtid="{D5CDD505-2E9C-101B-9397-08002B2CF9AE}" pid="36" name="iOnsKenmerk">
    <vt:lpwstr>2025-0000138576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2025Z02023</vt:lpwstr>
  </property>
</Properties>
</file>