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F6B" w:rsidR="006C01C1" w:rsidP="000E0F6B" w:rsidRDefault="006C01C1" w14:paraId="6070DAA1" w14:textId="7064316F">
      <w:pPr>
        <w:autoSpaceDE w:val="0"/>
        <w:autoSpaceDN w:val="0"/>
        <w:adjustRightInd w:val="0"/>
        <w:rPr>
          <w:rFonts w:eastAsiaTheme="minorHAnsi"/>
          <w:b/>
          <w:bCs/>
          <w:color w:val="000000"/>
          <w:lang w:eastAsia="en-US"/>
        </w:rPr>
      </w:pPr>
      <w:r w:rsidRPr="000E0F6B">
        <w:rPr>
          <w:rFonts w:eastAsiaTheme="minorHAnsi"/>
          <w:b/>
          <w:bCs/>
          <w:color w:val="000000"/>
          <w:lang w:eastAsia="en-US"/>
        </w:rPr>
        <w:t xml:space="preserve">36 740 VIII </w:t>
      </w:r>
      <w:r w:rsidRPr="000E0F6B">
        <w:rPr>
          <w:rFonts w:eastAsiaTheme="minorHAnsi"/>
          <w:b/>
          <w:bCs/>
          <w:color w:val="000000"/>
          <w:lang w:eastAsia="en-US"/>
        </w:rPr>
        <w:tab/>
      </w:r>
      <w:r w:rsidRPr="000E0F6B">
        <w:rPr>
          <w:rFonts w:eastAsiaTheme="minorHAnsi"/>
          <w:b/>
          <w:bCs/>
          <w:color w:val="000000"/>
          <w:lang w:eastAsia="en-US"/>
        </w:rPr>
        <w:tab/>
        <w:t xml:space="preserve">Jaarverslag en </w:t>
      </w:r>
      <w:proofErr w:type="spellStart"/>
      <w:r w:rsidRPr="000E0F6B">
        <w:rPr>
          <w:rFonts w:eastAsiaTheme="minorHAnsi"/>
          <w:b/>
          <w:bCs/>
          <w:color w:val="000000"/>
          <w:lang w:eastAsia="en-US"/>
        </w:rPr>
        <w:t>slotwet</w:t>
      </w:r>
      <w:proofErr w:type="spellEnd"/>
      <w:r w:rsidRPr="000E0F6B">
        <w:rPr>
          <w:rFonts w:eastAsiaTheme="minorHAnsi"/>
          <w:b/>
          <w:bCs/>
          <w:color w:val="000000"/>
          <w:lang w:eastAsia="en-US"/>
        </w:rPr>
        <w:t xml:space="preserve"> Ministerie van </w:t>
      </w:r>
      <w:proofErr w:type="spellStart"/>
      <w:r w:rsidRPr="000E0F6B">
        <w:rPr>
          <w:rFonts w:eastAsiaTheme="minorHAnsi"/>
          <w:b/>
          <w:bCs/>
          <w:color w:val="000000"/>
          <w:lang w:eastAsia="en-US"/>
        </w:rPr>
        <w:t>Onderwĳs</w:t>
      </w:r>
      <w:proofErr w:type="spellEnd"/>
      <w:r w:rsidRPr="000E0F6B">
        <w:rPr>
          <w:rFonts w:eastAsiaTheme="minorHAnsi"/>
          <w:b/>
          <w:bCs/>
          <w:color w:val="000000"/>
          <w:lang w:eastAsia="en-US"/>
        </w:rPr>
        <w:t xml:space="preserve">, Cultuur </w:t>
      </w:r>
    </w:p>
    <w:p w:rsidRPr="000E0F6B" w:rsidR="002E6820" w:rsidP="000E0F6B" w:rsidRDefault="006C01C1" w14:paraId="4D6D2579" w14:textId="64802EA6">
      <w:pPr>
        <w:autoSpaceDE w:val="0"/>
        <w:autoSpaceDN w:val="0"/>
        <w:adjustRightInd w:val="0"/>
        <w:ind w:left="1416" w:firstLine="708"/>
        <w:rPr>
          <w:rFonts w:eastAsiaTheme="minorHAnsi"/>
          <w:color w:val="000000"/>
          <w:lang w:eastAsia="en-US"/>
        </w:rPr>
      </w:pPr>
      <w:r w:rsidRPr="000E0F6B">
        <w:rPr>
          <w:rFonts w:eastAsiaTheme="minorHAnsi"/>
          <w:b/>
          <w:bCs/>
          <w:color w:val="000000"/>
          <w:lang w:eastAsia="en-US"/>
        </w:rPr>
        <w:t>en Wetenschap 2024</w:t>
      </w:r>
      <w:r w:rsidRPr="000E0F6B" w:rsidR="008B0FA8">
        <w:rPr>
          <w:rFonts w:eastAsiaTheme="minorHAnsi"/>
          <w:b/>
          <w:bCs/>
          <w:color w:val="000000"/>
          <w:lang w:eastAsia="en-US"/>
        </w:rPr>
        <w:tab/>
      </w:r>
    </w:p>
    <w:p w:rsidRPr="000E0F6B" w:rsidR="002E6820" w:rsidP="000E0F6B" w:rsidRDefault="000E231B" w14:paraId="6F43794E" w14:textId="26C169DC">
      <w:pPr>
        <w:ind w:firstLine="708"/>
        <w:rPr>
          <w:b/>
        </w:rPr>
      </w:pPr>
      <w:r w:rsidRPr="000E0F6B">
        <w:rPr>
          <w:b/>
        </w:rPr>
        <w:tab/>
      </w:r>
      <w:r w:rsidRPr="000E0F6B">
        <w:rPr>
          <w:b/>
        </w:rPr>
        <w:tab/>
      </w:r>
    </w:p>
    <w:p w:rsidRPr="000E0F6B" w:rsidR="000E231B" w:rsidP="000E0F6B" w:rsidRDefault="000E231B" w14:paraId="552FFFCA" w14:textId="19B05DA5">
      <w:pPr>
        <w:ind w:firstLine="708"/>
        <w:rPr>
          <w:b/>
        </w:rPr>
      </w:pPr>
      <w:r w:rsidRPr="000E0F6B">
        <w:rPr>
          <w:b/>
        </w:rPr>
        <w:tab/>
      </w:r>
      <w:r w:rsidRPr="000E0F6B">
        <w:rPr>
          <w:b/>
        </w:rPr>
        <w:tab/>
        <w:t>Verslag van een schriftelijk overleg</w:t>
      </w:r>
    </w:p>
    <w:p w:rsidRPr="000E0F6B" w:rsidR="002E6820" w:rsidP="000E0F6B" w:rsidRDefault="002E6820" w14:paraId="0A91AA30" w14:textId="77777777">
      <w:pPr>
        <w:ind w:firstLine="708"/>
      </w:pPr>
    </w:p>
    <w:p w:rsidRPr="000E0F6B" w:rsidR="00804A1A" w:rsidP="000E0F6B" w:rsidRDefault="00804A1A" w14:paraId="113AA8DD" w14:textId="77777777">
      <w:pPr>
        <w:ind w:left="1416" w:firstLine="708"/>
      </w:pPr>
      <w:r w:rsidRPr="000E0F6B">
        <w:t>Vastgesteld d.d. …</w:t>
      </w:r>
    </w:p>
    <w:p w:rsidRPr="000E0F6B" w:rsidR="00804A1A" w:rsidP="000E0F6B" w:rsidRDefault="00804A1A" w14:paraId="126CED52" w14:textId="77777777"/>
    <w:p w:rsidRPr="000E0F6B" w:rsidR="006E186B" w:rsidP="000E0F6B" w:rsidRDefault="00804A1A" w14:paraId="20FAFC25" w14:textId="0CBB106D">
      <w:pPr>
        <w:autoSpaceDE w:val="0"/>
        <w:autoSpaceDN w:val="0"/>
        <w:adjustRightInd w:val="0"/>
        <w:ind w:left="2124"/>
      </w:pPr>
      <w:r w:rsidRPr="000E0F6B">
        <w:t>Binnen de vaste commissie voor Onderwijs, Cultuur en Wetenschap hebben enkele fracties de behoefte om vragen en opmerkin</w:t>
      </w:r>
      <w:r w:rsidRPr="000E0F6B" w:rsidR="00E60997">
        <w:t>gen voor te leggen over</w:t>
      </w:r>
      <w:r w:rsidRPr="000E0F6B" w:rsidR="008B0FA8">
        <w:t xml:space="preserve"> </w:t>
      </w:r>
      <w:r w:rsidRPr="000E0F6B" w:rsidR="00DB79A7">
        <w:t>de</w:t>
      </w:r>
      <w:r w:rsidRPr="000E0F6B" w:rsidR="006C01C1">
        <w:t xml:space="preserve"> volgende </w:t>
      </w:r>
      <w:r w:rsidRPr="000E0F6B" w:rsidR="00DB79A7">
        <w:t>brie</w:t>
      </w:r>
      <w:r w:rsidRPr="000E0F6B" w:rsidR="006C01C1">
        <w:t>ven van de:</w:t>
      </w:r>
    </w:p>
    <w:p w:rsidRPr="000E0F6B" w:rsidR="006C01C1" w:rsidP="000E0F6B" w:rsidRDefault="006C01C1" w14:paraId="4DE52E41" w14:textId="77777777">
      <w:pPr>
        <w:autoSpaceDE w:val="0"/>
        <w:autoSpaceDN w:val="0"/>
        <w:adjustRightInd w:val="0"/>
        <w:ind w:left="2124"/>
      </w:pPr>
    </w:p>
    <w:p w:rsidRPr="000E0F6B" w:rsidR="006C01C1" w:rsidP="000E0F6B" w:rsidRDefault="006C01C1" w14:paraId="79A73831" w14:textId="2926B408">
      <w:pPr>
        <w:pStyle w:val="Lijstalinea"/>
        <w:numPr>
          <w:ilvl w:val="0"/>
          <w:numId w:val="2"/>
        </w:numPr>
        <w:autoSpaceDE w:val="0"/>
        <w:autoSpaceDN w:val="0"/>
        <w:adjustRightInd w:val="0"/>
      </w:pPr>
      <w:r w:rsidRPr="000E0F6B">
        <w:t>minister van Onderwijs, Cultuur en Wetenschap d.d. 21-05-2025 inzake Jaarverslag Ministerie van Onderwijs, Cultuur en Wetenschap 2024 (Kamerstuk 36 740-VIII, nr. 1);</w:t>
      </w:r>
    </w:p>
    <w:p w:rsidRPr="000E0F6B" w:rsidR="006C01C1" w:rsidP="000E0F6B" w:rsidRDefault="006C01C1" w14:paraId="33F38CD7" w14:textId="0D1FA896">
      <w:pPr>
        <w:pStyle w:val="Lijstalinea"/>
        <w:numPr>
          <w:ilvl w:val="0"/>
          <w:numId w:val="2"/>
        </w:numPr>
        <w:autoSpaceDE w:val="0"/>
        <w:autoSpaceDN w:val="0"/>
        <w:adjustRightInd w:val="0"/>
      </w:pPr>
      <w:r w:rsidRPr="000E0F6B">
        <w:t xml:space="preserve">minister van Onderwijs, Cultuur en Wetenschap d.d. 11-06-2025 inzake Beantwoording vragen commissie over het Jaarverslag Ministerie van Onderwijs, Cultuur en Wetenschap </w:t>
      </w:r>
      <w:r w:rsidRPr="000E0F6B" w:rsidR="009D0388">
        <w:t>2024 (</w:t>
      </w:r>
      <w:r w:rsidRPr="000E0F6B">
        <w:t>Kamerstuk 36</w:t>
      </w:r>
      <w:r w:rsidRPr="000E0F6B" w:rsidR="00764980">
        <w:t xml:space="preserve"> </w:t>
      </w:r>
      <w:r w:rsidRPr="000E0F6B">
        <w:t>740-VIII, nr. 6);</w:t>
      </w:r>
    </w:p>
    <w:p w:rsidRPr="000E0F6B" w:rsidR="006C01C1" w:rsidP="000E0F6B" w:rsidRDefault="006C01C1" w14:paraId="52BE765A" w14:textId="3931723C">
      <w:pPr>
        <w:pStyle w:val="Lijstalinea"/>
        <w:numPr>
          <w:ilvl w:val="0"/>
          <w:numId w:val="2"/>
        </w:numPr>
        <w:autoSpaceDE w:val="0"/>
        <w:autoSpaceDN w:val="0"/>
        <w:adjustRightInd w:val="0"/>
      </w:pPr>
      <w:r w:rsidRPr="000E0F6B">
        <w:t>minister van Onderwijs, Cultuur en Wetenschap d.d. 16-04-2025 inzake Beleidsreactie Staat van het Onderwijs 2025 (Kamerstuk 36 600-VIII-171);</w:t>
      </w:r>
    </w:p>
    <w:p w:rsidRPr="000E0F6B" w:rsidR="00B02DFF" w:rsidP="000E0F6B" w:rsidRDefault="00B02DFF" w14:paraId="0FD3E9E2" w14:textId="1F413939">
      <w:pPr>
        <w:pStyle w:val="Lijstalinea"/>
        <w:numPr>
          <w:ilvl w:val="0"/>
          <w:numId w:val="2"/>
        </w:numPr>
        <w:autoSpaceDE w:val="0"/>
        <w:autoSpaceDN w:val="0"/>
        <w:adjustRightInd w:val="0"/>
      </w:pPr>
      <w:r w:rsidRPr="000E0F6B">
        <w:t>minister van Onderwijs, Cultuur en Wetenschap d.d. 19-06-2025 inzake Beantwoording vragen commissie over de Staat van het Onderwijs 2025 met beleidsreactie (Kamerstuk 36 600-VIII-176);</w:t>
      </w:r>
    </w:p>
    <w:p w:rsidRPr="000E0F6B" w:rsidR="00764980" w:rsidP="000E0F6B" w:rsidRDefault="00764980" w14:paraId="3B34AC1B" w14:textId="0734D232">
      <w:pPr>
        <w:pStyle w:val="Lijstalinea"/>
        <w:numPr>
          <w:ilvl w:val="0"/>
          <w:numId w:val="2"/>
        </w:numPr>
        <w:autoSpaceDE w:val="0"/>
        <w:autoSpaceDN w:val="0"/>
        <w:adjustRightInd w:val="0"/>
      </w:pPr>
      <w:r w:rsidRPr="000E0F6B">
        <w:t>president van de Algemene Rekenkamer d.d. 21-05-2025 inzake Aanbieding van het rapport Resultaten verantwoordingsonderzoek 2024 bij het Ministerie van Onderwijs, Cultuur en Wetenschap (Kamerstuk 36 740-VIII, nr. 2);</w:t>
      </w:r>
    </w:p>
    <w:p w:rsidRPr="000E0F6B" w:rsidR="00764980" w:rsidP="000E0F6B" w:rsidRDefault="00764980" w14:paraId="44B4863A" w14:textId="0DCECD20">
      <w:pPr>
        <w:pStyle w:val="Lijstalinea"/>
        <w:numPr>
          <w:ilvl w:val="0"/>
          <w:numId w:val="2"/>
        </w:numPr>
        <w:autoSpaceDE w:val="0"/>
        <w:autoSpaceDN w:val="0"/>
        <w:adjustRightInd w:val="0"/>
      </w:pPr>
      <w:r w:rsidRPr="000E0F6B">
        <w:t>president van de Algemene Rekenkamer d.d. 10-06-2025 inzake Beantwoording vragen commissie, gesteld aan de Algemene Rekenkamer, over het rapport Resultaten verantwoordingsonderzoek 2024 bij het Ministerie van Onderwijs, Cultuur en Wetenschap (Kamerstuk 36740-VIII, nr. 5);</w:t>
      </w:r>
    </w:p>
    <w:p w:rsidRPr="000E0F6B" w:rsidR="00764980" w:rsidP="000E0F6B" w:rsidRDefault="00764980" w14:paraId="0156EB1D" w14:textId="59C9D438">
      <w:pPr>
        <w:pStyle w:val="Lijstalinea"/>
        <w:numPr>
          <w:ilvl w:val="0"/>
          <w:numId w:val="2"/>
        </w:numPr>
        <w:autoSpaceDE w:val="0"/>
        <w:autoSpaceDN w:val="0"/>
        <w:adjustRightInd w:val="0"/>
      </w:pPr>
      <w:r w:rsidRPr="000E0F6B">
        <w:t>minister van Onderwijs, Cultuur en Wetenschap d.d. 10-06-2025 inzake Beantwoording vragen commissie, gesteld aan de regering, over het rapport Resultaten verantwoordingsonderzoek 2024 bij het Ministerie van Onderwijs, Cultuur en Wetenschap (Kamerstuk 36 740-VIII, nr. 8)</w:t>
      </w:r>
      <w:r w:rsidRPr="000E0F6B" w:rsidR="003E61F9">
        <w:t>;</w:t>
      </w:r>
    </w:p>
    <w:p w:rsidRPr="000E0F6B" w:rsidR="005A2E56" w:rsidP="000E0F6B" w:rsidRDefault="005A2E56" w14:paraId="52077B50" w14:textId="243D1294">
      <w:pPr>
        <w:pStyle w:val="Lijstalinea"/>
        <w:numPr>
          <w:ilvl w:val="0"/>
          <w:numId w:val="2"/>
        </w:numPr>
        <w:autoSpaceDE w:val="0"/>
        <w:autoSpaceDN w:val="0"/>
        <w:adjustRightInd w:val="0"/>
      </w:pPr>
      <w:r w:rsidRPr="000E0F6B">
        <w:t>minister van Onderwijs, Cultuur en Wetenschap d.d. 27-05-2025 inzake Opvolging periodieke rapportages OCW (Kamerstuk 31 511, nr. 66)</w:t>
      </w:r>
      <w:r w:rsidRPr="000E0F6B" w:rsidR="00B02DFF">
        <w:t>;</w:t>
      </w:r>
    </w:p>
    <w:p w:rsidRPr="000E0F6B" w:rsidR="005A2E56" w:rsidP="000E0F6B" w:rsidRDefault="005A2E56" w14:paraId="609318BD" w14:textId="1F09DF21">
      <w:pPr>
        <w:pStyle w:val="Lijstalinea"/>
        <w:numPr>
          <w:ilvl w:val="0"/>
          <w:numId w:val="2"/>
        </w:numPr>
        <w:autoSpaceDE w:val="0"/>
        <w:autoSpaceDN w:val="0"/>
        <w:adjustRightInd w:val="0"/>
      </w:pPr>
      <w:r w:rsidRPr="000E0F6B">
        <w:t>minister van Onderwijs, Cultuur en Wetenschap d.d. 21-05-2025 inzake Rapportage burgerbrieven 2024 van het Ministerie van Onderwijs, Cultuur en Wetenschap (Kamerstuk 29 362, nr. 378);</w:t>
      </w:r>
    </w:p>
    <w:p w:rsidRPr="000E0F6B" w:rsidR="005A2E56" w:rsidP="000E0F6B" w:rsidRDefault="005A2E56" w14:paraId="02D3DA88" w14:textId="463FAE26">
      <w:pPr>
        <w:pStyle w:val="Lijstalinea"/>
        <w:numPr>
          <w:ilvl w:val="0"/>
          <w:numId w:val="2"/>
        </w:numPr>
        <w:autoSpaceDE w:val="0"/>
        <w:autoSpaceDN w:val="0"/>
        <w:adjustRightInd w:val="0"/>
      </w:pPr>
      <w:r w:rsidRPr="000E0F6B">
        <w:t>staatssecretaris van Onderwijs, Cultuur en Wetenschap d.d. 25-04-2025 inzake Uitvoering van de aangenomen gewijzigde motie van het lid Rooderkerk c.s. over de inspectie alle scholen periodiek laten bezoeken (Kamerstuk 31 293, nr. 802);</w:t>
      </w:r>
    </w:p>
    <w:p w:rsidRPr="000E0F6B" w:rsidR="005A2E56" w:rsidP="000E0F6B" w:rsidRDefault="005A2E56" w14:paraId="13307DC3" w14:textId="21897FF7">
      <w:pPr>
        <w:pStyle w:val="Lijstalinea"/>
        <w:numPr>
          <w:ilvl w:val="0"/>
          <w:numId w:val="2"/>
        </w:numPr>
        <w:autoSpaceDE w:val="0"/>
        <w:autoSpaceDN w:val="0"/>
        <w:adjustRightInd w:val="0"/>
      </w:pPr>
      <w:r w:rsidRPr="000E0F6B">
        <w:t xml:space="preserve">staatssecretaris van Onderwijs, Cultuur en Wetenschap d.d. 25-06-2025 inzake </w:t>
      </w:r>
      <w:r w:rsidRPr="000E0F6B" w:rsidR="00B02DFF">
        <w:t>S</w:t>
      </w:r>
      <w:r w:rsidRPr="000E0F6B">
        <w:t>tand van zaken onderwijsregio's (Kamerstuk 27 923, nr. 512);</w:t>
      </w:r>
    </w:p>
    <w:p w:rsidRPr="000E0F6B" w:rsidR="005A2E56" w:rsidP="000E0F6B" w:rsidRDefault="005A2E56" w14:paraId="56A9AEDB" w14:textId="67F69C05">
      <w:pPr>
        <w:pStyle w:val="Lijstalinea"/>
        <w:numPr>
          <w:ilvl w:val="0"/>
          <w:numId w:val="2"/>
        </w:numPr>
        <w:autoSpaceDE w:val="0"/>
        <w:autoSpaceDN w:val="0"/>
        <w:adjustRightInd w:val="0"/>
      </w:pPr>
      <w:r w:rsidRPr="000E0F6B">
        <w:t xml:space="preserve">staatssecretaris van Onderwijs, Cultuur en Wetenschap d.d. 23-04-2025 inzake Reactie op verzoek commissie over sluiting </w:t>
      </w:r>
      <w:proofErr w:type="spellStart"/>
      <w:r w:rsidRPr="000E0F6B">
        <w:t>SvPO</w:t>
      </w:r>
      <w:proofErr w:type="spellEnd"/>
      <w:r w:rsidRPr="000E0F6B">
        <w:t>-scholen en overdracht van vrijkomend vermogen aan overgeplaatste leerlingen (Kamerstuk 31 289, nr. 602);</w:t>
      </w:r>
    </w:p>
    <w:p w:rsidRPr="000E0F6B" w:rsidR="005A2E56" w:rsidP="000E0F6B" w:rsidRDefault="005A2E56" w14:paraId="4959E0C9" w14:textId="29EADF83">
      <w:pPr>
        <w:pStyle w:val="Lijstalinea"/>
        <w:numPr>
          <w:ilvl w:val="0"/>
          <w:numId w:val="2"/>
        </w:numPr>
        <w:autoSpaceDE w:val="0"/>
        <w:autoSpaceDN w:val="0"/>
        <w:adjustRightInd w:val="0"/>
      </w:pPr>
      <w:r w:rsidRPr="000E0F6B">
        <w:t>staatssecretaris van Onderwijs, Cultuur en Wetenschap d.d. 04-12-2024 inzake Zesde voortgangsrapportage Nationaal Programma Onderwijs (Kamerstuk 36 600-VIII, nr. 135);</w:t>
      </w:r>
    </w:p>
    <w:p w:rsidRPr="000E0F6B" w:rsidR="005A2E56" w:rsidP="000E0F6B" w:rsidRDefault="005A2E56" w14:paraId="303CA8B3" w14:textId="0AA4FB12">
      <w:pPr>
        <w:pStyle w:val="Lijstalinea"/>
        <w:numPr>
          <w:ilvl w:val="0"/>
          <w:numId w:val="2"/>
        </w:numPr>
        <w:autoSpaceDE w:val="0"/>
        <w:autoSpaceDN w:val="0"/>
        <w:adjustRightInd w:val="0"/>
      </w:pPr>
      <w:r w:rsidRPr="000E0F6B">
        <w:t>staatssecretaris van Onderwijs, Cultuur en Wetenschap d.d. 06-03-2025 inzake Antwoorden op vragen commissie over de zesde voortgangsrapportage Nationaal Programma Onderwijs (Kamerstuk 36 600-VIII, nr. 165);</w:t>
      </w:r>
    </w:p>
    <w:p w:rsidRPr="000E0F6B" w:rsidR="005A2E56" w:rsidP="000E0F6B" w:rsidRDefault="001D3F43" w14:paraId="0B5B217B" w14:textId="5ED54D21">
      <w:pPr>
        <w:pStyle w:val="Lijstalinea"/>
        <w:numPr>
          <w:ilvl w:val="0"/>
          <w:numId w:val="2"/>
        </w:numPr>
        <w:autoSpaceDE w:val="0"/>
        <w:autoSpaceDN w:val="0"/>
        <w:adjustRightInd w:val="0"/>
      </w:pPr>
      <w:r w:rsidRPr="000E0F6B">
        <w:t>staatssec</w:t>
      </w:r>
      <w:r w:rsidRPr="000E0F6B" w:rsidR="005A2E56">
        <w:t>r</w:t>
      </w:r>
      <w:r w:rsidRPr="000E0F6B">
        <w:t>etaris</w:t>
      </w:r>
      <w:r w:rsidRPr="000E0F6B" w:rsidR="005A2E56">
        <w:t xml:space="preserve"> van Onderwijs, Cultuur en Wetenschap d.d. 1</w:t>
      </w:r>
      <w:r w:rsidRPr="000E0F6B">
        <w:t>7</w:t>
      </w:r>
      <w:r w:rsidRPr="000E0F6B" w:rsidR="005A2E56">
        <w:t>-0</w:t>
      </w:r>
      <w:r w:rsidRPr="000E0F6B">
        <w:t>2</w:t>
      </w:r>
      <w:r w:rsidRPr="000E0F6B" w:rsidR="005A2E56">
        <w:t>-2025 inzake</w:t>
      </w:r>
      <w:r w:rsidRPr="000E0F6B">
        <w:t xml:space="preserve"> Stand van zaken </w:t>
      </w:r>
      <w:proofErr w:type="spellStart"/>
      <w:r w:rsidRPr="000E0F6B">
        <w:t>doorontwikkeltraject</w:t>
      </w:r>
      <w:proofErr w:type="spellEnd"/>
      <w:r w:rsidRPr="000E0F6B">
        <w:t xml:space="preserve"> praktijkgerichte havo voorjaar 2025 (Kamerstuk 31 289, nr. 600);</w:t>
      </w:r>
    </w:p>
    <w:p w:rsidRPr="000E0F6B" w:rsidR="001D3F43" w:rsidP="000E0F6B" w:rsidRDefault="001D3F43" w14:paraId="7FE9BF54" w14:textId="7A8F40AD">
      <w:pPr>
        <w:pStyle w:val="Lijstalinea"/>
        <w:numPr>
          <w:ilvl w:val="0"/>
          <w:numId w:val="2"/>
        </w:numPr>
        <w:autoSpaceDE w:val="0"/>
        <w:autoSpaceDN w:val="0"/>
        <w:adjustRightInd w:val="0"/>
      </w:pPr>
      <w:r w:rsidRPr="000E0F6B">
        <w:t>staatssecretaris van Onderwijs, Cultuur en Wetenschap d.d. 05-02-2025 inzake Onderzoek naar beweegredenen van oprichters, ouders en leerkrachten om te kiezen voor niet-bekostigd onderwijs (Kamerstuk 36</w:t>
      </w:r>
      <w:r w:rsidRPr="000E0F6B" w:rsidR="00B02DFF">
        <w:t xml:space="preserve"> </w:t>
      </w:r>
      <w:r w:rsidRPr="000E0F6B">
        <w:t>600-VIII, nr. 162)</w:t>
      </w:r>
      <w:r w:rsidRPr="000E0F6B" w:rsidR="00B02DFF">
        <w:t>;</w:t>
      </w:r>
    </w:p>
    <w:p w:rsidRPr="000E0F6B" w:rsidR="005A2E56" w:rsidP="000E0F6B" w:rsidRDefault="005A2E56" w14:paraId="62BBA997" w14:textId="72B6AFCD">
      <w:pPr>
        <w:pStyle w:val="Lijstalinea"/>
        <w:numPr>
          <w:ilvl w:val="0"/>
          <w:numId w:val="2"/>
        </w:numPr>
        <w:autoSpaceDE w:val="0"/>
        <w:autoSpaceDN w:val="0"/>
        <w:adjustRightInd w:val="0"/>
      </w:pPr>
      <w:r w:rsidRPr="000E0F6B">
        <w:t xml:space="preserve">minister van Onderwijs, Cultuur en Wetenschap d.d. </w:t>
      </w:r>
      <w:r w:rsidRPr="000E0F6B" w:rsidR="001D3F43">
        <w:t>25</w:t>
      </w:r>
      <w:r w:rsidRPr="000E0F6B">
        <w:t>-</w:t>
      </w:r>
      <w:r w:rsidRPr="000E0F6B" w:rsidR="001D3F43">
        <w:t>11</w:t>
      </w:r>
      <w:r w:rsidRPr="000E0F6B">
        <w:t>-202</w:t>
      </w:r>
      <w:r w:rsidRPr="000E0F6B" w:rsidR="001D3F43">
        <w:t>4</w:t>
      </w:r>
      <w:r w:rsidRPr="000E0F6B">
        <w:t xml:space="preserve"> inzake</w:t>
      </w:r>
      <w:r w:rsidRPr="000E0F6B" w:rsidR="001D3F43">
        <w:t xml:space="preserve"> Financiële positie van het onderwijs in 2023 (Kamerstuk 33 495, nr. 125);</w:t>
      </w:r>
    </w:p>
    <w:p w:rsidRPr="000E0F6B" w:rsidR="001D3F43" w:rsidP="000E0F6B" w:rsidRDefault="001D3F43" w14:paraId="7471B1D7" w14:textId="73400FF2">
      <w:pPr>
        <w:pStyle w:val="Lijstalinea"/>
        <w:numPr>
          <w:ilvl w:val="0"/>
          <w:numId w:val="2"/>
        </w:numPr>
        <w:autoSpaceDE w:val="0"/>
        <w:autoSpaceDN w:val="0"/>
        <w:adjustRightInd w:val="0"/>
      </w:pPr>
      <w:r w:rsidRPr="000E0F6B">
        <w:t>minister van Onderwijs, Cultuur en Wetenschap d.d. 19-11-2024 inzake Departementaal informatieplan OCW 2025-2027 (Kamerstuk 26 643</w:t>
      </w:r>
      <w:r w:rsidRPr="000E0F6B" w:rsidR="00F05AA9">
        <w:t xml:space="preserve">, nr. </w:t>
      </w:r>
      <w:r w:rsidRPr="000E0F6B">
        <w:t>124</w:t>
      </w:r>
      <w:r w:rsidRPr="000E0F6B" w:rsidR="00F05AA9">
        <w:t>1</w:t>
      </w:r>
      <w:r w:rsidRPr="000E0F6B">
        <w:t>);</w:t>
      </w:r>
    </w:p>
    <w:p w:rsidRPr="000E0F6B" w:rsidR="001D3F43" w:rsidP="000E0F6B" w:rsidRDefault="001D3F43" w14:paraId="2F50809D" w14:textId="43FB385B">
      <w:pPr>
        <w:pStyle w:val="Lijstalinea"/>
        <w:numPr>
          <w:ilvl w:val="0"/>
          <w:numId w:val="2"/>
        </w:numPr>
        <w:autoSpaceDE w:val="0"/>
        <w:autoSpaceDN w:val="0"/>
        <w:adjustRightInd w:val="0"/>
      </w:pPr>
      <w:r w:rsidRPr="000E0F6B">
        <w:t xml:space="preserve">minister van Onderwijs, Cultuur en Wetenschap d.d. 28-01-2025 inzake Publicatie documenten n.a.v. </w:t>
      </w:r>
      <w:proofErr w:type="spellStart"/>
      <w:r w:rsidRPr="000E0F6B">
        <w:t>Woo</w:t>
      </w:r>
      <w:proofErr w:type="spellEnd"/>
      <w:r w:rsidRPr="000E0F6B">
        <w:t>-verzoek kabinetsbijdrage overheids- en onderwijswerkgevers (Kamerstuk 29 362, nr. 371);</w:t>
      </w:r>
    </w:p>
    <w:p w:rsidRPr="000E0F6B" w:rsidR="001D3F43" w:rsidP="000E0F6B" w:rsidRDefault="001D3F43" w14:paraId="652809E7" w14:textId="07C0E395">
      <w:pPr>
        <w:pStyle w:val="Lijstalinea"/>
        <w:numPr>
          <w:ilvl w:val="0"/>
          <w:numId w:val="2"/>
        </w:numPr>
        <w:autoSpaceDE w:val="0"/>
        <w:autoSpaceDN w:val="0"/>
        <w:adjustRightInd w:val="0"/>
      </w:pPr>
      <w:r w:rsidRPr="000E0F6B">
        <w:t xml:space="preserve">minister van Onderwijs, Cultuur en Wetenschap d.d. 15-04-2025 inzake Beantwoording vragen commissie inzake publicatie documenten n.a.v. </w:t>
      </w:r>
      <w:proofErr w:type="spellStart"/>
      <w:r w:rsidRPr="000E0F6B">
        <w:t>Woo</w:t>
      </w:r>
      <w:proofErr w:type="spellEnd"/>
      <w:r w:rsidRPr="000E0F6B">
        <w:t>-verzoek kabinetsbijdrage overheids- en onderwijswerkgevers (Kamerstuk 29 362, nr. 377);</w:t>
      </w:r>
    </w:p>
    <w:p w:rsidRPr="000E0F6B" w:rsidR="001D3F43" w:rsidP="000E0F6B" w:rsidRDefault="001D3F43" w14:paraId="30AC82F0" w14:textId="0C806A03">
      <w:pPr>
        <w:pStyle w:val="Lijstalinea"/>
        <w:numPr>
          <w:ilvl w:val="0"/>
          <w:numId w:val="2"/>
        </w:numPr>
        <w:autoSpaceDE w:val="0"/>
        <w:autoSpaceDN w:val="0"/>
        <w:adjustRightInd w:val="0"/>
      </w:pPr>
      <w:r w:rsidRPr="000E0F6B">
        <w:t>minister van Onderwijs, Cultuur en Wetenschap d.d. 16-04-2025 inzake Jaarverslag 2024 Inspectie van het Onderwijs (Kamerstuk 36 600-VIII, nr.170);</w:t>
      </w:r>
    </w:p>
    <w:p w:rsidRPr="000E0F6B" w:rsidR="001D3F43" w:rsidP="000E0F6B" w:rsidRDefault="001D3F43" w14:paraId="407C28C0" w14:textId="6433E40F">
      <w:pPr>
        <w:pStyle w:val="Lijstalinea"/>
        <w:numPr>
          <w:ilvl w:val="0"/>
          <w:numId w:val="2"/>
        </w:numPr>
        <w:autoSpaceDE w:val="0"/>
        <w:autoSpaceDN w:val="0"/>
        <w:adjustRightInd w:val="0"/>
      </w:pPr>
      <w:r w:rsidRPr="000E0F6B">
        <w:t>staatssecretaris van Onderwijs, Cultuur en Wetenschap d.d. 19-06-2025 inzake Beantwoording vragen commissie over het Jaarverslag 2024 Inspectie van het Onderwijs (Kamerstuk 36 600-VIII, nr. 175)</w:t>
      </w:r>
      <w:r w:rsidRPr="000E0F6B" w:rsidR="004669DD">
        <w:t>;</w:t>
      </w:r>
    </w:p>
    <w:p w:rsidRPr="000E0F6B" w:rsidR="001D3F43" w:rsidP="000E0F6B" w:rsidRDefault="001D3F43" w14:paraId="76341C7F" w14:textId="470E0E07">
      <w:pPr>
        <w:pStyle w:val="Lijstalinea"/>
        <w:numPr>
          <w:ilvl w:val="0"/>
          <w:numId w:val="2"/>
        </w:numPr>
        <w:autoSpaceDE w:val="0"/>
        <w:autoSpaceDN w:val="0"/>
        <w:adjustRightInd w:val="0"/>
      </w:pPr>
      <w:r w:rsidRPr="000E0F6B">
        <w:t xml:space="preserve">minister van Onderwijs, Cultuur en Wetenschap d.d. 16-12-2024 inzake Beleidsmatige mutaties na Tweede Suppletoire Begroting 2024 (Kamerstuk </w:t>
      </w:r>
      <w:r w:rsidRPr="000E0F6B" w:rsidR="004669DD">
        <w:t>36 600-VIII, nr. 149).</w:t>
      </w:r>
    </w:p>
    <w:p w:rsidRPr="000E0F6B" w:rsidR="001D3F43" w:rsidP="000E0F6B" w:rsidRDefault="001D3F43" w14:paraId="750AF594" w14:textId="77777777">
      <w:pPr>
        <w:pStyle w:val="Lijstalinea"/>
        <w:autoSpaceDE w:val="0"/>
        <w:autoSpaceDN w:val="0"/>
        <w:adjustRightInd w:val="0"/>
        <w:ind w:left="2844"/>
      </w:pPr>
    </w:p>
    <w:p w:rsidRPr="000E0F6B" w:rsidR="00804A1A" w:rsidP="000E0F6B" w:rsidRDefault="00804A1A" w14:paraId="77D91DC1" w14:textId="3BAD8AD1">
      <w:pPr>
        <w:autoSpaceDE w:val="0"/>
        <w:autoSpaceDN w:val="0"/>
        <w:adjustRightInd w:val="0"/>
        <w:ind w:left="2124"/>
      </w:pPr>
      <w:r w:rsidRPr="000E0F6B">
        <w:t>Bij brief van ... he</w:t>
      </w:r>
      <w:r w:rsidRPr="000E0F6B" w:rsidR="006C01C1">
        <w:t xml:space="preserve">bben </w:t>
      </w:r>
      <w:r w:rsidRPr="000E0F6B" w:rsidR="00F53695">
        <w:t xml:space="preserve">de </w:t>
      </w:r>
      <w:r w:rsidRPr="000E0F6B" w:rsidR="006C01C1">
        <w:t xml:space="preserve">minister en </w:t>
      </w:r>
      <w:r w:rsidRPr="000E0F6B" w:rsidR="00F53695">
        <w:t>staatssecretaris</w:t>
      </w:r>
      <w:r w:rsidRPr="000E0F6B">
        <w:t xml:space="preserve"> </w:t>
      </w:r>
      <w:r w:rsidRPr="000E0F6B" w:rsidR="00D46C26">
        <w:t xml:space="preserve">van Onderwijs, Cultuur en Wetenschap </w:t>
      </w:r>
      <w:r w:rsidRPr="000E0F6B">
        <w:t xml:space="preserve">deze beantwoord. Vragen en antwoorden zijn hierna afgedrukt. </w:t>
      </w:r>
    </w:p>
    <w:p w:rsidRPr="000E0F6B" w:rsidR="00804A1A" w:rsidP="000E0F6B" w:rsidRDefault="00804A1A" w14:paraId="5F577371" w14:textId="77777777">
      <w:pPr>
        <w:ind w:left="2124"/>
      </w:pPr>
      <w:r w:rsidRPr="000E0F6B">
        <w:t xml:space="preserve"> </w:t>
      </w:r>
    </w:p>
    <w:p w:rsidRPr="000E0F6B" w:rsidR="00804A1A" w:rsidP="000E0F6B" w:rsidRDefault="006C01C1" w14:paraId="38F4997B" w14:textId="0979ACC6">
      <w:pPr>
        <w:ind w:left="1416" w:firstLine="708"/>
        <w:outlineLvl w:val="0"/>
      </w:pPr>
      <w:r w:rsidRPr="000E0F6B">
        <w:t xml:space="preserve">De </w:t>
      </w:r>
      <w:r w:rsidRPr="000E0F6B" w:rsidR="004F191B">
        <w:t>v</w:t>
      </w:r>
      <w:r w:rsidRPr="000E0F6B" w:rsidR="00804A1A">
        <w:t>oorzitter van de commissie</w:t>
      </w:r>
    </w:p>
    <w:p w:rsidRPr="000E0F6B" w:rsidR="00804A1A" w:rsidP="000E0F6B" w:rsidRDefault="006E186B" w14:paraId="1AB0DEF3" w14:textId="2CD435BC">
      <w:pPr>
        <w:ind w:left="1416" w:firstLine="708"/>
      </w:pPr>
      <w:r w:rsidRPr="000E0F6B">
        <w:t>Bromet</w:t>
      </w:r>
      <w:r w:rsidRPr="000E0F6B" w:rsidR="00804A1A">
        <w:br/>
      </w:r>
    </w:p>
    <w:p w:rsidRPr="000E0F6B" w:rsidR="00804A1A" w:rsidP="000E0F6B" w:rsidRDefault="00804A1A" w14:paraId="0E65CCE6" w14:textId="77777777">
      <w:pPr>
        <w:ind w:left="1416" w:firstLine="708"/>
        <w:outlineLvl w:val="0"/>
      </w:pPr>
      <w:r w:rsidRPr="000E0F6B">
        <w:t>Adjunct-griffier van de commissie</w:t>
      </w:r>
    </w:p>
    <w:p w:rsidRPr="000E0F6B" w:rsidR="00804A1A" w:rsidP="000E0F6B" w:rsidRDefault="002A55D6" w14:paraId="72724501" w14:textId="70942BB8">
      <w:pPr>
        <w:ind w:left="1416" w:firstLine="708"/>
      </w:pPr>
      <w:r>
        <w:t>Easton</w:t>
      </w:r>
    </w:p>
    <w:p w:rsidRPr="000E0F6B" w:rsidR="006C01C1" w:rsidP="000E0F6B" w:rsidRDefault="006C01C1" w14:paraId="67485E3B" w14:textId="77777777">
      <w:pPr>
        <w:ind w:left="1416" w:firstLine="708"/>
      </w:pPr>
    </w:p>
    <w:p w:rsidRPr="000E0F6B" w:rsidR="00804A1A" w:rsidP="000E0F6B" w:rsidRDefault="00804A1A" w14:paraId="24CE3312" w14:textId="77777777">
      <w:pPr>
        <w:rPr>
          <w:b/>
          <w:u w:val="single"/>
        </w:rPr>
      </w:pPr>
      <w:r w:rsidRPr="000E0F6B">
        <w:tab/>
      </w:r>
      <w:r w:rsidRPr="000E0F6B">
        <w:tab/>
      </w:r>
      <w:r w:rsidRPr="000E0F6B">
        <w:tab/>
      </w:r>
      <w:r w:rsidRPr="000E0F6B">
        <w:rPr>
          <w:b/>
        </w:rPr>
        <w:t>Inhoud</w:t>
      </w:r>
      <w:r w:rsidRPr="000E0F6B">
        <w:rPr>
          <w:b/>
        </w:rPr>
        <w:br/>
      </w:r>
    </w:p>
    <w:p w:rsidRPr="000E0F6B" w:rsidR="00804A1A" w:rsidP="000E0F6B" w:rsidRDefault="00804A1A" w14:paraId="158A0F2F" w14:textId="0815E6F2">
      <w:pPr>
        <w:pStyle w:val="Default"/>
        <w:ind w:left="1416" w:firstLine="708"/>
        <w:rPr>
          <w:rFonts w:ascii="Times New Roman" w:hAnsi="Times New Roman" w:cs="Times New Roman"/>
          <w:b/>
        </w:rPr>
      </w:pPr>
      <w:r w:rsidRPr="000E0F6B">
        <w:rPr>
          <w:rFonts w:ascii="Times New Roman" w:hAnsi="Times New Roman" w:cs="Times New Roman"/>
          <w:b/>
        </w:rPr>
        <w:t>I</w:t>
      </w:r>
      <w:r w:rsidRPr="000E0F6B">
        <w:rPr>
          <w:rFonts w:ascii="Times New Roman" w:hAnsi="Times New Roman" w:cs="Times New Roman"/>
          <w:b/>
        </w:rPr>
        <w:tab/>
        <w:t xml:space="preserve">Vragen en opmerkingen </w:t>
      </w:r>
    </w:p>
    <w:p w:rsidRPr="000E0F6B" w:rsidR="00B02DFF" w:rsidP="000E0F6B" w:rsidRDefault="00B02DFF" w14:paraId="0BC89683" w14:textId="7967CE6E">
      <w:pPr>
        <w:pStyle w:val="Default"/>
        <w:numPr>
          <w:ilvl w:val="0"/>
          <w:numId w:val="1"/>
        </w:numPr>
        <w:rPr>
          <w:rFonts w:ascii="Times New Roman" w:hAnsi="Times New Roman" w:cs="Times New Roman"/>
          <w:b/>
        </w:rPr>
      </w:pPr>
      <w:r w:rsidRPr="000E0F6B">
        <w:rPr>
          <w:rFonts w:ascii="Times New Roman" w:hAnsi="Times New Roman" w:cs="Times New Roman"/>
          <w:b/>
        </w:rPr>
        <w:t>Gezamenlijke inbreng</w:t>
      </w:r>
      <w:r w:rsidRPr="000E0F6B" w:rsidR="00304E4E">
        <w:rPr>
          <w:rFonts w:ascii="Times New Roman" w:hAnsi="Times New Roman" w:cs="Times New Roman"/>
          <w:b/>
        </w:rPr>
        <w:t xml:space="preserve"> commissie</w:t>
      </w:r>
    </w:p>
    <w:p w:rsidRPr="000E0F6B" w:rsidR="00B02DFF" w:rsidP="000E0F6B" w:rsidRDefault="00B02DFF" w14:paraId="447A80DC" w14:textId="616C1E05">
      <w:pPr>
        <w:pStyle w:val="Default"/>
        <w:numPr>
          <w:ilvl w:val="0"/>
          <w:numId w:val="1"/>
        </w:numPr>
        <w:rPr>
          <w:rFonts w:ascii="Times New Roman" w:hAnsi="Times New Roman" w:cs="Times New Roman"/>
          <w:b/>
        </w:rPr>
      </w:pPr>
      <w:r w:rsidRPr="000E0F6B">
        <w:rPr>
          <w:rFonts w:ascii="Times New Roman" w:hAnsi="Times New Roman" w:cs="Times New Roman"/>
          <w:b/>
        </w:rPr>
        <w:t>Inbreng van de leden van de PVV-fractie</w:t>
      </w:r>
    </w:p>
    <w:p w:rsidRPr="000E0F6B" w:rsidR="00804A1A" w:rsidP="000E0F6B" w:rsidRDefault="00804A1A" w14:paraId="6C754926" w14:textId="6DADED6E">
      <w:pPr>
        <w:pStyle w:val="Default"/>
        <w:numPr>
          <w:ilvl w:val="0"/>
          <w:numId w:val="1"/>
        </w:numPr>
        <w:rPr>
          <w:rFonts w:ascii="Times New Roman" w:hAnsi="Times New Roman" w:cs="Times New Roman"/>
          <w:b/>
        </w:rPr>
      </w:pPr>
      <w:r w:rsidRPr="000E0F6B">
        <w:rPr>
          <w:rFonts w:ascii="Times New Roman" w:hAnsi="Times New Roman" w:cs="Times New Roman"/>
          <w:b/>
        </w:rPr>
        <w:t xml:space="preserve">Inbreng van de leden van de </w:t>
      </w:r>
      <w:r w:rsidRPr="000E0F6B" w:rsidR="001A0B98">
        <w:rPr>
          <w:rFonts w:ascii="Times New Roman" w:hAnsi="Times New Roman" w:cs="Times New Roman"/>
          <w:b/>
        </w:rPr>
        <w:t>GroenLinks-</w:t>
      </w:r>
      <w:r w:rsidRPr="000E0F6B" w:rsidR="004B517A">
        <w:rPr>
          <w:rFonts w:ascii="Times New Roman" w:hAnsi="Times New Roman" w:cs="Times New Roman"/>
          <w:b/>
        </w:rPr>
        <w:t>PvdA-</w:t>
      </w:r>
      <w:r w:rsidRPr="000E0F6B" w:rsidR="001A0B98">
        <w:rPr>
          <w:rFonts w:ascii="Times New Roman" w:hAnsi="Times New Roman" w:cs="Times New Roman"/>
          <w:b/>
        </w:rPr>
        <w:t>fractie</w:t>
      </w:r>
    </w:p>
    <w:p w:rsidRPr="000E0F6B" w:rsidR="00162F24" w:rsidP="000E0F6B" w:rsidRDefault="00162F24" w14:paraId="6A843728" w14:textId="77777777">
      <w:pPr>
        <w:pStyle w:val="Default"/>
        <w:numPr>
          <w:ilvl w:val="0"/>
          <w:numId w:val="1"/>
        </w:numPr>
        <w:rPr>
          <w:rFonts w:ascii="Times New Roman" w:hAnsi="Times New Roman" w:cs="Times New Roman"/>
          <w:b/>
        </w:rPr>
      </w:pPr>
      <w:r w:rsidRPr="000E0F6B">
        <w:rPr>
          <w:rFonts w:ascii="Times New Roman" w:hAnsi="Times New Roman" w:cs="Times New Roman"/>
          <w:b/>
        </w:rPr>
        <w:t>Inbreng van de leden van de VVD-fractie</w:t>
      </w:r>
    </w:p>
    <w:p w:rsidRPr="000E0F6B" w:rsidR="00C87505" w:rsidP="000E0F6B" w:rsidRDefault="00C87505" w14:paraId="6D44D936" w14:textId="410D2C9B">
      <w:pPr>
        <w:pStyle w:val="Default"/>
        <w:numPr>
          <w:ilvl w:val="0"/>
          <w:numId w:val="1"/>
        </w:numPr>
        <w:rPr>
          <w:rFonts w:ascii="Times New Roman" w:hAnsi="Times New Roman" w:cs="Times New Roman"/>
          <w:b/>
          <w:color w:val="000000" w:themeColor="text1"/>
        </w:rPr>
      </w:pPr>
      <w:r w:rsidRPr="000E0F6B">
        <w:rPr>
          <w:rFonts w:ascii="Times New Roman" w:hAnsi="Times New Roman" w:cs="Times New Roman"/>
          <w:b/>
          <w:color w:val="000000" w:themeColor="text1"/>
        </w:rPr>
        <w:t xml:space="preserve">Inbreng van de leden van de </w:t>
      </w:r>
      <w:r w:rsidRPr="000E0F6B" w:rsidR="004837FB">
        <w:rPr>
          <w:rFonts w:ascii="Times New Roman" w:hAnsi="Times New Roman" w:cs="Times New Roman"/>
          <w:b/>
          <w:color w:val="000000" w:themeColor="text1"/>
        </w:rPr>
        <w:t>NSC</w:t>
      </w:r>
      <w:r w:rsidRPr="000E0F6B">
        <w:rPr>
          <w:rFonts w:ascii="Times New Roman" w:hAnsi="Times New Roman" w:cs="Times New Roman"/>
          <w:b/>
          <w:color w:val="000000" w:themeColor="text1"/>
        </w:rPr>
        <w:t>-fractie</w:t>
      </w:r>
    </w:p>
    <w:p w:rsidRPr="000E0F6B" w:rsidR="00A25790" w:rsidP="000E0F6B" w:rsidRDefault="00A25790" w14:paraId="51510FDE" w14:textId="508F922D">
      <w:pPr>
        <w:pStyle w:val="Default"/>
        <w:numPr>
          <w:ilvl w:val="0"/>
          <w:numId w:val="1"/>
        </w:numPr>
        <w:rPr>
          <w:rFonts w:ascii="Times New Roman" w:hAnsi="Times New Roman" w:cs="Times New Roman"/>
          <w:b/>
        </w:rPr>
      </w:pPr>
      <w:r w:rsidRPr="000E0F6B">
        <w:rPr>
          <w:rFonts w:ascii="Times New Roman" w:hAnsi="Times New Roman" w:cs="Times New Roman"/>
          <w:b/>
        </w:rPr>
        <w:t>Inbreng van de leden van de D66-fractie</w:t>
      </w:r>
    </w:p>
    <w:p w:rsidRPr="000E0F6B" w:rsidR="00BF67A8" w:rsidP="000E0F6B" w:rsidRDefault="00BF67A8" w14:paraId="054DEB1A" w14:textId="77777777">
      <w:pPr>
        <w:pStyle w:val="Default"/>
        <w:numPr>
          <w:ilvl w:val="0"/>
          <w:numId w:val="1"/>
        </w:numPr>
        <w:rPr>
          <w:rFonts w:ascii="Times New Roman" w:hAnsi="Times New Roman" w:cs="Times New Roman"/>
          <w:b/>
        </w:rPr>
      </w:pPr>
      <w:r w:rsidRPr="000E0F6B">
        <w:rPr>
          <w:rFonts w:ascii="Times New Roman" w:hAnsi="Times New Roman" w:cs="Times New Roman"/>
          <w:b/>
        </w:rPr>
        <w:t>Inbreng van de leden van de BBB-fractie</w:t>
      </w:r>
    </w:p>
    <w:p w:rsidRPr="000E0F6B" w:rsidR="00B02DFF" w:rsidP="000E0F6B" w:rsidRDefault="00B02DFF" w14:paraId="25B853DF" w14:textId="6AFB6137">
      <w:pPr>
        <w:pStyle w:val="Default"/>
        <w:numPr>
          <w:ilvl w:val="0"/>
          <w:numId w:val="1"/>
        </w:numPr>
        <w:rPr>
          <w:rFonts w:ascii="Times New Roman" w:hAnsi="Times New Roman" w:cs="Times New Roman"/>
          <w:b/>
        </w:rPr>
      </w:pPr>
      <w:r w:rsidRPr="000E0F6B">
        <w:rPr>
          <w:rFonts w:ascii="Times New Roman" w:hAnsi="Times New Roman" w:cs="Times New Roman"/>
          <w:b/>
        </w:rPr>
        <w:t>Inbreng van de leden van de CDA-fractie</w:t>
      </w:r>
    </w:p>
    <w:p w:rsidRPr="000E0F6B" w:rsidR="00B02DFF" w:rsidP="000E0F6B" w:rsidRDefault="00B02DFF" w14:paraId="622AB51B" w14:textId="3C75F577">
      <w:pPr>
        <w:pStyle w:val="Default"/>
        <w:numPr>
          <w:ilvl w:val="0"/>
          <w:numId w:val="1"/>
        </w:numPr>
        <w:rPr>
          <w:rFonts w:ascii="Times New Roman" w:hAnsi="Times New Roman" w:cs="Times New Roman"/>
          <w:b/>
        </w:rPr>
      </w:pPr>
      <w:r w:rsidRPr="000E0F6B">
        <w:rPr>
          <w:rFonts w:ascii="Times New Roman" w:hAnsi="Times New Roman" w:cs="Times New Roman"/>
          <w:b/>
        </w:rPr>
        <w:t>Inbreng van de leden van de ChristenUnie-fractie</w:t>
      </w:r>
    </w:p>
    <w:p w:rsidRPr="000E0F6B" w:rsidR="00804A1A" w:rsidP="000E0F6B" w:rsidRDefault="00804A1A" w14:paraId="1940E8F0" w14:textId="399BED8B">
      <w:pPr>
        <w:ind w:left="2829" w:hanging="705"/>
        <w:rPr>
          <w:b/>
        </w:rPr>
      </w:pPr>
      <w:r w:rsidRPr="000E0F6B">
        <w:rPr>
          <w:b/>
        </w:rPr>
        <w:t>II</w:t>
      </w:r>
      <w:r w:rsidRPr="000E0F6B">
        <w:rPr>
          <w:b/>
        </w:rPr>
        <w:tab/>
      </w:r>
      <w:r w:rsidRPr="000E0F6B">
        <w:rPr>
          <w:b/>
        </w:rPr>
        <w:tab/>
        <w:t xml:space="preserve">Reactie van </w:t>
      </w:r>
      <w:r w:rsidRPr="000E0F6B" w:rsidR="00876181">
        <w:rPr>
          <w:b/>
        </w:rPr>
        <w:t xml:space="preserve">de </w:t>
      </w:r>
      <w:r w:rsidRPr="000E0F6B" w:rsidR="00500DDA">
        <w:rPr>
          <w:b/>
        </w:rPr>
        <w:t xml:space="preserve">minister en </w:t>
      </w:r>
      <w:r w:rsidRPr="000E0F6B" w:rsidR="003E3DB9">
        <w:rPr>
          <w:b/>
        </w:rPr>
        <w:t xml:space="preserve">staatssecretaris </w:t>
      </w:r>
      <w:r w:rsidRPr="000E0F6B" w:rsidR="002947C1">
        <w:rPr>
          <w:b/>
        </w:rPr>
        <w:t>van Onderwijs, Cultuur en Wetenschap</w:t>
      </w:r>
    </w:p>
    <w:p w:rsidRPr="000E0F6B" w:rsidR="00804A1A" w:rsidP="000E0F6B" w:rsidRDefault="00804A1A" w14:paraId="6A350445" w14:textId="77777777">
      <w:pPr>
        <w:rPr>
          <w:b/>
          <w:bCs/>
        </w:rPr>
      </w:pPr>
    </w:p>
    <w:p w:rsidRPr="000E0F6B" w:rsidR="00804A1A" w:rsidP="000E0F6B" w:rsidRDefault="00774134" w14:paraId="0EF1B70B" w14:textId="4B49987F">
      <w:pPr>
        <w:rPr>
          <w:b/>
          <w:bCs/>
        </w:rPr>
      </w:pPr>
      <w:r w:rsidRPr="000E0F6B">
        <w:rPr>
          <w:b/>
          <w:bCs/>
        </w:rPr>
        <w:t xml:space="preserve">I </w:t>
      </w:r>
      <w:r w:rsidRPr="000E0F6B" w:rsidR="001A6B80">
        <w:rPr>
          <w:b/>
          <w:bCs/>
        </w:rPr>
        <w:tab/>
      </w:r>
      <w:r w:rsidRPr="000E0F6B" w:rsidR="00804A1A">
        <w:rPr>
          <w:b/>
          <w:bCs/>
        </w:rPr>
        <w:t xml:space="preserve">Vragen en opmerkingen </w:t>
      </w:r>
    </w:p>
    <w:p w:rsidRPr="000E0F6B" w:rsidR="00D32557" w:rsidP="000E0F6B" w:rsidRDefault="00D32557" w14:paraId="5067C2C8" w14:textId="77777777">
      <w:pPr>
        <w:rPr>
          <w:b/>
          <w:bCs/>
        </w:rPr>
      </w:pPr>
    </w:p>
    <w:p w:rsidRPr="000E0F6B" w:rsidR="00D32557" w:rsidP="000E0F6B" w:rsidRDefault="00D32557" w14:paraId="4CD3A998" w14:textId="61A6066D">
      <w:pPr>
        <w:rPr>
          <w:b/>
          <w:bCs/>
        </w:rPr>
      </w:pPr>
      <w:r w:rsidRPr="000E0F6B">
        <w:rPr>
          <w:b/>
          <w:bCs/>
        </w:rPr>
        <w:t>Gezamenlijke inbreng commissie</w:t>
      </w:r>
    </w:p>
    <w:p w:rsidRPr="000E0F6B" w:rsidR="00D32557" w:rsidP="000E0F6B" w:rsidRDefault="00D32557" w14:paraId="7C8E2AEC" w14:textId="77777777">
      <w:pPr>
        <w:pStyle w:val="Default"/>
        <w:rPr>
          <w:rFonts w:ascii="Times New Roman" w:hAnsi="Times New Roman" w:cs="Times New Roman"/>
          <w:b/>
        </w:rPr>
      </w:pPr>
    </w:p>
    <w:p w:rsidRPr="000E0F6B" w:rsidR="00D32557" w:rsidP="000E0F6B" w:rsidRDefault="00D32557" w14:paraId="743656EC" w14:textId="741282E4">
      <w:pPr>
        <w:pStyle w:val="Default"/>
        <w:rPr>
          <w:rFonts w:ascii="Times New Roman" w:hAnsi="Times New Roman" w:cs="Times New Roman"/>
          <w:bCs/>
        </w:rPr>
      </w:pPr>
      <w:r w:rsidRPr="000E0F6B">
        <w:rPr>
          <w:rFonts w:ascii="Times New Roman" w:hAnsi="Times New Roman" w:cs="Times New Roman"/>
          <w:bCs/>
        </w:rPr>
        <w:t xml:space="preserve">De vaste commissie voor Onderwijs, Cultuur en Wetenschap (hierna: de commissie) heeft de leden </w:t>
      </w:r>
      <w:proofErr w:type="spellStart"/>
      <w:r w:rsidRPr="000E0F6B">
        <w:rPr>
          <w:rFonts w:ascii="Times New Roman" w:hAnsi="Times New Roman" w:cs="Times New Roman"/>
          <w:bCs/>
        </w:rPr>
        <w:t>Stultiens</w:t>
      </w:r>
      <w:proofErr w:type="spellEnd"/>
      <w:r w:rsidRPr="000E0F6B">
        <w:rPr>
          <w:rFonts w:ascii="Times New Roman" w:hAnsi="Times New Roman" w:cs="Times New Roman"/>
          <w:bCs/>
        </w:rPr>
        <w:t xml:space="preserve"> (GroenLinks-PvdA) en Heite (NSC) aangewezen als rapporteurs voor het Jaarverslag OCW 2024.</w:t>
      </w:r>
      <w:r w:rsidRPr="000E0F6B">
        <w:rPr>
          <w:rFonts w:ascii="Times New Roman" w:hAnsi="Times New Roman" w:cs="Times New Roman"/>
          <w:bCs/>
          <w:vertAlign w:val="superscript"/>
        </w:rPr>
        <w:footnoteReference w:id="2"/>
      </w:r>
      <w:r w:rsidRPr="000E0F6B">
        <w:rPr>
          <w:rFonts w:ascii="Times New Roman" w:hAnsi="Times New Roman" w:cs="Times New Roman"/>
          <w:bCs/>
        </w:rPr>
        <w:t xml:space="preserve"> De focus van het onderzoek van de rapporteurs lag, naast een financiële beschouwing, op de relatie tussen de doelen, maatregelen, middelen en prestaties van het beleid. De rapporteurs hebben daarvoor dankbaar gebruik gemaakt van de bevindingen van de Algemene Rekenkamer uit het Verantwoordingsonderzoek.</w:t>
      </w:r>
      <w:r w:rsidRPr="000E0F6B">
        <w:rPr>
          <w:rFonts w:ascii="Times New Roman" w:hAnsi="Times New Roman" w:cs="Times New Roman"/>
          <w:bCs/>
          <w:vertAlign w:val="superscript"/>
        </w:rPr>
        <w:footnoteReference w:id="3"/>
      </w:r>
      <w:r w:rsidRPr="000E0F6B">
        <w:rPr>
          <w:rFonts w:ascii="Times New Roman" w:hAnsi="Times New Roman" w:cs="Times New Roman"/>
          <w:bCs/>
        </w:rPr>
        <w:t xml:space="preserve"> Daarnaast hebben de rapporteurs gekeken naar de uitkomsten van beleidsevaluaties, en de voor OCW relevante doelstellingen, het beleid en de resultaten op het terrein van brede welvaart.</w:t>
      </w:r>
    </w:p>
    <w:p w:rsidRPr="000E0F6B" w:rsidR="00D32557" w:rsidP="000E0F6B" w:rsidRDefault="00D32557" w14:paraId="63B19B09" w14:textId="77777777">
      <w:pPr>
        <w:pStyle w:val="Default"/>
        <w:rPr>
          <w:rFonts w:ascii="Times New Roman" w:hAnsi="Times New Roman" w:cs="Times New Roman"/>
          <w:bCs/>
        </w:rPr>
      </w:pPr>
    </w:p>
    <w:p w:rsidRPr="000E0F6B" w:rsidR="00D32557" w:rsidP="000E0F6B" w:rsidRDefault="00D32557" w14:paraId="2F95997D" w14:textId="77777777">
      <w:pPr>
        <w:pStyle w:val="Default"/>
        <w:rPr>
          <w:rFonts w:ascii="Times New Roman" w:hAnsi="Times New Roman" w:cs="Times New Roman"/>
          <w:bCs/>
        </w:rPr>
      </w:pPr>
      <w:r w:rsidRPr="000E0F6B">
        <w:rPr>
          <w:rFonts w:ascii="Times New Roman" w:hAnsi="Times New Roman" w:cs="Times New Roman"/>
          <w:bCs/>
        </w:rPr>
        <w:t>Ondanks dat de cijfers volgens de Algemene Rekenkamer op totaalniveau kloppen en het geld volgens de regels is besteed, zijn er in de verantwoordingsstukken nog wel verbeteringen mogelijk ten aanzien van bijvoorbeeld de bedrijfsvoering en de doeltreffendheids- en doelmatigheidsinformatie. De leden van de commissie geven op basis van het begrotingsonderzoek de volgende vijf aandachtspunten mee voor de begroting 2026, met het oog op een goede besteding van publiek geld.</w:t>
      </w:r>
    </w:p>
    <w:p w:rsidRPr="000E0F6B" w:rsidR="00D32557" w:rsidP="000E0F6B" w:rsidRDefault="00D32557" w14:paraId="192E157F" w14:textId="77777777">
      <w:pPr>
        <w:pStyle w:val="Default"/>
        <w:rPr>
          <w:rFonts w:ascii="Times New Roman" w:hAnsi="Times New Roman" w:cs="Times New Roman"/>
          <w:bCs/>
        </w:rPr>
      </w:pPr>
    </w:p>
    <w:p w:rsidR="002A55D6" w:rsidRDefault="002A55D6" w14:paraId="5A14DABA" w14:textId="77777777">
      <w:pPr>
        <w:spacing w:after="160" w:line="259" w:lineRule="auto"/>
        <w:rPr>
          <w:bCs/>
          <w:i/>
          <w:iCs/>
          <w:color w:val="000000"/>
        </w:rPr>
      </w:pPr>
      <w:r>
        <w:rPr>
          <w:bCs/>
          <w:i/>
          <w:iCs/>
        </w:rPr>
        <w:br w:type="page"/>
      </w:r>
    </w:p>
    <w:p w:rsidRPr="000E0F6B" w:rsidR="00D32557" w:rsidP="000E0F6B" w:rsidRDefault="00D32557" w14:paraId="17FB6EBF" w14:textId="7F5E2741">
      <w:pPr>
        <w:pStyle w:val="Default"/>
        <w:rPr>
          <w:rFonts w:ascii="Times New Roman" w:hAnsi="Times New Roman" w:cs="Times New Roman"/>
          <w:bCs/>
          <w:i/>
          <w:iCs/>
        </w:rPr>
      </w:pPr>
      <w:r w:rsidRPr="000E0F6B">
        <w:rPr>
          <w:rFonts w:ascii="Times New Roman" w:hAnsi="Times New Roman" w:cs="Times New Roman"/>
          <w:bCs/>
          <w:i/>
          <w:iCs/>
        </w:rPr>
        <w:t>Aandachtspunten bij de uitvoerbaarheid van bekostiging en beleid</w:t>
      </w:r>
    </w:p>
    <w:p w:rsidRPr="000E0F6B" w:rsidR="00D32557" w:rsidP="000E0F6B" w:rsidRDefault="00D32557" w14:paraId="23D4656A" w14:textId="77777777">
      <w:pPr>
        <w:pStyle w:val="Default"/>
        <w:rPr>
          <w:rFonts w:ascii="Times New Roman" w:hAnsi="Times New Roman" w:cs="Times New Roman"/>
          <w:bCs/>
        </w:rPr>
      </w:pPr>
      <w:r w:rsidRPr="000E0F6B">
        <w:rPr>
          <w:rFonts w:ascii="Times New Roman" w:hAnsi="Times New Roman" w:cs="Times New Roman"/>
          <w:bCs/>
        </w:rPr>
        <w:t>De leden van de commissie hebben kennisgenomen van de bevindingen van de Algemene Rekenkamer ten aanzien van de bedrijfsvoering van het departement. Allereerst zijn deze leden verheugd te lezen dat DUO het autorisatiebeheer voldoende op orde heeft gebracht.</w:t>
      </w:r>
      <w:r w:rsidRPr="000E0F6B">
        <w:rPr>
          <w:rFonts w:ascii="Times New Roman" w:hAnsi="Times New Roman" w:cs="Times New Roman"/>
          <w:bCs/>
          <w:vertAlign w:val="superscript"/>
        </w:rPr>
        <w:footnoteReference w:id="4"/>
      </w:r>
    </w:p>
    <w:p w:rsidRPr="000E0F6B" w:rsidR="00D32557" w:rsidP="000E0F6B" w:rsidRDefault="00D32557" w14:paraId="264346B0" w14:textId="77777777">
      <w:pPr>
        <w:pStyle w:val="Default"/>
        <w:rPr>
          <w:rFonts w:ascii="Times New Roman" w:hAnsi="Times New Roman" w:cs="Times New Roman"/>
          <w:bCs/>
        </w:rPr>
      </w:pPr>
    </w:p>
    <w:p w:rsidRPr="000E0F6B" w:rsidR="00D32557" w:rsidP="000E0F6B" w:rsidRDefault="00D32557" w14:paraId="7DFB83BC" w14:textId="200D3C20">
      <w:pPr>
        <w:pStyle w:val="Default"/>
        <w:rPr>
          <w:rFonts w:ascii="Times New Roman" w:hAnsi="Times New Roman" w:cs="Times New Roman"/>
          <w:bCs/>
        </w:rPr>
      </w:pPr>
      <w:r w:rsidRPr="000E0F6B">
        <w:rPr>
          <w:rFonts w:ascii="Times New Roman" w:hAnsi="Times New Roman" w:cs="Times New Roman"/>
          <w:bCs/>
        </w:rPr>
        <w:t>Bij het beleid ten aanzien van misbruik en oneigenlijk gebruik (M&amp;O-beleid) constateert de Algemene Rekenkamer een nieuwe onvolkomenheid. Het gaat om het M&amp;O-beleid op het terrein van de bekostiging aan scholen (lumpsum). Zo heeft de Algemene Rekenkamer onder andere opgemerkt dat het zou kunnen voorkomen dat scholen voor leerlingen in het speciaal onderwijs een hogere ondersteuningscategorie aanvragen dan nodig is.</w:t>
      </w:r>
      <w:r w:rsidRPr="000E0F6B">
        <w:rPr>
          <w:rFonts w:ascii="Times New Roman" w:hAnsi="Times New Roman" w:cs="Times New Roman"/>
          <w:bCs/>
          <w:vertAlign w:val="superscript"/>
        </w:rPr>
        <w:footnoteReference w:id="5"/>
      </w:r>
      <w:r w:rsidRPr="000E0F6B">
        <w:rPr>
          <w:rFonts w:ascii="Times New Roman" w:hAnsi="Times New Roman" w:cs="Times New Roman"/>
          <w:bCs/>
        </w:rPr>
        <w:t xml:space="preserve"> De Algemene Rekenkamer suggereert dat de minister een inhoudelijke controle kan laten uitvoeren op de bekostiging door DUO of de Inspectie van het Onderwijs </w:t>
      </w:r>
      <w:r w:rsidRPr="000E0F6B" w:rsidR="00876B49">
        <w:rPr>
          <w:rFonts w:ascii="Times New Roman" w:hAnsi="Times New Roman" w:cs="Times New Roman"/>
          <w:bCs/>
        </w:rPr>
        <w:t xml:space="preserve">(hierna: de inspectie) </w:t>
      </w:r>
      <w:r w:rsidRPr="000E0F6B">
        <w:rPr>
          <w:rFonts w:ascii="Times New Roman" w:hAnsi="Times New Roman" w:cs="Times New Roman"/>
          <w:bCs/>
        </w:rPr>
        <w:t>en dat dit mogelijk een wetswijziging vereist. Het wordt uit het onderzoek van de Algemene Rekenkamer niet duidelijk hoe deze inhoudelijke controle er precies uit zou moeten zien en wat de wetswijziging behelst. In zijn reactie geeft de minister aan dat hij nog beziet hoe invulling gegeven kan worden aan deze bevinding van de Algemene Rekenkamer.</w:t>
      </w:r>
      <w:r w:rsidRPr="000E0F6B">
        <w:rPr>
          <w:rFonts w:ascii="Times New Roman" w:hAnsi="Times New Roman" w:cs="Times New Roman"/>
          <w:bCs/>
          <w:vertAlign w:val="superscript"/>
        </w:rPr>
        <w:footnoteReference w:id="6"/>
      </w:r>
      <w:r w:rsidRPr="000E0F6B">
        <w:rPr>
          <w:rFonts w:ascii="Times New Roman" w:hAnsi="Times New Roman" w:cs="Times New Roman"/>
          <w:bCs/>
        </w:rPr>
        <w:t xml:space="preserve"> De leden van de commissie vragen welke mogelijkheden en knelpunten de minister en staatssecretaris zien voor het controleren van de juistheid van de aangevraagde ondersteuningscategorieën door scholen.</w:t>
      </w:r>
    </w:p>
    <w:p w:rsidRPr="000E0F6B" w:rsidR="00D32557" w:rsidP="000E0F6B" w:rsidRDefault="00D32557" w14:paraId="34F9AD2C" w14:textId="77777777">
      <w:pPr>
        <w:pStyle w:val="Default"/>
        <w:rPr>
          <w:rFonts w:ascii="Times New Roman" w:hAnsi="Times New Roman" w:cs="Times New Roman"/>
          <w:bCs/>
        </w:rPr>
      </w:pPr>
    </w:p>
    <w:p w:rsidRPr="000E0F6B" w:rsidR="00D32557" w:rsidP="000E0F6B" w:rsidRDefault="00D32557" w14:paraId="69753DC9" w14:textId="77777777">
      <w:pPr>
        <w:pStyle w:val="Default"/>
        <w:rPr>
          <w:rFonts w:ascii="Times New Roman" w:hAnsi="Times New Roman" w:cs="Times New Roman"/>
          <w:bCs/>
        </w:rPr>
      </w:pPr>
      <w:r w:rsidRPr="000E0F6B">
        <w:rPr>
          <w:rFonts w:ascii="Times New Roman" w:hAnsi="Times New Roman" w:cs="Times New Roman"/>
          <w:bCs/>
        </w:rPr>
        <w:t xml:space="preserve">Het kabinet en de Algemene Rekenkamer zijn door de Kamer verzocht in de </w:t>
      </w:r>
    </w:p>
    <w:p w:rsidRPr="000E0F6B" w:rsidR="00D32557" w:rsidP="000E0F6B" w:rsidRDefault="00D32557" w14:paraId="51D028D3" w14:textId="77777777">
      <w:pPr>
        <w:pStyle w:val="Default"/>
        <w:rPr>
          <w:rFonts w:ascii="Times New Roman" w:hAnsi="Times New Roman" w:cs="Times New Roman"/>
          <w:bCs/>
        </w:rPr>
      </w:pPr>
      <w:r w:rsidRPr="000E0F6B">
        <w:rPr>
          <w:rFonts w:ascii="Times New Roman" w:hAnsi="Times New Roman" w:cs="Times New Roman"/>
          <w:bCs/>
        </w:rPr>
        <w:t xml:space="preserve">verantwoordingsstukken extra aandacht te besteden aan de afwegingen die bij het </w:t>
      </w:r>
    </w:p>
    <w:p w:rsidRPr="000E0F6B" w:rsidR="00D32557" w:rsidP="000E0F6B" w:rsidRDefault="00D32557" w14:paraId="39BB1A91" w14:textId="77777777">
      <w:pPr>
        <w:pStyle w:val="Default"/>
        <w:rPr>
          <w:rFonts w:ascii="Times New Roman" w:hAnsi="Times New Roman" w:cs="Times New Roman"/>
          <w:bCs/>
        </w:rPr>
      </w:pPr>
      <w:r w:rsidRPr="000E0F6B">
        <w:rPr>
          <w:rFonts w:ascii="Times New Roman" w:hAnsi="Times New Roman" w:cs="Times New Roman"/>
          <w:bCs/>
        </w:rPr>
        <w:t>prioriteren van beleid zijn gemaakt over de inzet van capaciteit.</w:t>
      </w:r>
      <w:r w:rsidRPr="000E0F6B">
        <w:rPr>
          <w:rFonts w:ascii="Times New Roman" w:hAnsi="Times New Roman" w:cs="Times New Roman"/>
          <w:bCs/>
          <w:vertAlign w:val="superscript"/>
        </w:rPr>
        <w:footnoteReference w:id="7"/>
      </w:r>
      <w:r w:rsidRPr="000E0F6B">
        <w:rPr>
          <w:rFonts w:ascii="Times New Roman" w:hAnsi="Times New Roman" w:cs="Times New Roman"/>
          <w:bCs/>
        </w:rPr>
        <w:t xml:space="preserve"> Daarbij staat de vraag </w:t>
      </w:r>
    </w:p>
    <w:p w:rsidRPr="000E0F6B" w:rsidR="00D32557" w:rsidP="000E0F6B" w:rsidRDefault="00D32557" w14:paraId="59F70670" w14:textId="2CCF6371">
      <w:pPr>
        <w:pStyle w:val="Default"/>
        <w:rPr>
          <w:rFonts w:ascii="Times New Roman" w:hAnsi="Times New Roman" w:cs="Times New Roman"/>
          <w:bCs/>
        </w:rPr>
      </w:pPr>
      <w:r w:rsidRPr="000E0F6B">
        <w:rPr>
          <w:rFonts w:ascii="Times New Roman" w:hAnsi="Times New Roman" w:cs="Times New Roman"/>
          <w:bCs/>
        </w:rPr>
        <w:t xml:space="preserve">centraal wat, gegeven de druk op de uitvoering en de arbeidsmarkt, haalbaar is aan beleid. Binnen de OCW-begroting is er €908 miljoen aan </w:t>
      </w:r>
      <w:proofErr w:type="spellStart"/>
      <w:r w:rsidRPr="000E0F6B">
        <w:rPr>
          <w:rFonts w:ascii="Times New Roman" w:hAnsi="Times New Roman" w:cs="Times New Roman"/>
          <w:bCs/>
        </w:rPr>
        <w:t>onderuitputting</w:t>
      </w:r>
      <w:proofErr w:type="spellEnd"/>
      <w:r w:rsidRPr="000E0F6B">
        <w:rPr>
          <w:rFonts w:ascii="Times New Roman" w:hAnsi="Times New Roman" w:cs="Times New Roman"/>
          <w:bCs/>
        </w:rPr>
        <w:t xml:space="preserve"> over het jaar 2024.</w:t>
      </w:r>
      <w:r w:rsidRPr="000E0F6B">
        <w:rPr>
          <w:rFonts w:ascii="Times New Roman" w:hAnsi="Times New Roman" w:cs="Times New Roman"/>
          <w:bCs/>
          <w:vertAlign w:val="superscript"/>
        </w:rPr>
        <w:footnoteReference w:id="8"/>
      </w:r>
      <w:r w:rsidRPr="000E0F6B">
        <w:rPr>
          <w:rFonts w:ascii="Times New Roman" w:hAnsi="Times New Roman" w:cs="Times New Roman"/>
          <w:bCs/>
        </w:rPr>
        <w:t xml:space="preserve"> De leden van de commissie lezen in het jaarverslag dat de </w:t>
      </w:r>
      <w:proofErr w:type="spellStart"/>
      <w:r w:rsidRPr="000E0F6B">
        <w:rPr>
          <w:rFonts w:ascii="Times New Roman" w:hAnsi="Times New Roman" w:cs="Times New Roman"/>
          <w:bCs/>
        </w:rPr>
        <w:t>onderuitputting</w:t>
      </w:r>
      <w:proofErr w:type="spellEnd"/>
      <w:r w:rsidRPr="000E0F6B">
        <w:rPr>
          <w:rFonts w:ascii="Times New Roman" w:hAnsi="Times New Roman" w:cs="Times New Roman"/>
          <w:bCs/>
        </w:rPr>
        <w:t xml:space="preserve"> </w:t>
      </w:r>
      <w:proofErr w:type="spellStart"/>
      <w:r w:rsidRPr="000E0F6B">
        <w:rPr>
          <w:rFonts w:ascii="Times New Roman" w:hAnsi="Times New Roman" w:cs="Times New Roman"/>
          <w:bCs/>
        </w:rPr>
        <w:t>hoofdzakelĳk</w:t>
      </w:r>
      <w:proofErr w:type="spellEnd"/>
      <w:r w:rsidRPr="000E0F6B">
        <w:rPr>
          <w:rFonts w:ascii="Times New Roman" w:hAnsi="Times New Roman" w:cs="Times New Roman"/>
          <w:bCs/>
        </w:rPr>
        <w:t xml:space="preserve"> plaatsvindt op subsidiebudgetten, </w:t>
      </w:r>
      <w:proofErr w:type="spellStart"/>
      <w:r w:rsidRPr="000E0F6B">
        <w:rPr>
          <w:rFonts w:ascii="Times New Roman" w:hAnsi="Times New Roman" w:cs="Times New Roman"/>
          <w:bCs/>
        </w:rPr>
        <w:t>voornamelĳk</w:t>
      </w:r>
      <w:proofErr w:type="spellEnd"/>
      <w:r w:rsidRPr="000E0F6B">
        <w:rPr>
          <w:rFonts w:ascii="Times New Roman" w:hAnsi="Times New Roman" w:cs="Times New Roman"/>
          <w:bCs/>
        </w:rPr>
        <w:t xml:space="preserve"> binnen het funderend </w:t>
      </w:r>
      <w:proofErr w:type="spellStart"/>
      <w:r w:rsidRPr="000E0F6B">
        <w:rPr>
          <w:rFonts w:ascii="Times New Roman" w:hAnsi="Times New Roman" w:cs="Times New Roman"/>
          <w:bCs/>
        </w:rPr>
        <w:t>onderwĳs</w:t>
      </w:r>
      <w:proofErr w:type="spellEnd"/>
      <w:r w:rsidRPr="000E0F6B">
        <w:rPr>
          <w:rFonts w:ascii="Times New Roman" w:hAnsi="Times New Roman" w:cs="Times New Roman"/>
          <w:bCs/>
        </w:rPr>
        <w:t xml:space="preserve"> met de grootste meevallers op de regelingen School en Omgeving (minder aanvragen door complexiteit i.c.m. beperkte doelgroep), </w:t>
      </w:r>
      <w:proofErr w:type="spellStart"/>
      <w:r w:rsidRPr="000E0F6B">
        <w:rPr>
          <w:rFonts w:ascii="Times New Roman" w:hAnsi="Times New Roman" w:cs="Times New Roman"/>
          <w:bCs/>
        </w:rPr>
        <w:t>Schoolmaaltĳden</w:t>
      </w:r>
      <w:proofErr w:type="spellEnd"/>
      <w:r w:rsidRPr="000E0F6B">
        <w:rPr>
          <w:rFonts w:ascii="Times New Roman" w:hAnsi="Times New Roman" w:cs="Times New Roman"/>
          <w:bCs/>
        </w:rPr>
        <w:t xml:space="preserve"> (minder aanvragen en minder budget per leerling) en </w:t>
      </w:r>
      <w:proofErr w:type="spellStart"/>
      <w:r w:rsidRPr="000E0F6B">
        <w:rPr>
          <w:rFonts w:ascii="Times New Roman" w:hAnsi="Times New Roman" w:cs="Times New Roman"/>
          <w:bCs/>
        </w:rPr>
        <w:t>Maatschappelĳke</w:t>
      </w:r>
      <w:proofErr w:type="spellEnd"/>
      <w:r w:rsidRPr="000E0F6B">
        <w:rPr>
          <w:rFonts w:ascii="Times New Roman" w:hAnsi="Times New Roman" w:cs="Times New Roman"/>
          <w:bCs/>
        </w:rPr>
        <w:t xml:space="preserve"> </w:t>
      </w:r>
      <w:proofErr w:type="spellStart"/>
      <w:r w:rsidRPr="000E0F6B">
        <w:rPr>
          <w:rFonts w:ascii="Times New Roman" w:hAnsi="Times New Roman" w:cs="Times New Roman"/>
          <w:bCs/>
        </w:rPr>
        <w:t>Diensttĳd</w:t>
      </w:r>
      <w:proofErr w:type="spellEnd"/>
      <w:r w:rsidRPr="000E0F6B">
        <w:rPr>
          <w:rFonts w:ascii="Times New Roman" w:hAnsi="Times New Roman" w:cs="Times New Roman"/>
          <w:bCs/>
        </w:rPr>
        <w:t xml:space="preserve"> (</w:t>
      </w:r>
      <w:proofErr w:type="spellStart"/>
      <w:r w:rsidRPr="000E0F6B">
        <w:rPr>
          <w:rFonts w:ascii="Times New Roman" w:hAnsi="Times New Roman" w:cs="Times New Roman"/>
          <w:bCs/>
        </w:rPr>
        <w:t>ingroeipad</w:t>
      </w:r>
      <w:proofErr w:type="spellEnd"/>
      <w:r w:rsidRPr="000E0F6B">
        <w:rPr>
          <w:rFonts w:ascii="Times New Roman" w:hAnsi="Times New Roman" w:cs="Times New Roman"/>
          <w:bCs/>
        </w:rPr>
        <w:t xml:space="preserve"> en onzekerheid over toekomst </w:t>
      </w:r>
      <w:r w:rsidRPr="000E0F6B" w:rsidR="00103F20">
        <w:rPr>
          <w:rFonts w:ascii="Times New Roman" w:hAnsi="Times New Roman" w:cs="Times New Roman"/>
          <w:bCs/>
        </w:rPr>
        <w:t>p</w:t>
      </w:r>
      <w:r w:rsidRPr="000E0F6B">
        <w:rPr>
          <w:rFonts w:ascii="Times New Roman" w:hAnsi="Times New Roman" w:cs="Times New Roman"/>
          <w:bCs/>
        </w:rPr>
        <w:t>rogramma).</w:t>
      </w:r>
      <w:r w:rsidRPr="000E0F6B">
        <w:rPr>
          <w:rFonts w:ascii="Times New Roman" w:hAnsi="Times New Roman" w:cs="Times New Roman"/>
          <w:bCs/>
          <w:vertAlign w:val="superscript"/>
        </w:rPr>
        <w:footnoteReference w:id="9"/>
      </w:r>
      <w:r w:rsidRPr="000E0F6B">
        <w:rPr>
          <w:rFonts w:ascii="Times New Roman" w:hAnsi="Times New Roman" w:cs="Times New Roman"/>
          <w:bCs/>
        </w:rPr>
        <w:t xml:space="preserve"> De leden van de commissie vragen of de regeling voor School en Omgeving wordt aangepast. Wordt deze minder complex gemaakt en/of krijgt deze een groter bereik?</w:t>
      </w:r>
    </w:p>
    <w:p w:rsidRPr="000E0F6B" w:rsidR="00D32557" w:rsidP="000E0F6B" w:rsidRDefault="00D32557" w14:paraId="74BEE7C0" w14:textId="77777777">
      <w:pPr>
        <w:pStyle w:val="Default"/>
        <w:rPr>
          <w:rFonts w:ascii="Times New Roman" w:hAnsi="Times New Roman" w:cs="Times New Roman"/>
          <w:bCs/>
        </w:rPr>
      </w:pPr>
    </w:p>
    <w:p w:rsidRPr="000E0F6B" w:rsidR="00D32557" w:rsidP="000E0F6B" w:rsidRDefault="00D32557" w14:paraId="5ACDB49F" w14:textId="77777777">
      <w:pPr>
        <w:pStyle w:val="Default"/>
        <w:rPr>
          <w:rFonts w:ascii="Times New Roman" w:hAnsi="Times New Roman" w:cs="Times New Roman"/>
          <w:bCs/>
        </w:rPr>
      </w:pPr>
      <w:r w:rsidRPr="000E0F6B">
        <w:rPr>
          <w:rFonts w:ascii="Times New Roman" w:hAnsi="Times New Roman" w:cs="Times New Roman"/>
          <w:bCs/>
        </w:rPr>
        <w:t xml:space="preserve">De </w:t>
      </w:r>
      <w:proofErr w:type="spellStart"/>
      <w:r w:rsidRPr="000E0F6B">
        <w:rPr>
          <w:rFonts w:ascii="Times New Roman" w:hAnsi="Times New Roman" w:cs="Times New Roman"/>
          <w:bCs/>
        </w:rPr>
        <w:t>onderuitputting</w:t>
      </w:r>
      <w:proofErr w:type="spellEnd"/>
      <w:r w:rsidRPr="000E0F6B">
        <w:rPr>
          <w:rFonts w:ascii="Times New Roman" w:hAnsi="Times New Roman" w:cs="Times New Roman"/>
          <w:bCs/>
        </w:rPr>
        <w:t xml:space="preserve"> op de apparaatskosten van OCW (ruim €21 miljoen) wordt volgens de minister met name veroorzaakt door een meevaller op het budget van het personeel. Naast incidentele meevallers wordt de </w:t>
      </w:r>
      <w:proofErr w:type="spellStart"/>
      <w:r w:rsidRPr="000E0F6B">
        <w:rPr>
          <w:rFonts w:ascii="Times New Roman" w:hAnsi="Times New Roman" w:cs="Times New Roman"/>
          <w:bCs/>
        </w:rPr>
        <w:t>onderuitputting</w:t>
      </w:r>
      <w:proofErr w:type="spellEnd"/>
      <w:r w:rsidRPr="000E0F6B">
        <w:rPr>
          <w:rFonts w:ascii="Times New Roman" w:hAnsi="Times New Roman" w:cs="Times New Roman"/>
          <w:bCs/>
        </w:rPr>
        <w:t xml:space="preserve"> ook veroorzaakt door overschotten </w:t>
      </w:r>
      <w:proofErr w:type="spellStart"/>
      <w:r w:rsidRPr="000E0F6B">
        <w:rPr>
          <w:rFonts w:ascii="Times New Roman" w:hAnsi="Times New Roman" w:cs="Times New Roman"/>
          <w:bCs/>
        </w:rPr>
        <w:t>bĳ</w:t>
      </w:r>
      <w:proofErr w:type="spellEnd"/>
      <w:r w:rsidRPr="000E0F6B">
        <w:rPr>
          <w:rFonts w:ascii="Times New Roman" w:hAnsi="Times New Roman" w:cs="Times New Roman"/>
          <w:bCs/>
        </w:rPr>
        <w:t xml:space="preserve"> onderdelen van het ministerie van OCW, deels veroorzaakt doordat vacatures </w:t>
      </w:r>
      <w:proofErr w:type="spellStart"/>
      <w:r w:rsidRPr="000E0F6B">
        <w:rPr>
          <w:rFonts w:ascii="Times New Roman" w:hAnsi="Times New Roman" w:cs="Times New Roman"/>
          <w:bCs/>
        </w:rPr>
        <w:t>moeilĳk</w:t>
      </w:r>
      <w:proofErr w:type="spellEnd"/>
      <w:r w:rsidRPr="000E0F6B">
        <w:rPr>
          <w:rFonts w:ascii="Times New Roman" w:hAnsi="Times New Roman" w:cs="Times New Roman"/>
          <w:bCs/>
        </w:rPr>
        <w:t xml:space="preserve"> of niet te vervullen </w:t>
      </w:r>
      <w:proofErr w:type="spellStart"/>
      <w:r w:rsidRPr="000E0F6B">
        <w:rPr>
          <w:rFonts w:ascii="Times New Roman" w:hAnsi="Times New Roman" w:cs="Times New Roman"/>
          <w:bCs/>
        </w:rPr>
        <w:t>zĳn</w:t>
      </w:r>
      <w:proofErr w:type="spellEnd"/>
      <w:r w:rsidRPr="000E0F6B">
        <w:rPr>
          <w:rFonts w:ascii="Times New Roman" w:hAnsi="Times New Roman" w:cs="Times New Roman"/>
          <w:bCs/>
        </w:rPr>
        <w:t>, zo lezen de leden van de commissie. Op welke onderdelen van het kerndepartement OCW zijn vacatures moeilijk of niet te vervullen? Hoe wordt daarmee omgegaan (bijvoorbeeld door externe inhuur of afschalen beleid/uitvoering)?</w:t>
      </w:r>
    </w:p>
    <w:p w:rsidRPr="000E0F6B" w:rsidR="00D32557" w:rsidP="000E0F6B" w:rsidRDefault="00D32557" w14:paraId="20972BFA" w14:textId="77777777">
      <w:pPr>
        <w:pStyle w:val="Default"/>
        <w:rPr>
          <w:rFonts w:ascii="Times New Roman" w:hAnsi="Times New Roman" w:cs="Times New Roman"/>
          <w:bCs/>
        </w:rPr>
      </w:pPr>
    </w:p>
    <w:p w:rsidR="002A55D6" w:rsidRDefault="002A55D6" w14:paraId="4D5DC266" w14:textId="77777777">
      <w:pPr>
        <w:spacing w:after="160" w:line="259" w:lineRule="auto"/>
        <w:rPr>
          <w:bCs/>
          <w:i/>
          <w:iCs/>
          <w:color w:val="000000"/>
        </w:rPr>
      </w:pPr>
      <w:r>
        <w:rPr>
          <w:bCs/>
          <w:i/>
          <w:iCs/>
        </w:rPr>
        <w:br w:type="page"/>
      </w:r>
    </w:p>
    <w:p w:rsidRPr="000E0F6B" w:rsidR="00D32557" w:rsidP="000E0F6B" w:rsidRDefault="00D32557" w14:paraId="627EE518" w14:textId="6D1803FC">
      <w:pPr>
        <w:pStyle w:val="Default"/>
        <w:rPr>
          <w:rFonts w:ascii="Times New Roman" w:hAnsi="Times New Roman" w:cs="Times New Roman"/>
          <w:bCs/>
          <w:i/>
          <w:iCs/>
        </w:rPr>
      </w:pPr>
      <w:r w:rsidRPr="000E0F6B">
        <w:rPr>
          <w:rFonts w:ascii="Times New Roman" w:hAnsi="Times New Roman" w:cs="Times New Roman"/>
          <w:bCs/>
          <w:i/>
          <w:iCs/>
        </w:rPr>
        <w:t>Veranderende beleidsdoelen en definities bij opeenvolgende kabinetten en de navolgbaarheid voor de Tweede Kamer</w:t>
      </w:r>
    </w:p>
    <w:p w:rsidRPr="000E0F6B" w:rsidR="00D32557" w:rsidP="000E0F6B" w:rsidRDefault="00D32557" w14:paraId="3927AA4D" w14:textId="77777777">
      <w:pPr>
        <w:pStyle w:val="Default"/>
        <w:rPr>
          <w:rFonts w:ascii="Times New Roman" w:hAnsi="Times New Roman" w:cs="Times New Roman"/>
          <w:bCs/>
        </w:rPr>
      </w:pPr>
      <w:r w:rsidRPr="000E0F6B">
        <w:rPr>
          <w:rFonts w:ascii="Times New Roman" w:hAnsi="Times New Roman" w:cs="Times New Roman"/>
          <w:bCs/>
        </w:rPr>
        <w:t xml:space="preserve">De leden van de commissie constateren dat het afgelopen begrotingsjaar over twee kabinetten werd verdeeld. De ontwerpbegroting werd opgesteld door het kabinet Rutte-IV en het jaarverslag door het kabinet-Schoof. Tussentijds werden nieuwe beleidsplannen gemaakt en diverse financiële maatregelen genomen. Deze leden vragen aandacht voor het expliciet heroverwegen van definities, doelen (ambities) en doelgroepen als beleid verandert, zodat het beleid goed navolgbaar blijft en de resultaten inzichtelijk gemaakt kunnen worden. Zij brengen in dit verband twee beleidsonderwerpen onder de aandacht: het beleid voor kansengelijkheid en het Fonds Onderzoek en Wetenschap. </w:t>
      </w:r>
    </w:p>
    <w:p w:rsidRPr="000E0F6B" w:rsidR="00D32557" w:rsidP="000E0F6B" w:rsidRDefault="00D32557" w14:paraId="41BD2AFB" w14:textId="77777777">
      <w:pPr>
        <w:pStyle w:val="Default"/>
        <w:rPr>
          <w:rFonts w:ascii="Times New Roman" w:hAnsi="Times New Roman" w:cs="Times New Roman"/>
          <w:bCs/>
        </w:rPr>
      </w:pPr>
    </w:p>
    <w:p w:rsidRPr="000E0F6B" w:rsidR="00D32557" w:rsidP="000E0F6B" w:rsidRDefault="00D32557" w14:paraId="1126C550" w14:textId="77777777">
      <w:pPr>
        <w:pStyle w:val="Default"/>
        <w:rPr>
          <w:rFonts w:ascii="Times New Roman" w:hAnsi="Times New Roman" w:cs="Times New Roman"/>
          <w:bCs/>
        </w:rPr>
      </w:pPr>
      <w:r w:rsidRPr="000E0F6B">
        <w:rPr>
          <w:rFonts w:ascii="Times New Roman" w:hAnsi="Times New Roman" w:cs="Times New Roman"/>
          <w:bCs/>
        </w:rPr>
        <w:t>Ten aanzien van het beleid voor kansengelijkheid constateert de Algemene Rekenkamer dat definities, doelen en doelgroepen in het mbo-beleid voor kansengelijkheid nog steeds niet benoemd zijn, waardoor het lastig wordt de doeltreffendheid van het beleid te beoordelen.</w:t>
      </w:r>
      <w:r w:rsidRPr="000E0F6B">
        <w:rPr>
          <w:rFonts w:ascii="Times New Roman" w:hAnsi="Times New Roman" w:cs="Times New Roman"/>
          <w:bCs/>
          <w:vertAlign w:val="superscript"/>
        </w:rPr>
        <w:footnoteReference w:id="10"/>
      </w:r>
      <w:r w:rsidRPr="000E0F6B">
        <w:rPr>
          <w:rFonts w:ascii="Times New Roman" w:hAnsi="Times New Roman" w:cs="Times New Roman"/>
          <w:bCs/>
        </w:rPr>
        <w:t xml:space="preserve"> Graag een reactie van de minister op dit punt. Bij het programma Maatschappelijke Diensttijd (MDT) vraagt de Algemene Rekenkamer zich eveneens af in hoeverre dit programma bijdraagt aan de beleidsprioriteit van het ministerie.</w:t>
      </w:r>
      <w:r w:rsidRPr="000E0F6B">
        <w:rPr>
          <w:rFonts w:ascii="Times New Roman" w:hAnsi="Times New Roman" w:cs="Times New Roman"/>
          <w:bCs/>
          <w:vertAlign w:val="superscript"/>
        </w:rPr>
        <w:footnoteReference w:id="11"/>
      </w:r>
      <w:r w:rsidRPr="000E0F6B">
        <w:rPr>
          <w:rFonts w:ascii="Times New Roman" w:hAnsi="Times New Roman" w:cs="Times New Roman"/>
          <w:bCs/>
        </w:rPr>
        <w:t xml:space="preserve"> Wat is de reactie van beide bewindspersonen op dit punt? </w:t>
      </w:r>
    </w:p>
    <w:p w:rsidRPr="000E0F6B" w:rsidR="00D32557" w:rsidP="000E0F6B" w:rsidRDefault="00D32557" w14:paraId="176C57A5" w14:textId="77777777">
      <w:pPr>
        <w:pStyle w:val="Default"/>
        <w:rPr>
          <w:rFonts w:ascii="Times New Roman" w:hAnsi="Times New Roman" w:cs="Times New Roman"/>
          <w:bCs/>
        </w:rPr>
      </w:pPr>
    </w:p>
    <w:p w:rsidRPr="000E0F6B" w:rsidR="00D32557" w:rsidP="000E0F6B" w:rsidRDefault="00D32557" w14:paraId="326B16A8" w14:textId="77777777">
      <w:pPr>
        <w:pStyle w:val="Default"/>
        <w:rPr>
          <w:rFonts w:ascii="Times New Roman" w:hAnsi="Times New Roman" w:cs="Times New Roman"/>
          <w:bCs/>
        </w:rPr>
      </w:pPr>
      <w:r w:rsidRPr="000E0F6B">
        <w:rPr>
          <w:rFonts w:ascii="Times New Roman" w:hAnsi="Times New Roman" w:cs="Times New Roman"/>
          <w:bCs/>
        </w:rPr>
        <w:t>Zelf constateren de leden van de commissie dat de beleidsprioriteit op het gebied van gelijke kansen over kabinetten heen wisselt in taalgebruik (“Iedereen gelijke kansen”, “Iedereen goede kansen”, “Iedereen is nodig”). Ook zijn er accentwisselingen in maatregelen en investeringen dan wel bezuinigingen. Dit leidt volgens deze leden mogelijk ook tot verschillen in definities, doelen en doelgroepen, maar hierover spreken de minister en staatssecretaris zich niet duidelijk uit. Specifiek voor het kansengelijkheidsbeleid in het funderend onderwijs vragen zij de staatssecretaris wat het doel is/de doelstellingen zijn en doelgroep(en). Past de tot nu toe gehanteerde definitie nog steeds bij het doel dat de staatssecretaris voor ogen heeft voor het kansengelijkheidsbeleid en zo niet, welke andere definitie zou de staatssecretaris dan willen hanteren? Kan de staatssecretaris toelichten in hoeverre de maatregelen die in stand blijven dekkend zijn voor alle kinderen uit de doelgroep? Hoe wordt het onderzoek ingericht op deze nieuwe constellatie van maatregelen, zoals verwoord in de brief over de opvolging van de periodieke rapportages?</w:t>
      </w:r>
      <w:r w:rsidRPr="000E0F6B">
        <w:rPr>
          <w:rFonts w:ascii="Times New Roman" w:hAnsi="Times New Roman" w:cs="Times New Roman"/>
          <w:bCs/>
          <w:vertAlign w:val="superscript"/>
        </w:rPr>
        <w:footnoteReference w:id="12"/>
      </w:r>
      <w:r w:rsidRPr="000E0F6B">
        <w:rPr>
          <w:rFonts w:ascii="Times New Roman" w:hAnsi="Times New Roman" w:cs="Times New Roman"/>
          <w:bCs/>
        </w:rPr>
        <w:t xml:space="preserve"> Wordt hierin ook verbinding gelegd tussen de output van beleid en de kosten van het beleid en worden ook de processen geëvalueerd?</w:t>
      </w:r>
    </w:p>
    <w:p w:rsidRPr="000E0F6B" w:rsidR="00D32557" w:rsidP="000E0F6B" w:rsidRDefault="00D32557" w14:paraId="5150E9F8" w14:textId="77777777">
      <w:pPr>
        <w:pStyle w:val="Default"/>
        <w:rPr>
          <w:rFonts w:ascii="Times New Roman" w:hAnsi="Times New Roman" w:cs="Times New Roman"/>
          <w:bCs/>
        </w:rPr>
      </w:pPr>
    </w:p>
    <w:p w:rsidRPr="000E0F6B" w:rsidR="00D32557" w:rsidP="000E0F6B" w:rsidRDefault="00D32557" w14:paraId="282CBF1D" w14:textId="77777777">
      <w:pPr>
        <w:pStyle w:val="Default"/>
        <w:rPr>
          <w:rFonts w:ascii="Times New Roman" w:hAnsi="Times New Roman" w:cs="Times New Roman"/>
          <w:bCs/>
        </w:rPr>
      </w:pPr>
      <w:r w:rsidRPr="000E0F6B">
        <w:rPr>
          <w:rFonts w:ascii="Times New Roman" w:hAnsi="Times New Roman" w:cs="Times New Roman"/>
          <w:bCs/>
        </w:rPr>
        <w:t>De Algemene Rekenkamer haalt in het verantwoordingsonderzoek het Fonds Onderzoek en Wetenschap aan, dat door het kabinet Rutte-IV werd ingesteld en waarop het kabinet-Schoof bezuinigt.</w:t>
      </w:r>
      <w:r w:rsidRPr="000E0F6B">
        <w:rPr>
          <w:rFonts w:ascii="Times New Roman" w:hAnsi="Times New Roman" w:cs="Times New Roman"/>
          <w:bCs/>
          <w:vertAlign w:val="superscript"/>
        </w:rPr>
        <w:footnoteReference w:id="13"/>
      </w:r>
      <w:r w:rsidRPr="000E0F6B">
        <w:rPr>
          <w:rFonts w:ascii="Times New Roman" w:hAnsi="Times New Roman" w:cs="Times New Roman"/>
          <w:bCs/>
        </w:rPr>
        <w:t xml:space="preserve"> Het doel van dit fonds was om achtergebleven investeringen in onderzoek in te halen, de kwaliteit te versterken en de werkdruk te verlagen. Instrumenten waren onder andere de starters- en stimuleringsbeurzen. De leden van de commissie vragen, in navolging van de Algemene Rekenkamer, of de ambities worden bijgesteld aan de hand van de beschikbare middelen en hoe in de evaluatie van de starters- en stimuleringsbeurzen rekening wordt gehouden met de veranderende financiële context.</w:t>
      </w:r>
    </w:p>
    <w:p w:rsidRPr="000E0F6B" w:rsidR="00D32557" w:rsidP="000E0F6B" w:rsidRDefault="00D32557" w14:paraId="57AC8437" w14:textId="77777777">
      <w:pPr>
        <w:pStyle w:val="Default"/>
        <w:rPr>
          <w:rFonts w:ascii="Times New Roman" w:hAnsi="Times New Roman" w:cs="Times New Roman"/>
          <w:bCs/>
        </w:rPr>
      </w:pPr>
    </w:p>
    <w:p w:rsidR="002A55D6" w:rsidRDefault="002A55D6" w14:paraId="54E65EE6" w14:textId="77777777">
      <w:pPr>
        <w:spacing w:after="160" w:line="259" w:lineRule="auto"/>
        <w:rPr>
          <w:bCs/>
          <w:i/>
          <w:iCs/>
          <w:color w:val="000000"/>
        </w:rPr>
      </w:pPr>
      <w:r>
        <w:rPr>
          <w:bCs/>
          <w:i/>
          <w:iCs/>
        </w:rPr>
        <w:br w:type="page"/>
      </w:r>
    </w:p>
    <w:p w:rsidRPr="000E0F6B" w:rsidR="00D32557" w:rsidP="000E0F6B" w:rsidRDefault="00D32557" w14:paraId="1059132A" w14:textId="20F7939B">
      <w:pPr>
        <w:pStyle w:val="Default"/>
        <w:rPr>
          <w:rFonts w:ascii="Times New Roman" w:hAnsi="Times New Roman" w:cs="Times New Roman"/>
          <w:bCs/>
          <w:i/>
          <w:iCs/>
        </w:rPr>
      </w:pPr>
      <w:r w:rsidRPr="000E0F6B">
        <w:rPr>
          <w:rFonts w:ascii="Times New Roman" w:hAnsi="Times New Roman" w:cs="Times New Roman"/>
          <w:bCs/>
          <w:i/>
          <w:iCs/>
        </w:rPr>
        <w:t>OCWincijfers.nl: kansen voor een duidelijke set indicatoren</w:t>
      </w:r>
    </w:p>
    <w:p w:rsidRPr="000E0F6B" w:rsidR="00D32557" w:rsidP="000E0F6B" w:rsidRDefault="00D32557" w14:paraId="4440FC49" w14:textId="77777777">
      <w:pPr>
        <w:pStyle w:val="Default"/>
        <w:rPr>
          <w:rFonts w:ascii="Times New Roman" w:hAnsi="Times New Roman" w:cs="Times New Roman"/>
          <w:bCs/>
        </w:rPr>
      </w:pPr>
      <w:r w:rsidRPr="000E0F6B">
        <w:rPr>
          <w:rFonts w:ascii="Times New Roman" w:hAnsi="Times New Roman" w:cs="Times New Roman"/>
          <w:bCs/>
        </w:rPr>
        <w:t xml:space="preserve">Het ministerie van OCW presenteert de niet-financiële informatie en kerncijfers van het beleid al een aantal jaren op de website OCWincijfers.nl. Sinds begrotingsjaar 2024 hebben de minister en staatssecretaris beleidsindicatoren gekoppeld aan de beleidsprioriteiten. In het jaarverslag van 2024 is daarom voor het eerst aan de hand van bij de begroting bepaalde indicatoren een terugblik op het beleid van dat jaar. </w:t>
      </w:r>
    </w:p>
    <w:p w:rsidRPr="000E0F6B" w:rsidR="00D32557" w:rsidP="000E0F6B" w:rsidRDefault="00D32557" w14:paraId="0C1B680C" w14:textId="77777777">
      <w:pPr>
        <w:pStyle w:val="Default"/>
        <w:rPr>
          <w:rFonts w:ascii="Times New Roman" w:hAnsi="Times New Roman" w:cs="Times New Roman"/>
          <w:bCs/>
        </w:rPr>
      </w:pPr>
    </w:p>
    <w:p w:rsidRPr="000E0F6B" w:rsidR="00D32557" w:rsidP="000E0F6B" w:rsidRDefault="00D32557" w14:paraId="12733A93" w14:textId="082F9D9B">
      <w:pPr>
        <w:pStyle w:val="Default"/>
        <w:rPr>
          <w:rFonts w:ascii="Times New Roman" w:hAnsi="Times New Roman" w:cs="Times New Roman"/>
          <w:bCs/>
        </w:rPr>
      </w:pPr>
      <w:r w:rsidRPr="000E0F6B">
        <w:rPr>
          <w:rFonts w:ascii="Times New Roman" w:hAnsi="Times New Roman" w:cs="Times New Roman"/>
          <w:bCs/>
        </w:rPr>
        <w:t xml:space="preserve">De leden van de commissie constateren dat in het beleidsverslag de belangrijkste onderwerpen worden genoemd, die soms geformuleerd zijn als (vage) doelen, zoals </w:t>
      </w:r>
      <w:r w:rsidRPr="000E0F6B" w:rsidR="009D0388">
        <w:rPr>
          <w:rFonts w:ascii="Times New Roman" w:hAnsi="Times New Roman" w:cs="Times New Roman"/>
          <w:bCs/>
        </w:rPr>
        <w:t>“</w:t>
      </w:r>
      <w:r w:rsidRPr="000E0F6B">
        <w:rPr>
          <w:rFonts w:ascii="Times New Roman" w:hAnsi="Times New Roman" w:cs="Times New Roman"/>
          <w:bCs/>
        </w:rPr>
        <w:t>Vergroten van de maatschappelijke impact van kennis uit onderzoek</w:t>
      </w:r>
      <w:r w:rsidRPr="000E0F6B" w:rsidR="009D0388">
        <w:rPr>
          <w:rFonts w:ascii="Times New Roman" w:hAnsi="Times New Roman" w:cs="Times New Roman"/>
          <w:bCs/>
        </w:rPr>
        <w:t>”</w:t>
      </w:r>
      <w:r w:rsidRPr="000E0F6B">
        <w:rPr>
          <w:rFonts w:ascii="Times New Roman" w:hAnsi="Times New Roman" w:cs="Times New Roman"/>
          <w:bCs/>
        </w:rPr>
        <w:t xml:space="preserve">, </w:t>
      </w:r>
      <w:r w:rsidRPr="000E0F6B" w:rsidR="009D0388">
        <w:rPr>
          <w:rFonts w:ascii="Times New Roman" w:hAnsi="Times New Roman" w:cs="Times New Roman"/>
          <w:bCs/>
        </w:rPr>
        <w:t>“</w:t>
      </w:r>
      <w:r w:rsidRPr="000E0F6B">
        <w:rPr>
          <w:rFonts w:ascii="Times New Roman" w:hAnsi="Times New Roman" w:cs="Times New Roman"/>
          <w:bCs/>
        </w:rPr>
        <w:t xml:space="preserve">Een </w:t>
      </w:r>
      <w:proofErr w:type="spellStart"/>
      <w:r w:rsidRPr="000E0F6B">
        <w:rPr>
          <w:rFonts w:ascii="Times New Roman" w:hAnsi="Times New Roman" w:cs="Times New Roman"/>
          <w:bCs/>
        </w:rPr>
        <w:t>gelĳk</w:t>
      </w:r>
      <w:proofErr w:type="spellEnd"/>
      <w:r w:rsidRPr="000E0F6B">
        <w:rPr>
          <w:rFonts w:ascii="Times New Roman" w:hAnsi="Times New Roman" w:cs="Times New Roman"/>
          <w:bCs/>
        </w:rPr>
        <w:t xml:space="preserve"> speelveld tussen mannen en vrouwen</w:t>
      </w:r>
      <w:r w:rsidRPr="000E0F6B" w:rsidR="009D0388">
        <w:rPr>
          <w:rFonts w:ascii="Times New Roman" w:hAnsi="Times New Roman" w:cs="Times New Roman"/>
          <w:bCs/>
        </w:rPr>
        <w:t>”</w:t>
      </w:r>
      <w:r w:rsidRPr="000E0F6B">
        <w:rPr>
          <w:rFonts w:ascii="Times New Roman" w:hAnsi="Times New Roman" w:cs="Times New Roman"/>
          <w:bCs/>
        </w:rPr>
        <w:t xml:space="preserve">. Deze leden vragen in navolging van de Algemene Rekenkamer of beide bewindspersonen de doelen op deze onderwerpen kunnen expliciteren en hierbij ook verbinding kunnen leggen met de monitor Brede Welvaart en </w:t>
      </w:r>
      <w:proofErr w:type="spellStart"/>
      <w:r w:rsidRPr="000E0F6B">
        <w:rPr>
          <w:rFonts w:ascii="Times New Roman" w:hAnsi="Times New Roman" w:cs="Times New Roman"/>
          <w:bCs/>
        </w:rPr>
        <w:t>Sustainable</w:t>
      </w:r>
      <w:proofErr w:type="spellEnd"/>
      <w:r w:rsidRPr="000E0F6B">
        <w:rPr>
          <w:rFonts w:ascii="Times New Roman" w:hAnsi="Times New Roman" w:cs="Times New Roman"/>
          <w:bCs/>
        </w:rPr>
        <w:t xml:space="preserve"> Development Goals (zie ook paragraaf 4 van deze gezamenlijke inbreng).</w:t>
      </w:r>
    </w:p>
    <w:p w:rsidRPr="000E0F6B" w:rsidR="00D32557" w:rsidP="000E0F6B" w:rsidRDefault="00D32557" w14:paraId="699AE54D" w14:textId="77777777">
      <w:pPr>
        <w:pStyle w:val="Default"/>
        <w:rPr>
          <w:rFonts w:ascii="Times New Roman" w:hAnsi="Times New Roman" w:cs="Times New Roman"/>
          <w:bCs/>
        </w:rPr>
      </w:pPr>
    </w:p>
    <w:p w:rsidRPr="000E0F6B" w:rsidR="00D32557" w:rsidP="000E0F6B" w:rsidRDefault="00D32557" w14:paraId="765BBB3F" w14:textId="77777777">
      <w:pPr>
        <w:pStyle w:val="Default"/>
        <w:rPr>
          <w:rFonts w:ascii="Times New Roman" w:hAnsi="Times New Roman" w:cs="Times New Roman"/>
          <w:bCs/>
        </w:rPr>
      </w:pPr>
      <w:r w:rsidRPr="000E0F6B">
        <w:rPr>
          <w:rFonts w:ascii="Times New Roman" w:hAnsi="Times New Roman" w:cs="Times New Roman"/>
          <w:bCs/>
        </w:rPr>
        <w:t xml:space="preserve">De leden van de commissie tellen daarnaast in het jaarverslag zeven hoofdonderwerpen en 42 </w:t>
      </w:r>
      <w:proofErr w:type="spellStart"/>
      <w:r w:rsidRPr="000E0F6B">
        <w:rPr>
          <w:rFonts w:ascii="Times New Roman" w:hAnsi="Times New Roman" w:cs="Times New Roman"/>
          <w:bCs/>
        </w:rPr>
        <w:t>subonderwerpen</w:t>
      </w:r>
      <w:proofErr w:type="spellEnd"/>
      <w:r w:rsidRPr="000E0F6B">
        <w:rPr>
          <w:rFonts w:ascii="Times New Roman" w:hAnsi="Times New Roman" w:cs="Times New Roman"/>
          <w:bCs/>
        </w:rPr>
        <w:t xml:space="preserve">. Voor 19 van deze </w:t>
      </w:r>
      <w:proofErr w:type="spellStart"/>
      <w:r w:rsidRPr="000E0F6B">
        <w:rPr>
          <w:rFonts w:ascii="Times New Roman" w:hAnsi="Times New Roman" w:cs="Times New Roman"/>
          <w:bCs/>
        </w:rPr>
        <w:t>subonderwerpen</w:t>
      </w:r>
      <w:proofErr w:type="spellEnd"/>
      <w:r w:rsidRPr="000E0F6B">
        <w:rPr>
          <w:rFonts w:ascii="Times New Roman" w:hAnsi="Times New Roman" w:cs="Times New Roman"/>
          <w:bCs/>
        </w:rPr>
        <w:t xml:space="preserve"> wordt verwezen naar indicatoren op OCWincijfers.nl. Deze indicatoren zijn volgens deze leden over het algemeen niet duidelijk gelinkt aan een beleidsdoel, hoewel dat volgens hen voor sommige indicatoren wel af te leiden zou kunnen zijn. Voor 24 </w:t>
      </w:r>
      <w:proofErr w:type="spellStart"/>
      <w:r w:rsidRPr="000E0F6B">
        <w:rPr>
          <w:rFonts w:ascii="Times New Roman" w:hAnsi="Times New Roman" w:cs="Times New Roman"/>
          <w:bCs/>
        </w:rPr>
        <w:t>subonderwerpen</w:t>
      </w:r>
      <w:proofErr w:type="spellEnd"/>
      <w:r w:rsidRPr="000E0F6B">
        <w:rPr>
          <w:rFonts w:ascii="Times New Roman" w:hAnsi="Times New Roman" w:cs="Times New Roman"/>
          <w:bCs/>
        </w:rPr>
        <w:t xml:space="preserve"> wordt volgens de leden van de commissie niet verwezen naar beleidsindicatoren. Soms wordt wel verwezen naar cijfermatige informatie, onderliggend onderzoek en indicatoren op externe websites (zoals CBS). Deze leden constateren dat er per beleidsonderwerp diverse bronnen zijn die relevante indicatoren bevatten, maar dat die op dit moment gefragmenteerd (op verschillende plekken) worden aangeboden. Zij vragen de minister en staatssecretaris daarom om een verbetering en hergroepering van de </w:t>
      </w:r>
      <w:proofErr w:type="spellStart"/>
      <w:r w:rsidRPr="000E0F6B">
        <w:rPr>
          <w:rFonts w:ascii="Times New Roman" w:hAnsi="Times New Roman" w:cs="Times New Roman"/>
          <w:bCs/>
        </w:rPr>
        <w:t>indicatorenset</w:t>
      </w:r>
      <w:proofErr w:type="spellEnd"/>
      <w:r w:rsidRPr="000E0F6B">
        <w:rPr>
          <w:rFonts w:ascii="Times New Roman" w:hAnsi="Times New Roman" w:cs="Times New Roman"/>
          <w:bCs/>
        </w:rPr>
        <w:t xml:space="preserve"> op OCWincijfers.nl en doen daarvoor enkele suggesties.</w:t>
      </w:r>
    </w:p>
    <w:p w:rsidRPr="000E0F6B" w:rsidR="00D32557" w:rsidP="000E0F6B" w:rsidRDefault="00D32557" w14:paraId="382B5EE4" w14:textId="77777777">
      <w:pPr>
        <w:pStyle w:val="Default"/>
        <w:rPr>
          <w:rFonts w:ascii="Times New Roman" w:hAnsi="Times New Roman" w:cs="Times New Roman"/>
          <w:bCs/>
        </w:rPr>
      </w:pPr>
    </w:p>
    <w:p w:rsidRPr="000E0F6B" w:rsidR="00D32557" w:rsidP="000E0F6B" w:rsidRDefault="00D32557" w14:paraId="72E4262B" w14:textId="37359436">
      <w:pPr>
        <w:pStyle w:val="Default"/>
        <w:rPr>
          <w:rFonts w:ascii="Times New Roman" w:hAnsi="Times New Roman" w:cs="Times New Roman"/>
          <w:bCs/>
        </w:rPr>
      </w:pPr>
      <w:r w:rsidRPr="000E0F6B">
        <w:rPr>
          <w:rFonts w:ascii="Times New Roman" w:hAnsi="Times New Roman" w:cs="Times New Roman"/>
          <w:bCs/>
        </w:rPr>
        <w:t xml:space="preserve">Ten eerste worden voor de </w:t>
      </w:r>
      <w:proofErr w:type="spellStart"/>
      <w:r w:rsidRPr="000E0F6B">
        <w:rPr>
          <w:rFonts w:ascii="Times New Roman" w:hAnsi="Times New Roman" w:cs="Times New Roman"/>
          <w:bCs/>
        </w:rPr>
        <w:t>subonderwerpen</w:t>
      </w:r>
      <w:proofErr w:type="spellEnd"/>
      <w:r w:rsidRPr="000E0F6B">
        <w:rPr>
          <w:rFonts w:ascii="Times New Roman" w:hAnsi="Times New Roman" w:cs="Times New Roman"/>
          <w:bCs/>
        </w:rPr>
        <w:t xml:space="preserve"> bij ‘Herstel, vernieuwing en groei van de Culturele en creatieve sector’ geen indicatoren genoemd, maar beschikken de minister en staatssecretaris wel over de Cultuurmonitor en de Erfgoedmonitor. Ook zijn er andere pagina's op OCWincijfers.nl die cijfers en indicatoren per sector (cultuur, media) geven. Deze informatie zou volgens de leden van de commissie beter geclusterd kunnen worden bij het onderdeel ‘Begroten en verantwoorden’. Ten tweede wordt er verwezen naar diverse programma’s uit het Nationaal Groeifonds die ook allemaal </w:t>
      </w:r>
      <w:proofErr w:type="spellStart"/>
      <w:r w:rsidRPr="000E0F6B">
        <w:rPr>
          <w:rFonts w:ascii="Times New Roman" w:hAnsi="Times New Roman" w:cs="Times New Roman"/>
          <w:bCs/>
        </w:rPr>
        <w:t>KPI</w:t>
      </w:r>
      <w:r w:rsidRPr="000E0F6B" w:rsidR="009D0388">
        <w:rPr>
          <w:rFonts w:ascii="Times New Roman" w:hAnsi="Times New Roman" w:cs="Times New Roman"/>
          <w:bCs/>
        </w:rPr>
        <w:t>’</w:t>
      </w:r>
      <w:r w:rsidRPr="000E0F6B">
        <w:rPr>
          <w:rFonts w:ascii="Times New Roman" w:hAnsi="Times New Roman" w:cs="Times New Roman"/>
          <w:bCs/>
        </w:rPr>
        <w:t>s</w:t>
      </w:r>
      <w:proofErr w:type="spellEnd"/>
      <w:r w:rsidRPr="000E0F6B">
        <w:rPr>
          <w:rFonts w:ascii="Times New Roman" w:hAnsi="Times New Roman" w:cs="Times New Roman"/>
          <w:bCs/>
          <w:vertAlign w:val="superscript"/>
        </w:rPr>
        <w:footnoteReference w:id="14"/>
      </w:r>
      <w:r w:rsidRPr="000E0F6B">
        <w:rPr>
          <w:rFonts w:ascii="Times New Roman" w:hAnsi="Times New Roman" w:cs="Times New Roman"/>
          <w:bCs/>
        </w:rPr>
        <w:t xml:space="preserve"> hebben die zouden kunnen worden benut. Ten derde, als wordt verwezen naar onderliggende monitors (een onderzoeksrapport of een online dashboard zoals de Emancipatiemonitor), dan kunnen volgens deze leden relevante indicatoren daaruit worden overgenomen op OCWincijfers.nl. Tot slot valt te overwegen om het doelbereik van subsidieregelingen als indicator op te nemen. Een voorbeeld daarvan is de indicator die iets zegt over de landelijke dekking van het programma MDT. Een vergelijkbare doelstelling is er bij de onderwijsregio's, maar een indicator ontbreekt. De leden van de commissie vragen de minister en staatssecretaris om een reactie op bovenstaande suggesties.</w:t>
      </w:r>
    </w:p>
    <w:p w:rsidRPr="000E0F6B" w:rsidR="00D32557" w:rsidP="000E0F6B" w:rsidRDefault="00D32557" w14:paraId="35993B8E" w14:textId="77777777">
      <w:pPr>
        <w:pStyle w:val="Default"/>
        <w:rPr>
          <w:rFonts w:ascii="Times New Roman" w:hAnsi="Times New Roman" w:cs="Times New Roman"/>
          <w:bCs/>
        </w:rPr>
      </w:pPr>
    </w:p>
    <w:p w:rsidRPr="000E0F6B" w:rsidR="00D32557" w:rsidP="000E0F6B" w:rsidRDefault="00D32557" w14:paraId="528E7AD8" w14:textId="77777777">
      <w:pPr>
        <w:pStyle w:val="Default"/>
        <w:rPr>
          <w:rFonts w:ascii="Times New Roman" w:hAnsi="Times New Roman" w:cs="Times New Roman"/>
          <w:bCs/>
        </w:rPr>
      </w:pPr>
      <w:r w:rsidRPr="000E0F6B">
        <w:rPr>
          <w:rFonts w:ascii="Times New Roman" w:hAnsi="Times New Roman" w:cs="Times New Roman"/>
          <w:bCs/>
        </w:rPr>
        <w:t xml:space="preserve">De leden van de commissie complimenteren de minister en staatssecretaris met de slag die is gemaakt voor de cyclus van 2025, waarbij een set indicatoren per beleidsprioriteit is opgenomen. Toch blijft het volgens deze leden opvallend dat een aantal beleidsprioriteiten aan de hand van een zeer beperkte set indicatoren lijkt te worden afgemeten. In hoeverre sluit deze </w:t>
      </w:r>
      <w:proofErr w:type="spellStart"/>
      <w:r w:rsidRPr="000E0F6B">
        <w:rPr>
          <w:rFonts w:ascii="Times New Roman" w:hAnsi="Times New Roman" w:cs="Times New Roman"/>
          <w:bCs/>
        </w:rPr>
        <w:t>indicatorenset</w:t>
      </w:r>
      <w:proofErr w:type="spellEnd"/>
      <w:r w:rsidRPr="000E0F6B">
        <w:rPr>
          <w:rFonts w:ascii="Times New Roman" w:hAnsi="Times New Roman" w:cs="Times New Roman"/>
          <w:bCs/>
        </w:rPr>
        <w:t xml:space="preserve"> goed aan bij de doelen die de minister en staatssecretaris met dit beleid willen bereiken? Zijn de minister en staatssecretaris voornemens om aanvullende indicatoren op te nemen op de pagina Begroten en Verantwoorden op OCWincijfers.nl, zodat een rijkere set van indicatoren ontstaat die goed aansluit bij de doelen die de minister met het beleid wil bereiken?</w:t>
      </w:r>
    </w:p>
    <w:p w:rsidRPr="000E0F6B" w:rsidR="00D32557" w:rsidP="000E0F6B" w:rsidRDefault="00D32557" w14:paraId="3F0B9C84" w14:textId="77777777">
      <w:pPr>
        <w:pStyle w:val="Default"/>
        <w:rPr>
          <w:rFonts w:ascii="Times New Roman" w:hAnsi="Times New Roman" w:cs="Times New Roman"/>
          <w:bCs/>
        </w:rPr>
      </w:pPr>
    </w:p>
    <w:p w:rsidRPr="000E0F6B" w:rsidR="00D32557" w:rsidP="000E0F6B" w:rsidRDefault="00D32557" w14:paraId="3B804AF2" w14:textId="77777777">
      <w:pPr>
        <w:pStyle w:val="Default"/>
        <w:rPr>
          <w:rFonts w:ascii="Times New Roman" w:hAnsi="Times New Roman" w:cs="Times New Roman"/>
          <w:bCs/>
        </w:rPr>
      </w:pPr>
      <w:r w:rsidRPr="000E0F6B">
        <w:rPr>
          <w:rFonts w:ascii="Times New Roman" w:hAnsi="Times New Roman" w:cs="Times New Roman"/>
          <w:bCs/>
        </w:rPr>
        <w:t>Tot slot zijn de leden van de commissie verheugd over de aankondiging van beide bewindspersonen om bij de begrotingscyclus van 2026 ook financiële middelen te koppelen aan de doelen, maatregelen en resultaten van het beleid. Daarnaast kijken deze leden uit naar het aangekondigde dashboard over de middelen en resultaten van de Lerarenstrategie. Zij vragen of daarmee ook inzicht wordt gegeven in de totale uitgaven van de lerarenstrategie in een begrotingsjaar en of en wanneer zij deze terug kunnen vinden op OCWincijfers.nl.</w:t>
      </w:r>
      <w:r w:rsidRPr="000E0F6B">
        <w:rPr>
          <w:rFonts w:ascii="Times New Roman" w:hAnsi="Times New Roman" w:cs="Times New Roman"/>
          <w:bCs/>
          <w:vertAlign w:val="superscript"/>
        </w:rPr>
        <w:footnoteReference w:id="15"/>
      </w:r>
    </w:p>
    <w:p w:rsidRPr="000E0F6B" w:rsidR="00D32557" w:rsidP="000E0F6B" w:rsidRDefault="00D32557" w14:paraId="43C7FB55" w14:textId="77777777">
      <w:pPr>
        <w:pStyle w:val="Default"/>
        <w:rPr>
          <w:rFonts w:ascii="Times New Roman" w:hAnsi="Times New Roman" w:cs="Times New Roman"/>
          <w:bCs/>
        </w:rPr>
      </w:pPr>
    </w:p>
    <w:p w:rsidRPr="000E0F6B" w:rsidR="00D32557" w:rsidP="000E0F6B" w:rsidRDefault="00D32557" w14:paraId="6A01C86A" w14:textId="77777777">
      <w:pPr>
        <w:pStyle w:val="Default"/>
        <w:rPr>
          <w:rFonts w:ascii="Times New Roman" w:hAnsi="Times New Roman" w:cs="Times New Roman"/>
          <w:bCs/>
          <w:i/>
          <w:iCs/>
        </w:rPr>
      </w:pPr>
      <w:r w:rsidRPr="000E0F6B">
        <w:rPr>
          <w:rFonts w:ascii="Times New Roman" w:hAnsi="Times New Roman" w:cs="Times New Roman"/>
          <w:bCs/>
          <w:i/>
          <w:iCs/>
        </w:rPr>
        <w:t>Opvolging aanbevelingen periodieke rapportages met het oog op de evalueerbaarheid van het beleid</w:t>
      </w:r>
    </w:p>
    <w:p w:rsidRPr="000E0F6B" w:rsidR="00D32557" w:rsidP="000E0F6B" w:rsidRDefault="00D32557" w14:paraId="617270DC" w14:textId="77777777">
      <w:pPr>
        <w:pStyle w:val="Default"/>
        <w:rPr>
          <w:rFonts w:ascii="Times New Roman" w:hAnsi="Times New Roman" w:cs="Times New Roman"/>
          <w:bCs/>
        </w:rPr>
      </w:pPr>
      <w:r w:rsidRPr="000E0F6B">
        <w:rPr>
          <w:rFonts w:ascii="Times New Roman" w:hAnsi="Times New Roman" w:cs="Times New Roman"/>
          <w:bCs/>
        </w:rPr>
        <w:t>Bij het Jaarverslag OCW 2023 constateerden de leden van de commissie dat met name in de periode 2021-2023 veel periodieke rapportages (voorheen: beleidsdoorlichtingen) werden uitgevoerd.</w:t>
      </w:r>
      <w:r w:rsidRPr="000E0F6B">
        <w:rPr>
          <w:rFonts w:ascii="Times New Roman" w:hAnsi="Times New Roman" w:cs="Times New Roman"/>
          <w:bCs/>
          <w:vertAlign w:val="superscript"/>
        </w:rPr>
        <w:footnoteReference w:id="16"/>
      </w:r>
      <w:r w:rsidRPr="000E0F6B">
        <w:rPr>
          <w:rFonts w:ascii="Times New Roman" w:hAnsi="Times New Roman" w:cs="Times New Roman"/>
          <w:bCs/>
        </w:rPr>
        <w:t xml:space="preserve"> Net als vorig jaar valt het deze leden op dat nog niet alle thema’s recent aan bod zijn gekomen. Het gaat dan met name om het thema sociale veiligheid in het onderwijs (alle sectoren). Zijn de minister en staatssecretaris van plan een periodieke rapportage op dit beleidsonderwerp in te plannen en zo ja, wat is dan het tijdpad?</w:t>
      </w:r>
    </w:p>
    <w:p w:rsidRPr="000E0F6B" w:rsidR="00D32557" w:rsidP="000E0F6B" w:rsidRDefault="00D32557" w14:paraId="7E608667" w14:textId="77777777">
      <w:pPr>
        <w:pStyle w:val="Default"/>
        <w:rPr>
          <w:rFonts w:ascii="Times New Roman" w:hAnsi="Times New Roman" w:cs="Times New Roman"/>
          <w:bCs/>
        </w:rPr>
      </w:pPr>
    </w:p>
    <w:p w:rsidRPr="000E0F6B" w:rsidR="00D32557" w:rsidP="000E0F6B" w:rsidRDefault="00D32557" w14:paraId="58111F7E" w14:textId="77777777">
      <w:pPr>
        <w:pStyle w:val="Default"/>
        <w:rPr>
          <w:rFonts w:ascii="Times New Roman" w:hAnsi="Times New Roman" w:cs="Times New Roman"/>
          <w:bCs/>
        </w:rPr>
      </w:pPr>
      <w:r w:rsidRPr="000E0F6B">
        <w:rPr>
          <w:rFonts w:ascii="Times New Roman" w:hAnsi="Times New Roman" w:cs="Times New Roman"/>
          <w:bCs/>
        </w:rPr>
        <w:t>De leden van de commissie bedanken de bewindslieden voor de brief waarin wordt ingegaan op de opvolging van de aanbevelingen uit periodieke rapportages van het afgelopen begrotingsjaar.</w:t>
      </w:r>
      <w:r w:rsidRPr="000E0F6B">
        <w:rPr>
          <w:rFonts w:ascii="Times New Roman" w:hAnsi="Times New Roman" w:cs="Times New Roman"/>
          <w:bCs/>
          <w:vertAlign w:val="superscript"/>
        </w:rPr>
        <w:footnoteReference w:id="17"/>
      </w:r>
      <w:r w:rsidRPr="000E0F6B">
        <w:rPr>
          <w:rFonts w:ascii="Times New Roman" w:hAnsi="Times New Roman" w:cs="Times New Roman"/>
          <w:bCs/>
        </w:rPr>
        <w:t xml:space="preserve"> Het ging om de periodieke rapportages ‘Strategische evaluatie kansengelijkheid’ (art. 1, 3)</w:t>
      </w:r>
      <w:r w:rsidRPr="000E0F6B">
        <w:rPr>
          <w:rFonts w:ascii="Times New Roman" w:hAnsi="Times New Roman" w:cs="Times New Roman"/>
          <w:bCs/>
          <w:vertAlign w:val="superscript"/>
        </w:rPr>
        <w:footnoteReference w:id="18"/>
      </w:r>
      <w:r w:rsidRPr="000E0F6B">
        <w:rPr>
          <w:rFonts w:ascii="Times New Roman" w:hAnsi="Times New Roman" w:cs="Times New Roman"/>
          <w:bCs/>
        </w:rPr>
        <w:t xml:space="preserve"> en ‘Cultuureducatiebeleid 2013-2024’ (art. 14)</w:t>
      </w:r>
      <w:r w:rsidRPr="000E0F6B">
        <w:rPr>
          <w:rFonts w:ascii="Times New Roman" w:hAnsi="Times New Roman" w:cs="Times New Roman"/>
          <w:bCs/>
          <w:vertAlign w:val="superscript"/>
        </w:rPr>
        <w:footnoteReference w:id="19"/>
      </w:r>
      <w:r w:rsidRPr="000E0F6B">
        <w:rPr>
          <w:rFonts w:ascii="Times New Roman" w:hAnsi="Times New Roman" w:cs="Times New Roman"/>
          <w:bCs/>
        </w:rPr>
        <w:t>. De onderzoekers doen in deze periodieke rapportages twee typen aanbevelingen: voor het toekomstig beleid en voor de evalueerbaarheid van het beleid. Het valt deze leden op dat wel wordt ingegaan op de aanbevelingen voor toekomstig beleid, maar dat de aanbevelingen voor de evalueerbaarheid niet of nauwelijks worden geadresseerd. Wat is de reden dat aan de evalueerbaarheid nauwelijks aandacht is besteed? De leden van de commissie vragen aan beide bewindspersonen of zij alsnog op de aanbevelingen inzake de evalueerbaarheid van het beleid voor kansengelijkheid en cultuureducatie willen ingaan.</w:t>
      </w:r>
      <w:r w:rsidRPr="000E0F6B">
        <w:rPr>
          <w:rFonts w:ascii="Times New Roman" w:hAnsi="Times New Roman" w:cs="Times New Roman"/>
          <w:bCs/>
          <w:vertAlign w:val="superscript"/>
        </w:rPr>
        <w:footnoteReference w:id="20"/>
      </w:r>
      <w:r w:rsidRPr="000E0F6B">
        <w:rPr>
          <w:rFonts w:ascii="Times New Roman" w:hAnsi="Times New Roman" w:cs="Times New Roman"/>
          <w:bCs/>
        </w:rPr>
        <w:t xml:space="preserve"> Verder vragen deze leden hoe de minister en staatssecretaris deze aanbevelingen in algemene zin gaan aanpakken bij toekomstig beleid, ook in relatie tot de eerste en tweede paragraaf van deze inbreng. Kunnen de bewindspersonen deze punten eveneens betrekken bij de aangekondigde voortgangsbrief over de niet-financiële beleidsinformatie?</w:t>
      </w:r>
      <w:r w:rsidRPr="000E0F6B">
        <w:rPr>
          <w:rFonts w:ascii="Times New Roman" w:hAnsi="Times New Roman" w:cs="Times New Roman"/>
          <w:bCs/>
          <w:vertAlign w:val="superscript"/>
        </w:rPr>
        <w:footnoteReference w:id="21"/>
      </w:r>
    </w:p>
    <w:p w:rsidRPr="000E0F6B" w:rsidR="00D32557" w:rsidP="000E0F6B" w:rsidRDefault="00D32557" w14:paraId="17A488FC" w14:textId="3E1D4457">
      <w:pPr>
        <w:pStyle w:val="Default"/>
        <w:rPr>
          <w:rFonts w:ascii="Times New Roman" w:hAnsi="Times New Roman" w:cs="Times New Roman"/>
          <w:bCs/>
          <w:i/>
          <w:iCs/>
        </w:rPr>
      </w:pPr>
      <w:r w:rsidRPr="000E0F6B">
        <w:rPr>
          <w:rFonts w:ascii="Times New Roman" w:hAnsi="Times New Roman" w:cs="Times New Roman"/>
          <w:bCs/>
          <w:i/>
          <w:iCs/>
        </w:rPr>
        <w:t xml:space="preserve">Beleid beter verbinden met brede welvaart en </w:t>
      </w:r>
      <w:proofErr w:type="spellStart"/>
      <w:r w:rsidRPr="000E0F6B" w:rsidR="009D0388">
        <w:rPr>
          <w:rFonts w:ascii="Times New Roman" w:hAnsi="Times New Roman" w:cs="Times New Roman"/>
          <w:bCs/>
          <w:i/>
          <w:iCs/>
        </w:rPr>
        <w:t>S</w:t>
      </w:r>
      <w:r w:rsidRPr="000E0F6B">
        <w:rPr>
          <w:rFonts w:ascii="Times New Roman" w:hAnsi="Times New Roman" w:cs="Times New Roman"/>
          <w:bCs/>
          <w:i/>
          <w:iCs/>
        </w:rPr>
        <w:t>ustainable</w:t>
      </w:r>
      <w:proofErr w:type="spellEnd"/>
      <w:r w:rsidRPr="000E0F6B">
        <w:rPr>
          <w:rFonts w:ascii="Times New Roman" w:hAnsi="Times New Roman" w:cs="Times New Roman"/>
          <w:bCs/>
          <w:i/>
          <w:iCs/>
        </w:rPr>
        <w:t xml:space="preserve"> </w:t>
      </w:r>
      <w:r w:rsidRPr="000E0F6B" w:rsidR="009D0388">
        <w:rPr>
          <w:rFonts w:ascii="Times New Roman" w:hAnsi="Times New Roman" w:cs="Times New Roman"/>
          <w:bCs/>
          <w:i/>
          <w:iCs/>
        </w:rPr>
        <w:t>D</w:t>
      </w:r>
      <w:r w:rsidRPr="000E0F6B">
        <w:rPr>
          <w:rFonts w:ascii="Times New Roman" w:hAnsi="Times New Roman" w:cs="Times New Roman"/>
          <w:bCs/>
          <w:i/>
          <w:iCs/>
        </w:rPr>
        <w:t xml:space="preserve">evelopment </w:t>
      </w:r>
      <w:r w:rsidRPr="000E0F6B" w:rsidR="009D0388">
        <w:rPr>
          <w:rFonts w:ascii="Times New Roman" w:hAnsi="Times New Roman" w:cs="Times New Roman"/>
          <w:bCs/>
          <w:i/>
          <w:iCs/>
        </w:rPr>
        <w:t>G</w:t>
      </w:r>
      <w:r w:rsidRPr="000E0F6B">
        <w:rPr>
          <w:rFonts w:ascii="Times New Roman" w:hAnsi="Times New Roman" w:cs="Times New Roman"/>
          <w:bCs/>
          <w:i/>
          <w:iCs/>
        </w:rPr>
        <w:t>oals</w:t>
      </w:r>
    </w:p>
    <w:p w:rsidRPr="000E0F6B" w:rsidR="00D32557" w:rsidP="000E0F6B" w:rsidRDefault="00D32557" w14:paraId="1E27DCC7" w14:textId="77777777">
      <w:pPr>
        <w:pStyle w:val="Default"/>
        <w:rPr>
          <w:rFonts w:ascii="Times New Roman" w:hAnsi="Times New Roman" w:cs="Times New Roman"/>
          <w:bCs/>
        </w:rPr>
      </w:pPr>
      <w:r w:rsidRPr="000E0F6B">
        <w:rPr>
          <w:rFonts w:ascii="Times New Roman" w:hAnsi="Times New Roman" w:cs="Times New Roman"/>
          <w:bCs/>
        </w:rPr>
        <w:t xml:space="preserve">In het Jaarverslag 2024 staat vermeld aan welke </w:t>
      </w:r>
      <w:proofErr w:type="spellStart"/>
      <w:r w:rsidRPr="000E0F6B">
        <w:rPr>
          <w:rFonts w:ascii="Times New Roman" w:hAnsi="Times New Roman" w:cs="Times New Roman"/>
          <w:bCs/>
        </w:rPr>
        <w:t>Sustainable</w:t>
      </w:r>
      <w:proofErr w:type="spellEnd"/>
      <w:r w:rsidRPr="000E0F6B">
        <w:rPr>
          <w:rFonts w:ascii="Times New Roman" w:hAnsi="Times New Roman" w:cs="Times New Roman"/>
          <w:bCs/>
        </w:rPr>
        <w:t xml:space="preserve"> Development Goals (</w:t>
      </w:r>
      <w:proofErr w:type="spellStart"/>
      <w:r w:rsidRPr="000E0F6B">
        <w:rPr>
          <w:rFonts w:ascii="Times New Roman" w:hAnsi="Times New Roman" w:cs="Times New Roman"/>
          <w:bCs/>
        </w:rPr>
        <w:t>SDG’s</w:t>
      </w:r>
      <w:proofErr w:type="spellEnd"/>
      <w:r w:rsidRPr="000E0F6B">
        <w:rPr>
          <w:rFonts w:ascii="Times New Roman" w:hAnsi="Times New Roman" w:cs="Times New Roman"/>
          <w:bCs/>
        </w:rPr>
        <w:t>) OCW bijdraagt: SDG4 kwaliteitsonderwijs en SDG5 gendergelijkheid.</w:t>
      </w:r>
      <w:r w:rsidRPr="000E0F6B">
        <w:rPr>
          <w:rFonts w:ascii="Times New Roman" w:hAnsi="Times New Roman" w:cs="Times New Roman"/>
          <w:bCs/>
          <w:vertAlign w:val="superscript"/>
        </w:rPr>
        <w:footnoteReference w:id="22"/>
      </w:r>
      <w:r w:rsidRPr="000E0F6B">
        <w:rPr>
          <w:rFonts w:ascii="Times New Roman" w:hAnsi="Times New Roman" w:cs="Times New Roman"/>
          <w:bCs/>
        </w:rPr>
        <w:t xml:space="preserve"> De leden van de commissie merken op dat SDG9.3 Kennis en innovatie niet genoemd wordt, terwijl daar toch relevante doelstellingen in staan, zoals de uitgaven aan R&amp;D</w:t>
      </w:r>
      <w:r w:rsidRPr="000E0F6B">
        <w:rPr>
          <w:rFonts w:ascii="Times New Roman" w:hAnsi="Times New Roman" w:cs="Times New Roman"/>
          <w:bCs/>
          <w:vertAlign w:val="superscript"/>
        </w:rPr>
        <w:footnoteReference w:id="23"/>
      </w:r>
      <w:r w:rsidRPr="000E0F6B">
        <w:rPr>
          <w:rFonts w:ascii="Times New Roman" w:hAnsi="Times New Roman" w:cs="Times New Roman"/>
          <w:bCs/>
        </w:rPr>
        <w:t>, de wetenschappelijke publicaties en het vertrouwen in de wetenschap.</w:t>
      </w:r>
      <w:r w:rsidRPr="000E0F6B">
        <w:rPr>
          <w:rFonts w:ascii="Times New Roman" w:hAnsi="Times New Roman" w:cs="Times New Roman"/>
          <w:bCs/>
          <w:vertAlign w:val="superscript"/>
        </w:rPr>
        <w:footnoteReference w:id="24"/>
      </w:r>
      <w:r w:rsidRPr="000E0F6B">
        <w:rPr>
          <w:rFonts w:ascii="Times New Roman" w:hAnsi="Times New Roman" w:cs="Times New Roman"/>
          <w:bCs/>
        </w:rPr>
        <w:t xml:space="preserve"> Verder wordt in het jaarverslag volstaan met een verwijzing naar deze doelen, terwijl een beschrijving van hoe het beleid dient bij te dragen aan deze doelstellingen informatiever zou zijn. Deze leden vragen de minister en staatssecretaris of zij in het jaarverslag bij de beschrijving van de diverse beleidsprioriteiten expliciet kunnen beschrijven hoe deze bijdragen aan het behalen van de diverse subdoelstellingen onder de </w:t>
      </w:r>
      <w:proofErr w:type="spellStart"/>
      <w:r w:rsidRPr="000E0F6B">
        <w:rPr>
          <w:rFonts w:ascii="Times New Roman" w:hAnsi="Times New Roman" w:cs="Times New Roman"/>
          <w:bCs/>
        </w:rPr>
        <w:t>SDG’s</w:t>
      </w:r>
      <w:proofErr w:type="spellEnd"/>
      <w:r w:rsidRPr="000E0F6B">
        <w:rPr>
          <w:rFonts w:ascii="Times New Roman" w:hAnsi="Times New Roman" w:cs="Times New Roman"/>
          <w:bCs/>
        </w:rPr>
        <w:t xml:space="preserve">. Tevens vragen zij of de minister de relevante subdoelstellingen uit SDG9.3 in het vervolg hier ook bij kan betrekken. </w:t>
      </w:r>
    </w:p>
    <w:p w:rsidRPr="000E0F6B" w:rsidR="00D32557" w:rsidP="000E0F6B" w:rsidRDefault="00D32557" w14:paraId="7A4D7EBA" w14:textId="77777777">
      <w:pPr>
        <w:pStyle w:val="Default"/>
        <w:rPr>
          <w:rFonts w:ascii="Times New Roman" w:hAnsi="Times New Roman" w:cs="Times New Roman"/>
          <w:bCs/>
        </w:rPr>
      </w:pPr>
    </w:p>
    <w:p w:rsidRPr="000E0F6B" w:rsidR="00D32557" w:rsidP="000E0F6B" w:rsidRDefault="00D32557" w14:paraId="0A03ADDE" w14:textId="77777777">
      <w:pPr>
        <w:pStyle w:val="Default"/>
        <w:rPr>
          <w:rFonts w:ascii="Times New Roman" w:hAnsi="Times New Roman" w:cs="Times New Roman"/>
          <w:bCs/>
        </w:rPr>
      </w:pPr>
      <w:r w:rsidRPr="000E0F6B">
        <w:rPr>
          <w:rFonts w:ascii="Times New Roman" w:hAnsi="Times New Roman" w:cs="Times New Roman"/>
          <w:bCs/>
        </w:rPr>
        <w:t>Vorig jaar brachten de leden van de commissie de algemene doelstellingen van het (vorige) kabinet onder de aandacht, zoals het percentage uitgaven van het BBP</w:t>
      </w:r>
      <w:r w:rsidRPr="000E0F6B">
        <w:rPr>
          <w:rFonts w:ascii="Times New Roman" w:hAnsi="Times New Roman" w:cs="Times New Roman"/>
          <w:bCs/>
          <w:vertAlign w:val="superscript"/>
        </w:rPr>
        <w:footnoteReference w:id="25"/>
      </w:r>
      <w:r w:rsidRPr="000E0F6B">
        <w:rPr>
          <w:rFonts w:ascii="Times New Roman" w:hAnsi="Times New Roman" w:cs="Times New Roman"/>
          <w:bCs/>
        </w:rPr>
        <w:t xml:space="preserve"> aan R&amp;D, het percentage kinderen dat zonder onderwijs thuiszit, voortijdige schoolverlaters en de mate waarin de basisvaardigheden worden beheerst.</w:t>
      </w:r>
      <w:r w:rsidRPr="000E0F6B">
        <w:rPr>
          <w:rFonts w:ascii="Times New Roman" w:hAnsi="Times New Roman" w:cs="Times New Roman"/>
          <w:bCs/>
          <w:vertAlign w:val="superscript"/>
        </w:rPr>
        <w:footnoteReference w:id="26"/>
      </w:r>
      <w:r w:rsidRPr="000E0F6B">
        <w:rPr>
          <w:rFonts w:ascii="Times New Roman" w:hAnsi="Times New Roman" w:cs="Times New Roman"/>
          <w:bCs/>
        </w:rPr>
        <w:t xml:space="preserve"> Het is deze leden opgevallen dat deze doelstellingen niet meer zijn terug te vinden in het jaarverslag. Wat is de reden hiervan? Het is eveneens niet duidelijk in hoeverre het huidige kabinet deze doelstellingen heeft overgenomen. Is dat het geval? De leden van de commissie vragen de minister en staatssecretaris te komen tot een algemene set van doelstellingen voor het ministerie. Deze leden denken dat hiervoor ook goed aangesloten kan worden bij de (sub)doelstellingen van SDG4, 5 en 9.3 aangevuld met algemene doelstellingen voor de onderdelen cultuur en media. Wat is de reflectie van de bewindspersonen hierop? Ook vragen zij naar de aanpak voor het komen tot een algemene set van doelstellingen voor OCW en daarbij de koppeling te leggen met de </w:t>
      </w:r>
      <w:proofErr w:type="spellStart"/>
      <w:r w:rsidRPr="000E0F6B">
        <w:rPr>
          <w:rFonts w:ascii="Times New Roman" w:hAnsi="Times New Roman" w:cs="Times New Roman"/>
          <w:bCs/>
        </w:rPr>
        <w:t>SDG’s</w:t>
      </w:r>
      <w:proofErr w:type="spellEnd"/>
      <w:r w:rsidRPr="000E0F6B">
        <w:rPr>
          <w:rFonts w:ascii="Times New Roman" w:hAnsi="Times New Roman" w:cs="Times New Roman"/>
          <w:bCs/>
        </w:rPr>
        <w:t>.</w:t>
      </w:r>
    </w:p>
    <w:p w:rsidRPr="000E0F6B" w:rsidR="00D32557" w:rsidP="000E0F6B" w:rsidRDefault="00D32557" w14:paraId="4A31E0B5" w14:textId="77777777">
      <w:pPr>
        <w:pStyle w:val="Default"/>
        <w:rPr>
          <w:rFonts w:ascii="Times New Roman" w:hAnsi="Times New Roman" w:cs="Times New Roman"/>
          <w:bCs/>
        </w:rPr>
      </w:pPr>
    </w:p>
    <w:p w:rsidRPr="000E0F6B" w:rsidR="00D32557" w:rsidP="000E0F6B" w:rsidRDefault="00D32557" w14:paraId="76866F65" w14:textId="77777777">
      <w:pPr>
        <w:pStyle w:val="Default"/>
        <w:rPr>
          <w:rFonts w:ascii="Times New Roman" w:hAnsi="Times New Roman" w:cs="Times New Roman"/>
          <w:bCs/>
          <w:i/>
          <w:iCs/>
        </w:rPr>
      </w:pPr>
      <w:r w:rsidRPr="000E0F6B">
        <w:rPr>
          <w:rFonts w:ascii="Times New Roman" w:hAnsi="Times New Roman" w:cs="Times New Roman"/>
          <w:bCs/>
        </w:rPr>
        <w:t>De leden van de commissie lezen in de monitor Brede Welvaart dat de verschillen tussen mensen met verschillende onderwijsniveaus de laatste jaren niet zijn afgenomen. De stapeling van gunstige uitkomsten concentreert zich sterk bij de hbo’ers en universitair geschoolden, terwijl de stapeling van ongunstige uitkomsten vooral voorkomt bij de groep met basisonderwijs of een vmbo-diploma. De groep met een vmbo-niveau of daarmee vergelijkbaar scoort met name relatief vaak ongunstig op het hebben van betaald werk, vertrouwen in de medemens, inkomen en gezondheid.</w:t>
      </w:r>
      <w:r w:rsidRPr="000E0F6B">
        <w:rPr>
          <w:rFonts w:ascii="Times New Roman" w:hAnsi="Times New Roman" w:cs="Times New Roman"/>
          <w:bCs/>
          <w:vertAlign w:val="superscript"/>
        </w:rPr>
        <w:footnoteReference w:id="27"/>
      </w:r>
      <w:r w:rsidRPr="000E0F6B">
        <w:rPr>
          <w:rFonts w:ascii="Times New Roman" w:hAnsi="Times New Roman" w:cs="Times New Roman"/>
          <w:bCs/>
        </w:rPr>
        <w:t xml:space="preserve"> Deze leden missen in het jaarverslag een reflectie op deze uitkomsten. Zij vragen de minister en staatssecretaris in te gaan op de bijdrage van de diverse beleidsprioriteiten op het terrein van onderwijskwaliteit en kansengelijkheid aan het verkleinen van de verschillen tussen mensen met verschillende opleidingsniveaus. Ook vragen de leden van de commissie hoe het komt dat het beleid van de afgelopen jaren blijkbaar nog niet heeft geleid tot een verkleining van de verschillen tussen de opleidingsniveaus.</w:t>
      </w:r>
    </w:p>
    <w:p w:rsidRPr="000E0F6B" w:rsidR="00D32557" w:rsidP="000E0F6B" w:rsidRDefault="00D32557" w14:paraId="1E6C6842" w14:textId="77777777">
      <w:pPr>
        <w:pStyle w:val="Default"/>
        <w:rPr>
          <w:rFonts w:ascii="Times New Roman" w:hAnsi="Times New Roman" w:cs="Times New Roman"/>
          <w:bCs/>
        </w:rPr>
      </w:pPr>
    </w:p>
    <w:p w:rsidRPr="000E0F6B" w:rsidR="00D32557" w:rsidP="000E0F6B" w:rsidRDefault="00D32557" w14:paraId="40B0A750" w14:textId="5B97414B">
      <w:pPr>
        <w:pStyle w:val="Default"/>
        <w:rPr>
          <w:rFonts w:ascii="Times New Roman" w:hAnsi="Times New Roman" w:cs="Times New Roman"/>
          <w:b/>
        </w:rPr>
      </w:pPr>
      <w:r w:rsidRPr="000E0F6B">
        <w:rPr>
          <w:rFonts w:ascii="Times New Roman" w:hAnsi="Times New Roman" w:cs="Times New Roman"/>
          <w:b/>
        </w:rPr>
        <w:t>Inbreng van de leden van de PVV-fractie</w:t>
      </w:r>
    </w:p>
    <w:p w:rsidRPr="000E0F6B" w:rsidR="00876B49" w:rsidP="000E0F6B" w:rsidRDefault="00876B49" w14:paraId="74450F4B" w14:textId="7A889B15">
      <w:pPr>
        <w:pStyle w:val="Geenafstand"/>
        <w:spacing w:line="240" w:lineRule="auto"/>
        <w:rPr>
          <w:rFonts w:ascii="Times New Roman" w:hAnsi="Times New Roman" w:cs="Times New Roman"/>
          <w:b/>
          <w:bCs/>
        </w:rPr>
      </w:pPr>
      <w:r w:rsidRPr="000E0F6B">
        <w:rPr>
          <w:rFonts w:ascii="Times New Roman" w:hAnsi="Times New Roman" w:cs="Times New Roman"/>
        </w:rPr>
        <w:t xml:space="preserve">De leden van de PVV-fractie maken zich ernstige zorgen over het structurele gebrek aan orde, veiligheid en basisvaardigheden in het onderwijs. Uit </w:t>
      </w:r>
      <w:r w:rsidRPr="000E0F6B" w:rsidR="006B54EF">
        <w:rPr>
          <w:rFonts w:ascii="Times New Roman" w:hAnsi="Times New Roman" w:cs="Times New Roman"/>
        </w:rPr>
        <w:t>d</w:t>
      </w:r>
      <w:r w:rsidRPr="000E0F6B">
        <w:rPr>
          <w:rFonts w:ascii="Times New Roman" w:hAnsi="Times New Roman" w:cs="Times New Roman"/>
        </w:rPr>
        <w:t>e Staat van het Onderwijs 2025 blijkt dat de sociale veiligheid van leerlingen onder druk staat, dat pesten, grensoverschrijdend gedrag en onrust toenemen en dat leraren moeite hebben om de orde te handhaven. Ondertussen blijven de taal- en rekenprestaties van met name vmbo-leerlingen en mbo-studenten zorgwekkend achter</w:t>
      </w:r>
      <w:r w:rsidRPr="000E0F6B" w:rsidR="006B54EF">
        <w:rPr>
          <w:rFonts w:ascii="Times New Roman" w:hAnsi="Times New Roman" w:cs="Times New Roman"/>
        </w:rPr>
        <w:t>.</w:t>
      </w:r>
    </w:p>
    <w:p w:rsidRPr="000E0F6B" w:rsidR="00876B49" w:rsidP="000E0F6B" w:rsidRDefault="00876B49" w14:paraId="1868A19E" w14:textId="77777777">
      <w:pPr>
        <w:pStyle w:val="Geenafstand"/>
        <w:spacing w:line="240" w:lineRule="auto"/>
        <w:rPr>
          <w:rFonts w:ascii="Times New Roman" w:hAnsi="Times New Roman" w:cs="Times New Roman"/>
        </w:rPr>
      </w:pPr>
    </w:p>
    <w:p w:rsidRPr="000E0F6B" w:rsidR="006B54EF" w:rsidP="000E0F6B" w:rsidRDefault="00876B49" w14:paraId="10FE966F" w14:textId="07009DBF">
      <w:pPr>
        <w:pStyle w:val="Geenafstand"/>
        <w:spacing w:line="240" w:lineRule="auto"/>
        <w:rPr>
          <w:rFonts w:ascii="Times New Roman" w:hAnsi="Times New Roman" w:cs="Times New Roman"/>
        </w:rPr>
      </w:pPr>
      <w:r w:rsidRPr="000E0F6B">
        <w:rPr>
          <w:rFonts w:ascii="Times New Roman" w:hAnsi="Times New Roman" w:cs="Times New Roman"/>
        </w:rPr>
        <w:t xml:space="preserve">De </w:t>
      </w:r>
      <w:r w:rsidRPr="000E0F6B" w:rsidR="006B54EF">
        <w:rPr>
          <w:rFonts w:ascii="Times New Roman" w:hAnsi="Times New Roman" w:cs="Times New Roman"/>
        </w:rPr>
        <w:t xml:space="preserve">leden van de </w:t>
      </w:r>
      <w:r w:rsidRPr="000E0F6B">
        <w:rPr>
          <w:rFonts w:ascii="Times New Roman" w:hAnsi="Times New Roman" w:cs="Times New Roman"/>
        </w:rPr>
        <w:t>PVV-fractie constate</w:t>
      </w:r>
      <w:r w:rsidRPr="000E0F6B" w:rsidR="006B54EF">
        <w:rPr>
          <w:rFonts w:ascii="Times New Roman" w:hAnsi="Times New Roman" w:cs="Times New Roman"/>
        </w:rPr>
        <w:t>ren</w:t>
      </w:r>
      <w:r w:rsidRPr="000E0F6B">
        <w:rPr>
          <w:rFonts w:ascii="Times New Roman" w:hAnsi="Times New Roman" w:cs="Times New Roman"/>
        </w:rPr>
        <w:t xml:space="preserve"> dat de kansen van welwillende, gemotiveerde leerlingen structureel worden ondermijnd door ordeverstoorders. Niet</w:t>
      </w:r>
      <w:r w:rsidRPr="000E0F6B" w:rsidR="006B54EF">
        <w:rPr>
          <w:rFonts w:ascii="Times New Roman" w:hAnsi="Times New Roman" w:cs="Times New Roman"/>
        </w:rPr>
        <w:t>-</w:t>
      </w:r>
      <w:r w:rsidRPr="000E0F6B">
        <w:rPr>
          <w:rFonts w:ascii="Times New Roman" w:hAnsi="Times New Roman" w:cs="Times New Roman"/>
        </w:rPr>
        <w:t>schoolrijpe leerlingen horen niet thuis in een reguliere klas. Daarnaast ontbreekt een stevige, landelijke aanpak van laaggeletterdheid, ondanks de enorme maatschappelijke schade die dit jaarlijks veroorzaakt.</w:t>
      </w:r>
      <w:r w:rsidRPr="000E0F6B" w:rsidR="006B54EF">
        <w:rPr>
          <w:rFonts w:ascii="Times New Roman" w:hAnsi="Times New Roman" w:cs="Times New Roman"/>
        </w:rPr>
        <w:t xml:space="preserve"> </w:t>
      </w:r>
      <w:r w:rsidRPr="000E0F6B">
        <w:rPr>
          <w:rFonts w:ascii="Times New Roman" w:hAnsi="Times New Roman" w:cs="Times New Roman"/>
        </w:rPr>
        <w:t xml:space="preserve">De leden van de PVV-fractie hebben hierover </w:t>
      </w:r>
      <w:r w:rsidRPr="000E0F6B" w:rsidR="006B54EF">
        <w:rPr>
          <w:rFonts w:ascii="Times New Roman" w:hAnsi="Times New Roman" w:cs="Times New Roman"/>
        </w:rPr>
        <w:t xml:space="preserve">een aantal </w:t>
      </w:r>
      <w:r w:rsidRPr="000E0F6B">
        <w:rPr>
          <w:rFonts w:ascii="Times New Roman" w:hAnsi="Times New Roman" w:cs="Times New Roman"/>
        </w:rPr>
        <w:t>vragen aan de staatssecretaris</w:t>
      </w:r>
      <w:r w:rsidRPr="000E0F6B" w:rsidR="006B54EF">
        <w:rPr>
          <w:rFonts w:ascii="Times New Roman" w:hAnsi="Times New Roman" w:cs="Times New Roman"/>
        </w:rPr>
        <w:t>.</w:t>
      </w:r>
    </w:p>
    <w:p w:rsidRPr="000E0F6B" w:rsidR="006B54EF" w:rsidP="000E0F6B" w:rsidRDefault="006B54EF" w14:paraId="05DF737A" w14:textId="77777777">
      <w:pPr>
        <w:pStyle w:val="Geenafstand"/>
        <w:spacing w:line="240" w:lineRule="auto"/>
        <w:rPr>
          <w:rFonts w:ascii="Times New Roman" w:hAnsi="Times New Roman" w:cs="Times New Roman"/>
        </w:rPr>
      </w:pPr>
    </w:p>
    <w:p w:rsidRPr="000E0F6B" w:rsidR="00876B49" w:rsidP="000E0F6B" w:rsidRDefault="00876B49" w14:paraId="6B97A112" w14:textId="4CB99184">
      <w:pPr>
        <w:pStyle w:val="Geenafstand"/>
        <w:spacing w:line="240" w:lineRule="auto"/>
        <w:rPr>
          <w:rFonts w:ascii="Times New Roman" w:hAnsi="Times New Roman" w:cs="Times New Roman"/>
        </w:rPr>
      </w:pPr>
      <w:r w:rsidRPr="000E0F6B">
        <w:rPr>
          <w:rFonts w:ascii="Times New Roman" w:hAnsi="Times New Roman" w:cs="Times New Roman"/>
        </w:rPr>
        <w:t>Herkent de staatssecretaris dat het recht op goed onderwijs voor gemotiveerde leerlingen nu wordt aangetast door raddraaiers die de orde voortdurend verstoren</w:t>
      </w:r>
      <w:r w:rsidRPr="000E0F6B" w:rsidR="006B54EF">
        <w:rPr>
          <w:rFonts w:ascii="Times New Roman" w:hAnsi="Times New Roman" w:cs="Times New Roman"/>
        </w:rPr>
        <w:t xml:space="preserve"> e</w:t>
      </w:r>
      <w:r w:rsidRPr="000E0F6B">
        <w:rPr>
          <w:rFonts w:ascii="Times New Roman" w:hAnsi="Times New Roman" w:cs="Times New Roman"/>
        </w:rPr>
        <w:t>n dat dit mogelijk verband houdt met de vele thuiszitters?</w:t>
      </w:r>
      <w:r w:rsidRPr="000E0F6B" w:rsidR="006B54EF">
        <w:rPr>
          <w:rFonts w:ascii="Times New Roman" w:hAnsi="Times New Roman" w:cs="Times New Roman"/>
        </w:rPr>
        <w:t xml:space="preserve"> </w:t>
      </w:r>
      <w:r w:rsidRPr="000E0F6B">
        <w:rPr>
          <w:rFonts w:ascii="Times New Roman" w:hAnsi="Times New Roman" w:cs="Times New Roman"/>
        </w:rPr>
        <w:t>Is de staatssecretaris bereid landelijke richtlijnen op te stellen waarin wangedrag leidt tot directe verwijdering uit de klas, met structurele opvang in aparte zijklassen?</w:t>
      </w:r>
      <w:r w:rsidRPr="000E0F6B" w:rsidR="007B5662">
        <w:rPr>
          <w:rFonts w:ascii="Times New Roman" w:hAnsi="Times New Roman" w:cs="Times New Roman"/>
        </w:rPr>
        <w:t xml:space="preserve"> </w:t>
      </w:r>
      <w:r w:rsidRPr="000E0F6B">
        <w:rPr>
          <w:rFonts w:ascii="Times New Roman" w:hAnsi="Times New Roman" w:cs="Times New Roman"/>
        </w:rPr>
        <w:t>Is de staatssecretaris bereid een landelijke anti-</w:t>
      </w:r>
      <w:proofErr w:type="spellStart"/>
      <w:r w:rsidRPr="000E0F6B">
        <w:rPr>
          <w:rFonts w:ascii="Times New Roman" w:hAnsi="Times New Roman" w:cs="Times New Roman"/>
        </w:rPr>
        <w:t>pestwet</w:t>
      </w:r>
      <w:proofErr w:type="spellEnd"/>
      <w:r w:rsidRPr="000E0F6B">
        <w:rPr>
          <w:rFonts w:ascii="Times New Roman" w:hAnsi="Times New Roman" w:cs="Times New Roman"/>
        </w:rPr>
        <w:t xml:space="preserve"> naar Frans voorbeeld in te voeren, waarin pestgedrag </w:t>
      </w:r>
      <w:r w:rsidRPr="000E0F6B" w:rsidR="006B54EF">
        <w:rPr>
          <w:rFonts w:ascii="Times New Roman" w:hAnsi="Times New Roman" w:cs="Times New Roman"/>
        </w:rPr>
        <w:t xml:space="preserve">- </w:t>
      </w:r>
      <w:r w:rsidRPr="000E0F6B">
        <w:rPr>
          <w:rFonts w:ascii="Times New Roman" w:hAnsi="Times New Roman" w:cs="Times New Roman"/>
        </w:rPr>
        <w:t xml:space="preserve">structureel of ernstig van aard </w:t>
      </w:r>
      <w:r w:rsidRPr="000E0F6B" w:rsidR="006B54EF">
        <w:rPr>
          <w:rFonts w:ascii="Times New Roman" w:hAnsi="Times New Roman" w:cs="Times New Roman"/>
        </w:rPr>
        <w:t>-</w:t>
      </w:r>
      <w:r w:rsidRPr="000E0F6B">
        <w:rPr>
          <w:rFonts w:ascii="Times New Roman" w:hAnsi="Times New Roman" w:cs="Times New Roman"/>
        </w:rPr>
        <w:t xml:space="preserve"> strafbaar wordt gesteld met duidelijke juridische en pedagogische consequenties voor daders én scholen die onvoldoende ingrijpen?</w:t>
      </w:r>
    </w:p>
    <w:p w:rsidRPr="000E0F6B" w:rsidR="006B54EF" w:rsidP="000E0F6B" w:rsidRDefault="006B54EF" w14:paraId="0D2A4E13" w14:textId="77777777">
      <w:pPr>
        <w:pStyle w:val="Geenafstand"/>
        <w:spacing w:line="240" w:lineRule="auto"/>
        <w:rPr>
          <w:rFonts w:ascii="Times New Roman" w:hAnsi="Times New Roman" w:cs="Times New Roman"/>
        </w:rPr>
      </w:pPr>
    </w:p>
    <w:p w:rsidRPr="000E0F6B" w:rsidR="00876B49" w:rsidP="000E0F6B" w:rsidRDefault="00876B49" w14:paraId="330B143F" w14:textId="07037373">
      <w:pPr>
        <w:pStyle w:val="Geenafstand"/>
        <w:spacing w:line="240" w:lineRule="auto"/>
        <w:rPr>
          <w:rFonts w:ascii="Times New Roman" w:hAnsi="Times New Roman" w:cs="Times New Roman"/>
        </w:rPr>
      </w:pPr>
      <w:r w:rsidRPr="000E0F6B">
        <w:rPr>
          <w:rFonts w:ascii="Times New Roman" w:hAnsi="Times New Roman" w:cs="Times New Roman"/>
        </w:rPr>
        <w:t xml:space="preserve">Wanneer komt er een landelijke, </w:t>
      </w:r>
      <w:proofErr w:type="spellStart"/>
      <w:r w:rsidRPr="000E0F6B">
        <w:rPr>
          <w:rFonts w:ascii="Times New Roman" w:hAnsi="Times New Roman" w:cs="Times New Roman"/>
        </w:rPr>
        <w:t>evidence-informed</w:t>
      </w:r>
      <w:proofErr w:type="spellEnd"/>
      <w:r w:rsidRPr="000E0F6B">
        <w:rPr>
          <w:rFonts w:ascii="Times New Roman" w:hAnsi="Times New Roman" w:cs="Times New Roman"/>
        </w:rPr>
        <w:t xml:space="preserve"> aanpak van laaggeletterdheid met concrete en meetbare normering per schooltype en regio? Is de staatssecretaris bereid een ambitienorm te hanteren van maximaal 15</w:t>
      </w:r>
      <w:r w:rsidRPr="000E0F6B" w:rsidR="007B5662">
        <w:rPr>
          <w:rFonts w:ascii="Times New Roman" w:hAnsi="Times New Roman" w:cs="Times New Roman"/>
        </w:rPr>
        <w:t>%</w:t>
      </w:r>
      <w:r w:rsidRPr="000E0F6B">
        <w:rPr>
          <w:rFonts w:ascii="Times New Roman" w:hAnsi="Times New Roman" w:cs="Times New Roman"/>
        </w:rPr>
        <w:t xml:space="preserve"> functioneel analfabetisme onder 15-jarigen bij de volgende PISA</w:t>
      </w:r>
      <w:r w:rsidRPr="000E0F6B" w:rsidR="006B54EF">
        <w:rPr>
          <w:rStyle w:val="Voetnootmarkering"/>
          <w:rFonts w:ascii="Times New Roman" w:hAnsi="Times New Roman" w:cs="Times New Roman"/>
        </w:rPr>
        <w:footnoteReference w:id="28"/>
      </w:r>
      <w:r w:rsidRPr="000E0F6B">
        <w:rPr>
          <w:rFonts w:ascii="Times New Roman" w:hAnsi="Times New Roman" w:cs="Times New Roman"/>
        </w:rPr>
        <w:t>-metingen?</w:t>
      </w:r>
    </w:p>
    <w:p w:rsidRPr="000E0F6B" w:rsidR="00876B49" w:rsidP="000E0F6B" w:rsidRDefault="00876B49" w14:paraId="4B14843C" w14:textId="77777777">
      <w:pPr>
        <w:pStyle w:val="Geenafstand"/>
        <w:spacing w:line="240" w:lineRule="auto"/>
        <w:rPr>
          <w:rFonts w:ascii="Times New Roman" w:hAnsi="Times New Roman" w:cs="Times New Roman"/>
        </w:rPr>
      </w:pPr>
    </w:p>
    <w:p w:rsidRPr="000E0F6B" w:rsidR="00876B49" w:rsidP="000E0F6B" w:rsidRDefault="00876B49" w14:paraId="0AFA8231" w14:textId="4C51AA98">
      <w:pPr>
        <w:pStyle w:val="Geenafstand"/>
        <w:spacing w:line="240" w:lineRule="auto"/>
        <w:rPr>
          <w:rFonts w:ascii="Times New Roman" w:hAnsi="Times New Roman" w:cs="Times New Roman"/>
        </w:rPr>
      </w:pPr>
      <w:r w:rsidRPr="000E0F6B">
        <w:rPr>
          <w:rFonts w:ascii="Times New Roman" w:hAnsi="Times New Roman" w:cs="Times New Roman"/>
        </w:rPr>
        <w:t>De leden van de PVV-fractie constateren dat het Jaarverslag 2024</w:t>
      </w:r>
      <w:r w:rsidRPr="000E0F6B" w:rsidR="006B54EF">
        <w:rPr>
          <w:rFonts w:ascii="Times New Roman" w:hAnsi="Times New Roman" w:cs="Times New Roman"/>
        </w:rPr>
        <w:t xml:space="preserve"> </w:t>
      </w:r>
      <w:r w:rsidRPr="000E0F6B">
        <w:rPr>
          <w:rFonts w:ascii="Times New Roman" w:hAnsi="Times New Roman" w:cs="Times New Roman"/>
        </w:rPr>
        <w:t xml:space="preserve">vooral laat zien wat er niet lukt </w:t>
      </w:r>
      <w:r w:rsidRPr="000E0F6B" w:rsidR="006B54EF">
        <w:rPr>
          <w:rFonts w:ascii="Times New Roman" w:hAnsi="Times New Roman" w:cs="Times New Roman"/>
        </w:rPr>
        <w:t>van het beleid van de bewindspersonen van OCW</w:t>
      </w:r>
      <w:r w:rsidRPr="000E0F6B">
        <w:rPr>
          <w:rFonts w:ascii="Times New Roman" w:hAnsi="Times New Roman" w:cs="Times New Roman"/>
        </w:rPr>
        <w:t>. Er wordt voor miljarden uitgegeven, maar er ontbreekt structureel inzicht in effectiviteit: van veel beleid is onduidelijk of het werkt. Dat is onacceptabel in een tijd waarin de basis onder het onderwijs wankelt.</w:t>
      </w:r>
      <w:r w:rsidRPr="000E0F6B" w:rsidR="006B54EF">
        <w:rPr>
          <w:rFonts w:ascii="Times New Roman" w:hAnsi="Times New Roman" w:cs="Times New Roman"/>
        </w:rPr>
        <w:t xml:space="preserve"> </w:t>
      </w:r>
      <w:r w:rsidRPr="000E0F6B">
        <w:rPr>
          <w:rFonts w:ascii="Times New Roman" w:hAnsi="Times New Roman" w:cs="Times New Roman"/>
        </w:rPr>
        <w:t>Waarom worden er jaarlijks miljarden uitgegeven zonder toetsbare beleidsopbrengsten?</w:t>
      </w:r>
      <w:r w:rsidRPr="000E0F6B" w:rsidR="006B54EF">
        <w:rPr>
          <w:rFonts w:ascii="Times New Roman" w:hAnsi="Times New Roman" w:cs="Times New Roman"/>
        </w:rPr>
        <w:t xml:space="preserve"> </w:t>
      </w:r>
      <w:r w:rsidRPr="000E0F6B">
        <w:rPr>
          <w:rFonts w:ascii="Times New Roman" w:hAnsi="Times New Roman" w:cs="Times New Roman"/>
        </w:rPr>
        <w:t>Waarom wordt dit probleem telkens opnieuw gesignaleerd, zonder dat de Kamer harde verantwoording krijgt over prestaties per regeling?</w:t>
      </w:r>
      <w:r w:rsidRPr="000E0F6B" w:rsidR="006B54EF">
        <w:rPr>
          <w:rFonts w:ascii="Times New Roman" w:hAnsi="Times New Roman" w:cs="Times New Roman"/>
        </w:rPr>
        <w:t xml:space="preserve"> </w:t>
      </w:r>
      <w:r w:rsidRPr="000E0F6B">
        <w:rPr>
          <w:rFonts w:ascii="Times New Roman" w:hAnsi="Times New Roman" w:cs="Times New Roman"/>
        </w:rPr>
        <w:t xml:space="preserve">Er is geen inzicht in de doeltreffendheid van tientallen subsidies en regelingen. </w:t>
      </w:r>
      <w:r w:rsidRPr="000E0F6B" w:rsidR="00CB254D">
        <w:rPr>
          <w:rFonts w:ascii="Times New Roman" w:hAnsi="Times New Roman" w:cs="Times New Roman"/>
        </w:rPr>
        <w:t xml:space="preserve">Zijn de minister en </w:t>
      </w:r>
      <w:r w:rsidRPr="000E0F6B">
        <w:rPr>
          <w:rFonts w:ascii="Times New Roman" w:hAnsi="Times New Roman" w:cs="Times New Roman"/>
        </w:rPr>
        <w:t xml:space="preserve">staatssecretaris bereid om per subsidieregeling de evaluatieplicht, de bijbehorende </w:t>
      </w:r>
      <w:proofErr w:type="spellStart"/>
      <w:r w:rsidRPr="000E0F6B">
        <w:rPr>
          <w:rFonts w:ascii="Times New Roman" w:hAnsi="Times New Roman" w:cs="Times New Roman"/>
        </w:rPr>
        <w:t>outcome</w:t>
      </w:r>
      <w:proofErr w:type="spellEnd"/>
      <w:r w:rsidRPr="000E0F6B">
        <w:rPr>
          <w:rFonts w:ascii="Times New Roman" w:hAnsi="Times New Roman" w:cs="Times New Roman"/>
        </w:rPr>
        <w:t>-indicatoren en de maatschappelijke opbrengst openbaar te maken?</w:t>
      </w:r>
      <w:r w:rsidRPr="000E0F6B" w:rsidR="006B54EF">
        <w:rPr>
          <w:rFonts w:ascii="Times New Roman" w:hAnsi="Times New Roman" w:cs="Times New Roman"/>
        </w:rPr>
        <w:t xml:space="preserve"> </w:t>
      </w:r>
      <w:r w:rsidRPr="000E0F6B">
        <w:rPr>
          <w:rFonts w:ascii="Times New Roman" w:hAnsi="Times New Roman" w:cs="Times New Roman"/>
        </w:rPr>
        <w:t xml:space="preserve">Tot slot: ondanks de miljarden voor ‘basisvaardigheden’ worden geen resultaatsnormen of tussendoelen geformuleerd. </w:t>
      </w:r>
      <w:r w:rsidRPr="000E0F6B" w:rsidR="00CB254D">
        <w:rPr>
          <w:rFonts w:ascii="Times New Roman" w:hAnsi="Times New Roman" w:cs="Times New Roman"/>
        </w:rPr>
        <w:t xml:space="preserve">Zijn de minister en </w:t>
      </w:r>
      <w:r w:rsidRPr="000E0F6B">
        <w:rPr>
          <w:rFonts w:ascii="Times New Roman" w:hAnsi="Times New Roman" w:cs="Times New Roman"/>
        </w:rPr>
        <w:t>staatssecretaris bereid om per onderwijssector meetbare doelen vast te stellen, inclusief een afrekenbare ondergrens voor geletterdheid en rekenvaardigheid?</w:t>
      </w:r>
    </w:p>
    <w:p w:rsidRPr="000E0F6B" w:rsidR="00876B49" w:rsidP="000E0F6B" w:rsidRDefault="00876B49" w14:paraId="476152FD" w14:textId="77777777">
      <w:pPr>
        <w:pStyle w:val="Geenafstand"/>
        <w:spacing w:line="240" w:lineRule="auto"/>
        <w:rPr>
          <w:rFonts w:ascii="Times New Roman" w:hAnsi="Times New Roman" w:cs="Times New Roman"/>
        </w:rPr>
      </w:pPr>
    </w:p>
    <w:p w:rsidRPr="000E0F6B" w:rsidR="00D32557" w:rsidP="000E0F6B" w:rsidRDefault="00D32557" w14:paraId="540F72B1" w14:textId="77777777">
      <w:pPr>
        <w:pStyle w:val="Default"/>
        <w:rPr>
          <w:rFonts w:ascii="Times New Roman" w:hAnsi="Times New Roman" w:cs="Times New Roman"/>
          <w:b/>
        </w:rPr>
      </w:pPr>
      <w:r w:rsidRPr="000E0F6B">
        <w:rPr>
          <w:rFonts w:ascii="Times New Roman" w:hAnsi="Times New Roman" w:cs="Times New Roman"/>
          <w:b/>
        </w:rPr>
        <w:t>Inbreng van de leden van de GroenLinks-PvdA-fractie</w:t>
      </w:r>
    </w:p>
    <w:p w:rsidRPr="000E0F6B" w:rsidR="00103F20" w:rsidP="000E0F6B" w:rsidRDefault="00435659" w14:paraId="79836EB4" w14:textId="6D71E985">
      <w:pPr>
        <w:rPr>
          <w:rFonts w:eastAsia="Arial"/>
          <w:kern w:val="2"/>
          <w:lang w:eastAsia="en-US"/>
          <w14:ligatures w14:val="standardContextual"/>
        </w:rPr>
      </w:pPr>
      <w:r w:rsidRPr="000E0F6B">
        <w:rPr>
          <w:rFonts w:eastAsia="Arial"/>
          <w:kern w:val="2"/>
          <w:lang w:eastAsia="en-US"/>
          <w14:ligatures w14:val="standardContextual"/>
        </w:rPr>
        <w:t xml:space="preserve">De leden van de GroenLinks-PvdA-fractie constateren dat de grondwettelijke vrijheid van onderwijs voor scholen en hun besturen geen vrijheid van verantwoording impliceert. Volgens de Algemene Rekenkamer geven de begroting en het jaarverslag van OCW echter onvoldoende inzicht in de effecten van ingezette middelen. De regering wil vanaf de begroting voor 2026 verbeterstappen zetten om de relatie tussen beleidsprioriteiten, doelen, beleid, indicatoren en middelen inzichtelijker maken. Kan </w:t>
      </w:r>
      <w:r w:rsidRPr="000E0F6B" w:rsidR="00887137">
        <w:rPr>
          <w:rFonts w:eastAsia="Arial"/>
          <w:kern w:val="2"/>
          <w:lang w:eastAsia="en-US"/>
          <w14:ligatures w14:val="standardContextual"/>
        </w:rPr>
        <w:t>verhelderd worden</w:t>
      </w:r>
      <w:r w:rsidRPr="000E0F6B">
        <w:rPr>
          <w:rFonts w:eastAsia="Arial"/>
          <w:kern w:val="2"/>
          <w:lang w:eastAsia="en-US"/>
          <w14:ligatures w14:val="standardContextual"/>
        </w:rPr>
        <w:t xml:space="preserve"> wat dit betekent voor de informatie die scholen en schoolbesturen voortaan extra bij het ministerie moeten aanleveren?</w:t>
      </w:r>
    </w:p>
    <w:p w:rsidRPr="000E0F6B" w:rsidR="00435659" w:rsidP="000E0F6B" w:rsidRDefault="00435659" w14:paraId="42AD186D" w14:textId="2A25C0B8">
      <w:pPr>
        <w:rPr>
          <w:rFonts w:eastAsia="Arial"/>
          <w:kern w:val="2"/>
          <w:lang w:eastAsia="en-US"/>
          <w14:ligatures w14:val="standardContextual"/>
        </w:rPr>
      </w:pPr>
      <w:r w:rsidRPr="000E0F6B">
        <w:rPr>
          <w:rFonts w:eastAsia="Arial"/>
          <w:kern w:val="2"/>
          <w:lang w:eastAsia="en-US"/>
          <w14:ligatures w14:val="standardContextual"/>
        </w:rPr>
        <w:t xml:space="preserve">De leden van de GroenLinks-PvdA-fractie onderkennen drie grote problemen die het funderend onderwijs in gevaar brengen: het lerarentekort, de gebrekkige beheersing van de basisvaardigheden door Nederlandse scholieren en de kansenongelijkheid. De Kamer heeft deze zorgen ook in belangrijke mate onderschreven door de moties </w:t>
      </w:r>
      <w:r w:rsidRPr="000E0F6B" w:rsidR="00103F20">
        <w:rPr>
          <w:rFonts w:eastAsia="Arial"/>
          <w:kern w:val="2"/>
          <w:lang w:eastAsia="en-US"/>
          <w14:ligatures w14:val="standardContextual"/>
        </w:rPr>
        <w:t xml:space="preserve">van het lid </w:t>
      </w:r>
      <w:r w:rsidRPr="000E0F6B">
        <w:rPr>
          <w:rFonts w:eastAsia="Arial"/>
          <w:kern w:val="2"/>
          <w:lang w:eastAsia="en-US"/>
          <w14:ligatures w14:val="standardContextual"/>
        </w:rPr>
        <w:t>Pijpelink over een minstens vijftien jaar durend noodplan tegen het lerarentekort</w:t>
      </w:r>
      <w:r w:rsidRPr="000E0F6B">
        <w:rPr>
          <w:rFonts w:eastAsia="Arial"/>
          <w:kern w:val="2"/>
          <w:vertAlign w:val="superscript"/>
          <w:lang w:eastAsia="en-US"/>
          <w14:ligatures w14:val="standardContextual"/>
        </w:rPr>
        <w:footnoteReference w:id="29"/>
      </w:r>
      <w:r w:rsidRPr="000E0F6B">
        <w:rPr>
          <w:rFonts w:eastAsia="Arial"/>
          <w:kern w:val="2"/>
          <w:lang w:eastAsia="en-US"/>
          <w14:ligatures w14:val="standardContextual"/>
        </w:rPr>
        <w:t xml:space="preserve"> en </w:t>
      </w:r>
      <w:r w:rsidRPr="000E0F6B" w:rsidR="00103F20">
        <w:rPr>
          <w:rFonts w:eastAsia="Arial"/>
          <w:kern w:val="2"/>
          <w:lang w:eastAsia="en-US"/>
          <w14:ligatures w14:val="standardContextual"/>
        </w:rPr>
        <w:t xml:space="preserve">de motie van de leden </w:t>
      </w:r>
      <w:r w:rsidRPr="000E0F6B">
        <w:rPr>
          <w:rFonts w:eastAsia="Arial"/>
          <w:kern w:val="2"/>
          <w:lang w:eastAsia="en-US"/>
          <w14:ligatures w14:val="standardContextual"/>
        </w:rPr>
        <w:t>Pijpelink</w:t>
      </w:r>
      <w:r w:rsidRPr="000E0F6B" w:rsidR="00103F20">
        <w:rPr>
          <w:rFonts w:eastAsia="Arial"/>
          <w:kern w:val="2"/>
          <w:lang w:eastAsia="en-US"/>
          <w14:ligatures w14:val="standardContextual"/>
        </w:rPr>
        <w:t xml:space="preserve"> en </w:t>
      </w:r>
      <w:r w:rsidRPr="000E0F6B">
        <w:rPr>
          <w:rFonts w:eastAsia="Arial"/>
          <w:kern w:val="2"/>
          <w:lang w:eastAsia="en-US"/>
          <w14:ligatures w14:val="standardContextual"/>
        </w:rPr>
        <w:t>Rooderkerk over de hoogste prioriteit aan de aanpak van het lerarentekort en de achteruitgang van de beheersing van de basisvaardigheden</w:t>
      </w:r>
      <w:r w:rsidRPr="000E0F6B">
        <w:rPr>
          <w:rFonts w:eastAsia="Arial"/>
          <w:kern w:val="2"/>
          <w:vertAlign w:val="superscript"/>
          <w:lang w:eastAsia="en-US"/>
          <w14:ligatures w14:val="standardContextual"/>
        </w:rPr>
        <w:footnoteReference w:id="30"/>
      </w:r>
      <w:r w:rsidRPr="000E0F6B">
        <w:rPr>
          <w:rFonts w:eastAsia="Arial"/>
          <w:kern w:val="2"/>
          <w:lang w:eastAsia="en-US"/>
          <w14:ligatures w14:val="standardContextual"/>
        </w:rPr>
        <w:t xml:space="preserve"> aan te nemen. Bij de beantwoording van de feitelijke vragen over het </w:t>
      </w:r>
      <w:r w:rsidRPr="000E0F6B" w:rsidR="00103F20">
        <w:rPr>
          <w:rFonts w:eastAsia="Arial"/>
          <w:kern w:val="2"/>
          <w:lang w:eastAsia="en-US"/>
          <w14:ligatures w14:val="standardContextual"/>
        </w:rPr>
        <w:t>j</w:t>
      </w:r>
      <w:r w:rsidRPr="000E0F6B">
        <w:rPr>
          <w:rFonts w:eastAsia="Arial"/>
          <w:kern w:val="2"/>
          <w:lang w:eastAsia="en-US"/>
          <w14:ligatures w14:val="standardContextual"/>
        </w:rPr>
        <w:t>aarverslag valt het de leden van de GroenLinks-PvdA-fractie op dat de regering het lerarentekort en de kansenongelijkheid lijkt te willen afdoen als onderdeeltjes die ze wel even binnen het Herstelplan kwaliteit funderend onderwijs gaat aanpakken. Natuurlijk versterken de drie grote problemen elkaar op verschillende punten, maar k</w:t>
      </w:r>
      <w:r w:rsidRPr="000E0F6B" w:rsidR="00103F20">
        <w:rPr>
          <w:rFonts w:eastAsia="Arial"/>
          <w:kern w:val="2"/>
          <w:lang w:eastAsia="en-US"/>
          <w14:ligatures w14:val="standardContextual"/>
        </w:rPr>
        <w:t xml:space="preserve">unnen de bewindspersonen </w:t>
      </w:r>
      <w:r w:rsidRPr="000E0F6B">
        <w:rPr>
          <w:rFonts w:eastAsia="Arial"/>
          <w:kern w:val="2"/>
          <w:lang w:eastAsia="en-US"/>
          <w14:ligatures w14:val="standardContextual"/>
        </w:rPr>
        <w:t>ook verklaren waarom zij niet óók afzonderlijk recht doe</w:t>
      </w:r>
      <w:r w:rsidRPr="000E0F6B" w:rsidR="00103F20">
        <w:rPr>
          <w:rFonts w:eastAsia="Arial"/>
          <w:kern w:val="2"/>
          <w:lang w:eastAsia="en-US"/>
          <w14:ligatures w14:val="standardContextual"/>
        </w:rPr>
        <w:t>n</w:t>
      </w:r>
      <w:r w:rsidRPr="000E0F6B">
        <w:rPr>
          <w:rFonts w:eastAsia="Arial"/>
          <w:kern w:val="2"/>
          <w:lang w:eastAsia="en-US"/>
          <w14:ligatures w14:val="standardContextual"/>
        </w:rPr>
        <w:t xml:space="preserve"> aan aspecten van het lerarentekort en de kansenongelijkheid die specifieker zijn dan de basisvaardigheden en die dus hardnekkiger zijn dan deze problematiek alleen?</w:t>
      </w:r>
    </w:p>
    <w:p w:rsidRPr="000E0F6B" w:rsidR="00103F20" w:rsidP="000E0F6B" w:rsidRDefault="00103F20" w14:paraId="05CF7979" w14:textId="77777777">
      <w:pPr>
        <w:rPr>
          <w:rFonts w:eastAsia="Arial"/>
          <w:kern w:val="2"/>
          <w:lang w:eastAsia="en-US"/>
          <w14:ligatures w14:val="standardContextual"/>
        </w:rPr>
      </w:pPr>
    </w:p>
    <w:p w:rsidRPr="000E0F6B" w:rsidR="00435659" w:rsidP="000E0F6B" w:rsidRDefault="00435659" w14:paraId="058ED9CE" w14:textId="26DE8718">
      <w:pPr>
        <w:rPr>
          <w:rFonts w:eastAsia="Arial"/>
          <w:kern w:val="2"/>
          <w:lang w:eastAsia="en-US"/>
          <w14:ligatures w14:val="standardContextual"/>
        </w:rPr>
      </w:pPr>
      <w:r w:rsidRPr="000E0F6B">
        <w:rPr>
          <w:rFonts w:eastAsia="Arial"/>
          <w:kern w:val="2"/>
          <w:lang w:eastAsia="en-US"/>
          <w14:ligatures w14:val="standardContextual"/>
        </w:rPr>
        <w:t>Vanaf 1 januari 2027 krijgen alle scholen minimaal €182 gerichte bekostiging per leerling om te werken aan de basisvaardigheden. Welke overwegingen liggen ten grondslag aan de keuze voor gerichte bekostiging, zo vragen de leden van de GroenLinks-PvdA-fractie. Men zou het werken aan de basisvaardigheden toch bij uitstek rekenen tot de harde kern van het onderwijs? Zou het daarom zeker bij de basisvaardigheden niet meer voor de hand liggen om deze bekostiging toe te voegen aan de lumpsum? Bij de beheersing van de basisvaardigheden vragen de</w:t>
      </w:r>
      <w:r w:rsidRPr="000E0F6B" w:rsidR="00374075">
        <w:rPr>
          <w:rFonts w:eastAsia="Arial"/>
          <w:kern w:val="2"/>
          <w:lang w:eastAsia="en-US"/>
          <w14:ligatures w14:val="standardContextual"/>
        </w:rPr>
        <w:t xml:space="preserve">ze leden </w:t>
      </w:r>
      <w:r w:rsidRPr="000E0F6B">
        <w:rPr>
          <w:rFonts w:eastAsia="Arial"/>
          <w:kern w:val="2"/>
          <w:lang w:eastAsia="en-US"/>
          <w14:ligatures w14:val="standardContextual"/>
        </w:rPr>
        <w:t>waarom voor de taalvaardigheid doelen alleen zijn geformuleerd in ERK</w:t>
      </w:r>
      <w:r w:rsidRPr="000E0F6B">
        <w:rPr>
          <w:rFonts w:eastAsia="Arial"/>
          <w:kern w:val="2"/>
          <w:vertAlign w:val="superscript"/>
          <w:lang w:eastAsia="en-US"/>
          <w14:ligatures w14:val="standardContextual"/>
        </w:rPr>
        <w:footnoteReference w:id="31"/>
      </w:r>
      <w:r w:rsidRPr="000E0F6B">
        <w:rPr>
          <w:rFonts w:eastAsia="Arial"/>
          <w:kern w:val="2"/>
          <w:lang w:eastAsia="en-US"/>
          <w14:ligatures w14:val="standardContextual"/>
        </w:rPr>
        <w:t>-streefniveaus</w:t>
      </w:r>
      <w:r w:rsidRPr="000E0F6B" w:rsidR="00374075">
        <w:rPr>
          <w:rFonts w:eastAsia="Arial"/>
          <w:kern w:val="2"/>
          <w:lang w:eastAsia="en-US"/>
          <w14:ligatures w14:val="standardContextual"/>
        </w:rPr>
        <w:t>: er</w:t>
      </w:r>
      <w:r w:rsidRPr="000E0F6B">
        <w:rPr>
          <w:rFonts w:eastAsia="Arial"/>
          <w:kern w:val="2"/>
          <w:lang w:eastAsia="en-US"/>
          <w14:ligatures w14:val="standardContextual"/>
        </w:rPr>
        <w:t xml:space="preserve"> is nergens vastgelegd welke woordenlijsten en welke grammaticale constructies onderwezen moeten worden. Wie of welke zaak is gebaat bij deze vaagheid? Waarom wordt er bij de centrale examinering niet gewerkt met de </w:t>
      </w:r>
      <w:proofErr w:type="spellStart"/>
      <w:r w:rsidRPr="000E0F6B">
        <w:rPr>
          <w:rFonts w:eastAsia="Arial"/>
          <w:i/>
          <w:iCs/>
          <w:kern w:val="2"/>
          <w:lang w:eastAsia="en-US"/>
          <w14:ligatures w14:val="standardContextual"/>
        </w:rPr>
        <w:t>can</w:t>
      </w:r>
      <w:proofErr w:type="spellEnd"/>
      <w:r w:rsidRPr="000E0F6B">
        <w:rPr>
          <w:rFonts w:eastAsia="Arial"/>
          <w:i/>
          <w:iCs/>
          <w:kern w:val="2"/>
          <w:lang w:eastAsia="en-US"/>
          <w14:ligatures w14:val="standardContextual"/>
        </w:rPr>
        <w:t>-do-statements</w:t>
      </w:r>
      <w:r w:rsidRPr="000E0F6B">
        <w:rPr>
          <w:rFonts w:eastAsia="Arial"/>
          <w:kern w:val="2"/>
          <w:lang w:eastAsia="en-US"/>
          <w14:ligatures w14:val="standardContextual"/>
        </w:rPr>
        <w:t xml:space="preserve"> van het ERK?</w:t>
      </w:r>
    </w:p>
    <w:p w:rsidRPr="000E0F6B" w:rsidR="00374075" w:rsidP="000E0F6B" w:rsidRDefault="00374075" w14:paraId="43F63C48" w14:textId="77777777">
      <w:pPr>
        <w:rPr>
          <w:rFonts w:eastAsia="Arial"/>
          <w:kern w:val="2"/>
          <w:lang w:eastAsia="en-US"/>
          <w14:ligatures w14:val="standardContextual"/>
        </w:rPr>
      </w:pPr>
    </w:p>
    <w:p w:rsidRPr="000E0F6B" w:rsidR="00435659" w:rsidP="000E0F6B" w:rsidRDefault="00435659" w14:paraId="54465CE5" w14:textId="490D9721">
      <w:pPr>
        <w:rPr>
          <w:rFonts w:eastAsia="Arial"/>
          <w:kern w:val="2"/>
          <w:lang w:eastAsia="en-US"/>
          <w14:ligatures w14:val="standardContextual"/>
        </w:rPr>
      </w:pPr>
      <w:r w:rsidRPr="000E0F6B">
        <w:rPr>
          <w:rFonts w:eastAsia="Arial"/>
          <w:kern w:val="2"/>
          <w:lang w:eastAsia="en-US"/>
          <w14:ligatures w14:val="standardContextual"/>
        </w:rPr>
        <w:t xml:space="preserve">Het is de </w:t>
      </w:r>
      <w:r w:rsidRPr="000E0F6B" w:rsidR="00374075">
        <w:rPr>
          <w:rFonts w:eastAsia="Arial"/>
          <w:kern w:val="2"/>
          <w:lang w:eastAsia="en-US"/>
          <w14:ligatures w14:val="standardContextual"/>
        </w:rPr>
        <w:t>inspectie</w:t>
      </w:r>
      <w:r w:rsidRPr="000E0F6B">
        <w:rPr>
          <w:rFonts w:eastAsia="Arial"/>
          <w:kern w:val="2"/>
          <w:lang w:eastAsia="en-US"/>
          <w14:ligatures w14:val="standardContextual"/>
        </w:rPr>
        <w:t xml:space="preserve"> duidelijk dat lerarentekorten voorlopig blijven bestaan en dat scholen waar mogelijk maatregelen moeten treffen om hiermee om te gaan, zo blijkt uit </w:t>
      </w:r>
      <w:r w:rsidRPr="000E0F6B" w:rsidR="00374075">
        <w:rPr>
          <w:rFonts w:eastAsia="Arial"/>
          <w:kern w:val="2"/>
          <w:lang w:eastAsia="en-US"/>
          <w14:ligatures w14:val="standardContextual"/>
        </w:rPr>
        <w:t>de Staat van het Onderwijs</w:t>
      </w:r>
      <w:r w:rsidRPr="000E0F6B">
        <w:rPr>
          <w:rFonts w:eastAsia="Arial"/>
          <w:kern w:val="2"/>
          <w:lang w:eastAsia="en-US"/>
          <w14:ligatures w14:val="standardContextual"/>
        </w:rPr>
        <w:t xml:space="preserve"> 2025. Uit de beantwoording van feitelijke vraag 34 bij het Jaarverslag OCW</w:t>
      </w:r>
      <w:r w:rsidRPr="000E0F6B" w:rsidR="00374075">
        <w:rPr>
          <w:rFonts w:eastAsia="Arial"/>
          <w:kern w:val="2"/>
          <w:lang w:eastAsia="en-US"/>
          <w14:ligatures w14:val="standardContextual"/>
        </w:rPr>
        <w:t xml:space="preserve"> 2024</w:t>
      </w:r>
      <w:r w:rsidRPr="000E0F6B">
        <w:rPr>
          <w:rFonts w:eastAsia="Arial"/>
          <w:kern w:val="2"/>
          <w:vertAlign w:val="superscript"/>
          <w:lang w:eastAsia="en-US"/>
          <w14:ligatures w14:val="standardContextual"/>
        </w:rPr>
        <w:footnoteReference w:id="32"/>
      </w:r>
      <w:r w:rsidRPr="000E0F6B">
        <w:rPr>
          <w:rFonts w:eastAsia="Arial"/>
          <w:kern w:val="2"/>
          <w:lang w:eastAsia="en-US"/>
          <w14:ligatures w14:val="standardContextual"/>
        </w:rPr>
        <w:t xml:space="preserve"> begrijpen de leden van de GroenLinks-PvdA-fractie dat de kabinetsreactie over het terugtrekken van de sociale partners uit de gesprekken rondom het Herstelplan kwaliteit funderend onderwijs</w:t>
      </w:r>
      <w:r w:rsidRPr="000E0F6B">
        <w:rPr>
          <w:rFonts w:eastAsia="Arial"/>
          <w:i/>
          <w:iCs/>
          <w:kern w:val="2"/>
          <w:lang w:eastAsia="en-US"/>
          <w14:ligatures w14:val="standardContextual"/>
        </w:rPr>
        <w:t xml:space="preserve"> </w:t>
      </w:r>
      <w:r w:rsidRPr="000E0F6B">
        <w:rPr>
          <w:rFonts w:eastAsia="Arial"/>
          <w:kern w:val="2"/>
          <w:lang w:eastAsia="en-US"/>
          <w14:ligatures w14:val="standardContextual"/>
        </w:rPr>
        <w:t xml:space="preserve">tevens het antwoord moet vormen op de vraag wat </w:t>
      </w:r>
      <w:r w:rsidRPr="000E0F6B" w:rsidR="00DD5E24">
        <w:rPr>
          <w:rFonts w:eastAsia="Arial"/>
          <w:kern w:val="2"/>
          <w:lang w:eastAsia="en-US"/>
          <w14:ligatures w14:val="standardContextual"/>
        </w:rPr>
        <w:t>het kabinet</w:t>
      </w:r>
      <w:r w:rsidRPr="000E0F6B">
        <w:rPr>
          <w:rFonts w:eastAsia="Arial"/>
          <w:kern w:val="2"/>
          <w:lang w:eastAsia="en-US"/>
          <w14:ligatures w14:val="standardContextual"/>
        </w:rPr>
        <w:t xml:space="preserve"> tegen het lerarentekort heeft ondernomen tussen juni 2024 en april 2025. Nu valt de term </w:t>
      </w:r>
      <w:r w:rsidRPr="000E0F6B" w:rsidR="00374075">
        <w:rPr>
          <w:rFonts w:eastAsia="Arial"/>
          <w:kern w:val="2"/>
          <w:lang w:eastAsia="en-US"/>
          <w14:ligatures w14:val="standardContextual"/>
        </w:rPr>
        <w:t>‘</w:t>
      </w:r>
      <w:r w:rsidRPr="000E0F6B">
        <w:rPr>
          <w:rFonts w:eastAsia="Arial"/>
          <w:kern w:val="2"/>
          <w:lang w:eastAsia="en-US"/>
          <w14:ligatures w14:val="standardContextual"/>
        </w:rPr>
        <w:t>lerarentekort</w:t>
      </w:r>
      <w:r w:rsidRPr="000E0F6B" w:rsidR="00374075">
        <w:rPr>
          <w:rFonts w:eastAsia="Arial"/>
          <w:kern w:val="2"/>
          <w:lang w:eastAsia="en-US"/>
          <w14:ligatures w14:val="standardContextual"/>
        </w:rPr>
        <w:t>’</w:t>
      </w:r>
      <w:r w:rsidRPr="000E0F6B">
        <w:rPr>
          <w:rFonts w:eastAsia="Arial"/>
          <w:kern w:val="2"/>
          <w:lang w:eastAsia="en-US"/>
          <w14:ligatures w14:val="standardContextual"/>
        </w:rPr>
        <w:t xml:space="preserve"> nergens in deze kabinetsreactie. K</w:t>
      </w:r>
      <w:r w:rsidRPr="000E0F6B" w:rsidR="00374075">
        <w:rPr>
          <w:rFonts w:eastAsia="Arial"/>
          <w:kern w:val="2"/>
          <w:lang w:eastAsia="en-US"/>
          <w14:ligatures w14:val="standardContextual"/>
        </w:rPr>
        <w:t xml:space="preserve">unnen de bewindspersonen </w:t>
      </w:r>
      <w:r w:rsidRPr="000E0F6B">
        <w:rPr>
          <w:rFonts w:eastAsia="Arial"/>
          <w:kern w:val="2"/>
          <w:lang w:eastAsia="en-US"/>
          <w14:ligatures w14:val="standardContextual"/>
        </w:rPr>
        <w:t xml:space="preserve">specificeren </w:t>
      </w:r>
      <w:r w:rsidRPr="000E0F6B" w:rsidR="00374075">
        <w:rPr>
          <w:rFonts w:eastAsia="Arial"/>
          <w:kern w:val="2"/>
          <w:lang w:eastAsia="en-US"/>
          <w14:ligatures w14:val="standardContextual"/>
        </w:rPr>
        <w:t>of</w:t>
      </w:r>
      <w:r w:rsidRPr="000E0F6B">
        <w:rPr>
          <w:rFonts w:eastAsia="Arial"/>
          <w:kern w:val="2"/>
          <w:lang w:eastAsia="en-US"/>
          <w14:ligatures w14:val="standardContextual"/>
        </w:rPr>
        <w:t xml:space="preserve"> </w:t>
      </w:r>
      <w:r w:rsidRPr="000E0F6B" w:rsidR="00374075">
        <w:rPr>
          <w:rFonts w:eastAsia="Arial"/>
          <w:kern w:val="2"/>
          <w:lang w:eastAsia="en-US"/>
          <w14:ligatures w14:val="standardContextual"/>
        </w:rPr>
        <w:t xml:space="preserve">zij </w:t>
      </w:r>
      <w:r w:rsidRPr="000E0F6B" w:rsidR="00DD5E24">
        <w:rPr>
          <w:rFonts w:eastAsia="Arial"/>
          <w:kern w:val="2"/>
          <w:lang w:eastAsia="en-US"/>
          <w14:ligatures w14:val="standardContextual"/>
        </w:rPr>
        <w:t xml:space="preserve">al die maanden </w:t>
      </w:r>
      <w:r w:rsidRPr="000E0F6B" w:rsidR="00374075">
        <w:rPr>
          <w:rFonts w:eastAsia="Arial"/>
          <w:kern w:val="2"/>
          <w:lang w:eastAsia="en-US"/>
          <w14:ligatures w14:val="standardContextual"/>
        </w:rPr>
        <w:t xml:space="preserve">iets, </w:t>
      </w:r>
      <w:r w:rsidRPr="000E0F6B">
        <w:rPr>
          <w:rFonts w:eastAsia="Arial"/>
          <w:kern w:val="2"/>
          <w:lang w:eastAsia="en-US"/>
          <w14:ligatures w14:val="standardContextual"/>
        </w:rPr>
        <w:t>en zo ja, wat</w:t>
      </w:r>
      <w:r w:rsidRPr="000E0F6B" w:rsidR="00374075">
        <w:rPr>
          <w:rFonts w:eastAsia="Arial"/>
          <w:kern w:val="2"/>
          <w:lang w:eastAsia="en-US"/>
          <w14:ligatures w14:val="standardContextual"/>
        </w:rPr>
        <w:t>,</w:t>
      </w:r>
      <w:r w:rsidRPr="000E0F6B">
        <w:rPr>
          <w:rFonts w:eastAsia="Arial"/>
          <w:kern w:val="2"/>
          <w:lang w:eastAsia="en-US"/>
          <w14:ligatures w14:val="standardContextual"/>
        </w:rPr>
        <w:t xml:space="preserve"> extra he</w:t>
      </w:r>
      <w:r w:rsidRPr="000E0F6B" w:rsidR="00DD5E24">
        <w:rPr>
          <w:rFonts w:eastAsia="Arial"/>
          <w:kern w:val="2"/>
          <w:lang w:eastAsia="en-US"/>
          <w14:ligatures w14:val="standardContextual"/>
        </w:rPr>
        <w:t>bben</w:t>
      </w:r>
      <w:r w:rsidRPr="000E0F6B">
        <w:rPr>
          <w:rFonts w:eastAsia="Arial"/>
          <w:kern w:val="2"/>
          <w:lang w:eastAsia="en-US"/>
          <w14:ligatures w14:val="standardContextual"/>
        </w:rPr>
        <w:t xml:space="preserve"> gedaan tegen het lerarentekort, behalve praten met de sectorpartners? Ondertussen signaleert de Algemene Rekenkamer dat ongeveer €2,47 miljard naar de Lerarenstrategie zou zijn gegaan in 2024</w:t>
      </w:r>
      <w:r w:rsidRPr="000E0F6B">
        <w:rPr>
          <w:rFonts w:eastAsia="Arial"/>
          <w:kern w:val="2"/>
          <w:vertAlign w:val="superscript"/>
          <w:lang w:eastAsia="en-US"/>
          <w14:ligatures w14:val="standardContextual"/>
        </w:rPr>
        <w:footnoteReference w:id="33"/>
      </w:r>
      <w:r w:rsidRPr="000E0F6B">
        <w:rPr>
          <w:rFonts w:eastAsia="Arial"/>
          <w:kern w:val="2"/>
          <w:lang w:eastAsia="en-US"/>
          <w14:ligatures w14:val="standardContextual"/>
        </w:rPr>
        <w:t>, maar blijft het onduidelijk of tekorten door de maatregelen van de Lerarenstrategie wel afnemen. Op welke termijn denk</w:t>
      </w:r>
      <w:r w:rsidRPr="000E0F6B" w:rsidR="0024690E">
        <w:rPr>
          <w:rFonts w:eastAsia="Arial"/>
          <w:kern w:val="2"/>
          <w:lang w:eastAsia="en-US"/>
          <w14:ligatures w14:val="standardContextual"/>
        </w:rPr>
        <w:t xml:space="preserve">en de bewindspersonen </w:t>
      </w:r>
      <w:r w:rsidRPr="000E0F6B">
        <w:rPr>
          <w:rFonts w:eastAsia="Arial"/>
          <w:kern w:val="2"/>
          <w:lang w:eastAsia="en-US"/>
          <w14:ligatures w14:val="standardContextual"/>
        </w:rPr>
        <w:t>een compleet beeld te kunnen geven van de resultaten, doelen, maatregelen en uitgaven hiervan?</w:t>
      </w:r>
    </w:p>
    <w:p w:rsidR="002A55D6" w:rsidP="000E0F6B" w:rsidRDefault="002A55D6" w14:paraId="3B98B48B" w14:textId="77777777">
      <w:pPr>
        <w:rPr>
          <w:rFonts w:eastAsia="Arial"/>
          <w:kern w:val="2"/>
          <w:lang w:eastAsia="en-US"/>
          <w14:ligatures w14:val="standardContextual"/>
        </w:rPr>
      </w:pPr>
    </w:p>
    <w:p w:rsidRPr="000E0F6B" w:rsidR="00435659" w:rsidP="000E0F6B" w:rsidRDefault="00435659" w14:paraId="2A66ABB6" w14:textId="7467579A">
      <w:pPr>
        <w:rPr>
          <w:rFonts w:eastAsia="Arial"/>
          <w:kern w:val="2"/>
          <w:lang w:eastAsia="en-US"/>
          <w14:ligatures w14:val="standardContextual"/>
        </w:rPr>
      </w:pPr>
      <w:r w:rsidRPr="000E0F6B">
        <w:rPr>
          <w:rFonts w:eastAsia="Arial"/>
          <w:kern w:val="2"/>
          <w:lang w:eastAsia="en-US"/>
          <w14:ligatures w14:val="standardContextual"/>
        </w:rPr>
        <w:t xml:space="preserve">Kwetsbare groepen leerlingen lopen een groot risico op laaggeletterdheid. Meer dan </w:t>
      </w:r>
      <w:r w:rsidRPr="000E0F6B" w:rsidR="0024690E">
        <w:rPr>
          <w:rFonts w:eastAsia="Arial"/>
          <w:kern w:val="2"/>
          <w:lang w:eastAsia="en-US"/>
          <w14:ligatures w14:val="standardContextual"/>
        </w:rPr>
        <w:t>twee</w:t>
      </w:r>
      <w:r w:rsidRPr="000E0F6B">
        <w:rPr>
          <w:rFonts w:eastAsia="Arial"/>
          <w:kern w:val="2"/>
          <w:lang w:eastAsia="en-US"/>
          <w14:ligatures w14:val="standardContextual"/>
        </w:rPr>
        <w:t xml:space="preserve"> miljoen Nederlanders zijn </w:t>
      </w:r>
      <w:proofErr w:type="spellStart"/>
      <w:r w:rsidRPr="000E0F6B">
        <w:rPr>
          <w:rFonts w:eastAsia="Arial"/>
          <w:kern w:val="2"/>
          <w:lang w:eastAsia="en-US"/>
          <w14:ligatures w14:val="standardContextual"/>
        </w:rPr>
        <w:t>laaggecijferd</w:t>
      </w:r>
      <w:proofErr w:type="spellEnd"/>
      <w:r w:rsidRPr="000E0F6B">
        <w:rPr>
          <w:rFonts w:eastAsia="Arial"/>
          <w:kern w:val="2"/>
          <w:lang w:eastAsia="en-US"/>
          <w14:ligatures w14:val="standardContextual"/>
        </w:rPr>
        <w:t xml:space="preserve"> of laaggeletterd. De leden van de GroenLinks-PvdA-fractie lezen echter ook in </w:t>
      </w:r>
      <w:r w:rsidRPr="000E0F6B" w:rsidR="0024690E">
        <w:rPr>
          <w:rFonts w:eastAsia="Arial"/>
          <w:kern w:val="2"/>
          <w:lang w:eastAsia="en-US"/>
          <w14:ligatures w14:val="standardContextual"/>
        </w:rPr>
        <w:t>d</w:t>
      </w:r>
      <w:r w:rsidRPr="000E0F6B">
        <w:rPr>
          <w:rFonts w:eastAsia="Arial"/>
          <w:kern w:val="2"/>
          <w:lang w:eastAsia="en-US"/>
          <w14:ligatures w14:val="standardContextual"/>
        </w:rPr>
        <w:t xml:space="preserve">e </w:t>
      </w:r>
      <w:r w:rsidRPr="000E0F6B" w:rsidR="0024690E">
        <w:rPr>
          <w:rFonts w:eastAsia="Arial"/>
          <w:kern w:val="2"/>
          <w:lang w:eastAsia="en-US"/>
          <w14:ligatures w14:val="standardContextual"/>
        </w:rPr>
        <w:t>S</w:t>
      </w:r>
      <w:r w:rsidRPr="000E0F6B">
        <w:rPr>
          <w:rFonts w:eastAsia="Arial"/>
          <w:kern w:val="2"/>
          <w:lang w:eastAsia="en-US"/>
          <w14:ligatures w14:val="standardContextual"/>
        </w:rPr>
        <w:t xml:space="preserve">taat van het </w:t>
      </w:r>
      <w:r w:rsidRPr="000E0F6B" w:rsidR="0024690E">
        <w:rPr>
          <w:rFonts w:eastAsia="Arial"/>
          <w:kern w:val="2"/>
          <w:lang w:eastAsia="en-US"/>
          <w14:ligatures w14:val="standardContextual"/>
        </w:rPr>
        <w:t>O</w:t>
      </w:r>
      <w:r w:rsidRPr="000E0F6B">
        <w:rPr>
          <w:rFonts w:eastAsia="Arial"/>
          <w:kern w:val="2"/>
          <w:lang w:eastAsia="en-US"/>
          <w14:ligatures w14:val="standardContextual"/>
        </w:rPr>
        <w:t>nderwijs 2025 dat uit onderzoek blijkt dat laaggeletterdheid de maatschappij ruim €1 miljard per jaar kost.</w:t>
      </w:r>
      <w:r w:rsidRPr="000E0F6B">
        <w:rPr>
          <w:rFonts w:eastAsia="Arial"/>
          <w:kern w:val="2"/>
          <w:vertAlign w:val="superscript"/>
          <w:lang w:eastAsia="en-US"/>
          <w14:ligatures w14:val="standardContextual"/>
        </w:rPr>
        <w:footnoteReference w:id="34"/>
      </w:r>
      <w:r w:rsidRPr="000E0F6B">
        <w:rPr>
          <w:rFonts w:eastAsia="Arial"/>
          <w:kern w:val="2"/>
          <w:lang w:eastAsia="en-US"/>
          <w14:ligatures w14:val="standardContextual"/>
        </w:rPr>
        <w:t xml:space="preserve"> Zie</w:t>
      </w:r>
      <w:r w:rsidRPr="000E0F6B" w:rsidR="0024690E">
        <w:rPr>
          <w:rFonts w:eastAsia="Arial"/>
          <w:kern w:val="2"/>
          <w:lang w:eastAsia="en-US"/>
          <w14:ligatures w14:val="standardContextual"/>
        </w:rPr>
        <w:t xml:space="preserve">n de bewindspersonen </w:t>
      </w:r>
      <w:r w:rsidRPr="000E0F6B">
        <w:rPr>
          <w:rFonts w:eastAsia="Arial"/>
          <w:kern w:val="2"/>
          <w:lang w:eastAsia="en-US"/>
          <w14:ligatures w14:val="standardContextual"/>
        </w:rPr>
        <w:t>in het onderwijsverslag aanknopingspunten om deze maatschappelijke kosten te beperken, bijvoorbeeld met een effectievere infrastructuur voor taalonderwijs voor volwassenen, door een landelijk kwaliteitskader in te voeren voor volwasseneducatie</w:t>
      </w:r>
      <w:r w:rsidRPr="000E0F6B" w:rsidR="0024690E">
        <w:rPr>
          <w:rFonts w:eastAsia="Arial"/>
          <w:kern w:val="2"/>
          <w:lang w:eastAsia="en-US"/>
          <w14:ligatures w14:val="standardContextual"/>
        </w:rPr>
        <w:t xml:space="preserve"> (</w:t>
      </w:r>
      <w:r w:rsidRPr="000E0F6B">
        <w:rPr>
          <w:rFonts w:eastAsia="Arial"/>
          <w:kern w:val="2"/>
          <w:lang w:eastAsia="en-US"/>
          <w14:ligatures w14:val="standardContextual"/>
        </w:rPr>
        <w:t>zoals in de meeste Europese landen bestaat</w:t>
      </w:r>
      <w:r w:rsidRPr="000E0F6B" w:rsidR="0024690E">
        <w:rPr>
          <w:rFonts w:eastAsia="Arial"/>
          <w:kern w:val="2"/>
          <w:lang w:eastAsia="en-US"/>
          <w14:ligatures w14:val="standardContextual"/>
        </w:rPr>
        <w:t>)</w:t>
      </w:r>
      <w:r w:rsidRPr="000E0F6B">
        <w:rPr>
          <w:rFonts w:eastAsia="Arial"/>
          <w:kern w:val="2"/>
          <w:lang w:eastAsia="en-US"/>
          <w14:ligatures w14:val="standardContextual"/>
        </w:rPr>
        <w:t xml:space="preserve">, </w:t>
      </w:r>
      <w:r w:rsidRPr="000E0F6B" w:rsidR="0024690E">
        <w:rPr>
          <w:rFonts w:eastAsia="Arial"/>
          <w:kern w:val="2"/>
          <w:lang w:eastAsia="en-US"/>
          <w14:ligatures w14:val="standardContextual"/>
        </w:rPr>
        <w:t xml:space="preserve">door </w:t>
      </w:r>
      <w:r w:rsidRPr="000E0F6B">
        <w:rPr>
          <w:rFonts w:eastAsia="Arial"/>
          <w:kern w:val="2"/>
          <w:lang w:eastAsia="en-US"/>
          <w14:ligatures w14:val="standardContextual"/>
        </w:rPr>
        <w:t>publieke aanbieders de opleidingen te laten verzorgen en door uitstekend taalonderwijs te waarborgen bij vmbo</w:t>
      </w:r>
      <w:r w:rsidRPr="000E0F6B" w:rsidR="00DD5E24">
        <w:rPr>
          <w:rFonts w:eastAsia="Arial"/>
          <w:kern w:val="2"/>
          <w:lang w:eastAsia="en-US"/>
          <w14:ligatures w14:val="standardContextual"/>
        </w:rPr>
        <w:t>-</w:t>
      </w:r>
      <w:r w:rsidRPr="000E0F6B">
        <w:rPr>
          <w:rFonts w:eastAsia="Arial"/>
          <w:kern w:val="2"/>
          <w:lang w:eastAsia="en-US"/>
          <w14:ligatures w14:val="standardContextual"/>
        </w:rPr>
        <w:t>b</w:t>
      </w:r>
      <w:r w:rsidRPr="000E0F6B" w:rsidR="0024690E">
        <w:rPr>
          <w:rFonts w:eastAsia="Arial"/>
          <w:kern w:val="2"/>
          <w:lang w:eastAsia="en-US"/>
          <w14:ligatures w14:val="standardContextual"/>
        </w:rPr>
        <w:t>asis</w:t>
      </w:r>
      <w:r w:rsidRPr="000E0F6B">
        <w:rPr>
          <w:rFonts w:eastAsia="Arial"/>
          <w:kern w:val="2"/>
          <w:lang w:eastAsia="en-US"/>
          <w14:ligatures w14:val="standardContextual"/>
        </w:rPr>
        <w:t xml:space="preserve"> en vmbo</w:t>
      </w:r>
      <w:r w:rsidRPr="000E0F6B" w:rsidR="00DD5E24">
        <w:rPr>
          <w:rFonts w:eastAsia="Arial"/>
          <w:kern w:val="2"/>
          <w:lang w:eastAsia="en-US"/>
          <w14:ligatures w14:val="standardContextual"/>
        </w:rPr>
        <w:t>-</w:t>
      </w:r>
      <w:r w:rsidRPr="000E0F6B">
        <w:rPr>
          <w:rFonts w:eastAsia="Arial"/>
          <w:kern w:val="2"/>
          <w:lang w:eastAsia="en-US"/>
          <w14:ligatures w14:val="standardContextual"/>
        </w:rPr>
        <w:t>k</w:t>
      </w:r>
      <w:r w:rsidRPr="000E0F6B" w:rsidR="0024690E">
        <w:rPr>
          <w:rFonts w:eastAsia="Arial"/>
          <w:kern w:val="2"/>
          <w:lang w:eastAsia="en-US"/>
          <w14:ligatures w14:val="standardContextual"/>
        </w:rPr>
        <w:t>ader</w:t>
      </w:r>
      <w:r w:rsidRPr="000E0F6B">
        <w:rPr>
          <w:rFonts w:eastAsia="Arial"/>
          <w:kern w:val="2"/>
          <w:lang w:eastAsia="en-US"/>
          <w14:ligatures w14:val="standardContextual"/>
        </w:rPr>
        <w:t>? Wat gaa</w:t>
      </w:r>
      <w:r w:rsidRPr="000E0F6B" w:rsidR="0024690E">
        <w:rPr>
          <w:rFonts w:eastAsia="Arial"/>
          <w:kern w:val="2"/>
          <w:lang w:eastAsia="en-US"/>
          <w14:ligatures w14:val="standardContextual"/>
        </w:rPr>
        <w:t xml:space="preserve">n de bewindspersonen </w:t>
      </w:r>
      <w:r w:rsidRPr="000E0F6B">
        <w:rPr>
          <w:rFonts w:eastAsia="Arial"/>
          <w:kern w:val="2"/>
          <w:lang w:eastAsia="en-US"/>
          <w14:ligatures w14:val="standardContextual"/>
        </w:rPr>
        <w:t>concreet ondernemen om alles op alles te zetten om te voorkomen dat leerlingen en studenten nog langer laaggeletterd de school of opleiding verlaten?</w:t>
      </w:r>
    </w:p>
    <w:p w:rsidRPr="000E0F6B" w:rsidR="0024690E" w:rsidP="000E0F6B" w:rsidRDefault="0024690E" w14:paraId="710A588C" w14:textId="77777777">
      <w:pPr>
        <w:rPr>
          <w:rFonts w:eastAsia="Arial"/>
          <w:kern w:val="2"/>
          <w:lang w:eastAsia="en-US"/>
          <w14:ligatures w14:val="standardContextual"/>
        </w:rPr>
      </w:pPr>
    </w:p>
    <w:p w:rsidRPr="000E0F6B" w:rsidR="00435659" w:rsidP="000E0F6B" w:rsidRDefault="00435659" w14:paraId="3FD63BE2" w14:textId="6F5D2433">
      <w:pPr>
        <w:rPr>
          <w:rFonts w:eastAsia="Arial"/>
          <w:kern w:val="2"/>
          <w:lang w:eastAsia="en-US"/>
          <w14:ligatures w14:val="standardContextual"/>
        </w:rPr>
      </w:pPr>
      <w:r w:rsidRPr="000E0F6B">
        <w:rPr>
          <w:rFonts w:eastAsia="Arial"/>
          <w:kern w:val="2"/>
          <w:lang w:eastAsia="en-US"/>
          <w14:ligatures w14:val="standardContextual"/>
        </w:rPr>
        <w:t>De leden van de GroenLinks-PvdA-fractie zijn verontrust over de bevindingen van de Algemene Rekenkamer in het rapport Hoeveel tijd mag het kosten?</w:t>
      </w:r>
      <w:r w:rsidRPr="000E0F6B">
        <w:rPr>
          <w:rFonts w:eastAsia="Arial"/>
          <w:kern w:val="2"/>
          <w:vertAlign w:val="superscript"/>
          <w:lang w:eastAsia="en-US"/>
          <w14:ligatures w14:val="standardContextual"/>
        </w:rPr>
        <w:footnoteReference w:id="35"/>
      </w:r>
      <w:r w:rsidRPr="000E0F6B">
        <w:rPr>
          <w:rFonts w:eastAsia="Arial"/>
          <w:kern w:val="2"/>
          <w:lang w:eastAsia="en-US"/>
          <w14:ligatures w14:val="standardContextual"/>
        </w:rPr>
        <w:t xml:space="preserve">: leraren besteden elke week </w:t>
      </w:r>
      <w:r w:rsidRPr="000E0F6B" w:rsidR="0024690E">
        <w:rPr>
          <w:rFonts w:eastAsia="Arial"/>
          <w:kern w:val="2"/>
          <w:lang w:eastAsia="en-US"/>
          <w14:ligatures w14:val="standardContextual"/>
        </w:rPr>
        <w:t>zes</w:t>
      </w:r>
      <w:r w:rsidRPr="000E0F6B">
        <w:rPr>
          <w:rFonts w:eastAsia="Arial"/>
          <w:kern w:val="2"/>
          <w:lang w:eastAsia="en-US"/>
          <w14:ligatures w14:val="standardContextual"/>
        </w:rPr>
        <w:t xml:space="preserve"> tot </w:t>
      </w:r>
      <w:r w:rsidRPr="000E0F6B" w:rsidR="0024690E">
        <w:rPr>
          <w:rFonts w:eastAsia="Arial"/>
          <w:kern w:val="2"/>
          <w:lang w:eastAsia="en-US"/>
          <w14:ligatures w14:val="standardContextual"/>
        </w:rPr>
        <w:t>acht</w:t>
      </w:r>
      <w:r w:rsidRPr="000E0F6B">
        <w:rPr>
          <w:rFonts w:eastAsia="Arial"/>
          <w:kern w:val="2"/>
          <w:lang w:eastAsia="en-US"/>
          <w14:ligatures w14:val="standardContextual"/>
        </w:rPr>
        <w:t xml:space="preserve"> uur per week aan administratie, een derde van de leraren overweegt een andere baan te zoeken en voor ruim een kwart van hen vormt administratie daarvoor de belangrijkste reden. Werktijd die leraren moeten besteden aan administratie, is immers tijd die zij niet kunnen besteden aan lessen en directe ondersteuning van hun leerlingen. Dat het ook niet per se nodig is dat leraren zo</w:t>
      </w:r>
      <w:r w:rsidRPr="000E0F6B" w:rsidR="00736845">
        <w:rPr>
          <w:rFonts w:eastAsia="Arial"/>
          <w:kern w:val="2"/>
          <w:lang w:eastAsia="en-US"/>
          <w14:ligatures w14:val="standardContextual"/>
        </w:rPr>
        <w:t xml:space="preserve"> </w:t>
      </w:r>
      <w:r w:rsidRPr="000E0F6B">
        <w:rPr>
          <w:rFonts w:eastAsia="Arial"/>
          <w:kern w:val="2"/>
          <w:lang w:eastAsia="en-US"/>
          <w14:ligatures w14:val="standardContextual"/>
        </w:rPr>
        <w:t xml:space="preserve">veel tijd kwijt zijn aan administratie, tonen de voorbeelden van het Verenigd Koninkrijk, België en Australië aan, die met hun administratieve taken op iets meer dan </w:t>
      </w:r>
      <w:r w:rsidRPr="000E0F6B" w:rsidR="0024690E">
        <w:rPr>
          <w:rFonts w:eastAsia="Arial"/>
          <w:kern w:val="2"/>
          <w:lang w:eastAsia="en-US"/>
          <w14:ligatures w14:val="standardContextual"/>
        </w:rPr>
        <w:t>vier</w:t>
      </w:r>
      <w:r w:rsidRPr="000E0F6B">
        <w:rPr>
          <w:rFonts w:eastAsia="Arial"/>
          <w:kern w:val="2"/>
          <w:lang w:eastAsia="en-US"/>
          <w14:ligatures w14:val="standardContextual"/>
        </w:rPr>
        <w:t xml:space="preserve"> uur per week zitten. Nu signaleerde het eindrapport van de parlementaire onderzoekscommissie-</w:t>
      </w:r>
      <w:proofErr w:type="spellStart"/>
      <w:r w:rsidRPr="000E0F6B">
        <w:rPr>
          <w:rFonts w:eastAsia="Arial"/>
          <w:kern w:val="2"/>
          <w:lang w:eastAsia="en-US"/>
          <w14:ligatures w14:val="standardContextual"/>
        </w:rPr>
        <w:t>Dijsselbloem</w:t>
      </w:r>
      <w:proofErr w:type="spellEnd"/>
      <w:r w:rsidRPr="000E0F6B">
        <w:rPr>
          <w:rFonts w:eastAsia="Arial"/>
          <w:kern w:val="2"/>
          <w:lang w:eastAsia="en-US"/>
          <w14:ligatures w14:val="standardContextual"/>
        </w:rPr>
        <w:t xml:space="preserve"> </w:t>
      </w:r>
      <w:r w:rsidRPr="000E0F6B" w:rsidR="0024690E">
        <w:rPr>
          <w:rFonts w:eastAsia="Arial"/>
          <w:kern w:val="2"/>
          <w:lang w:eastAsia="en-US"/>
          <w14:ligatures w14:val="standardContextual"/>
        </w:rPr>
        <w:t>in 2008 de kwalijke rol die fantoomwetgeving op scholen speelt bij de regeldruk die leraren ervaren.</w:t>
      </w:r>
      <w:r w:rsidRPr="000E0F6B" w:rsidR="00736845">
        <w:rPr>
          <w:rFonts w:eastAsia="Arial"/>
          <w:kern w:val="2"/>
          <w:vertAlign w:val="superscript"/>
          <w:lang w:eastAsia="en-US"/>
          <w14:ligatures w14:val="standardContextual"/>
        </w:rPr>
        <w:footnoteReference w:id="36"/>
      </w:r>
      <w:r w:rsidRPr="000E0F6B" w:rsidR="0024690E">
        <w:rPr>
          <w:rFonts w:eastAsia="Arial"/>
          <w:kern w:val="2"/>
          <w:lang w:eastAsia="en-US"/>
          <w14:ligatures w14:val="standardContextual"/>
        </w:rPr>
        <w:t xml:space="preserve"> </w:t>
      </w:r>
      <w:r w:rsidRPr="000E0F6B">
        <w:rPr>
          <w:rFonts w:eastAsia="Arial"/>
          <w:kern w:val="2"/>
          <w:lang w:eastAsia="en-US"/>
          <w14:ligatures w14:val="standardContextual"/>
        </w:rPr>
        <w:t>K</w:t>
      </w:r>
      <w:r w:rsidRPr="000E0F6B" w:rsidR="0024690E">
        <w:rPr>
          <w:rFonts w:eastAsia="Arial"/>
          <w:kern w:val="2"/>
          <w:lang w:eastAsia="en-US"/>
          <w14:ligatures w14:val="standardContextual"/>
        </w:rPr>
        <w:t xml:space="preserve">unnen de bewindspersonen </w:t>
      </w:r>
      <w:r w:rsidRPr="000E0F6B">
        <w:rPr>
          <w:rFonts w:eastAsia="Arial"/>
          <w:kern w:val="2"/>
          <w:lang w:eastAsia="en-US"/>
          <w14:ligatures w14:val="standardContextual"/>
        </w:rPr>
        <w:t xml:space="preserve">uitleggen in hoeverre deze problematiek nog altijd speelt, nu het kennelijk opnieuw nodig is om scholen te helpen met meer handvatten om leraren voor onnodige administratieve taken te behoeden?    </w:t>
      </w:r>
    </w:p>
    <w:p w:rsidRPr="000E0F6B" w:rsidR="0024690E" w:rsidP="000E0F6B" w:rsidRDefault="0024690E" w14:paraId="2DFE1168" w14:textId="77777777">
      <w:pPr>
        <w:rPr>
          <w:rFonts w:eastAsia="Arial"/>
          <w:kern w:val="2"/>
          <w:lang w:eastAsia="en-US"/>
          <w14:ligatures w14:val="standardContextual"/>
        </w:rPr>
      </w:pPr>
    </w:p>
    <w:p w:rsidRPr="000E0F6B" w:rsidR="00435659" w:rsidP="000E0F6B" w:rsidRDefault="00435659" w14:paraId="18C433FB" w14:textId="3B750BF0">
      <w:pPr>
        <w:rPr>
          <w:rFonts w:eastAsia="Arial"/>
          <w:kern w:val="2"/>
          <w:lang w:eastAsia="en-US"/>
          <w14:ligatures w14:val="standardContextual"/>
        </w:rPr>
      </w:pPr>
      <w:r w:rsidRPr="000E0F6B">
        <w:rPr>
          <w:rFonts w:eastAsia="Arial"/>
          <w:kern w:val="2"/>
          <w:lang w:eastAsia="en-US"/>
          <w14:ligatures w14:val="standardContextual"/>
        </w:rPr>
        <w:t>De leden van de GroenLinks-PvdA-fractie maken zich al jaren grote zorgen over het onderwijs aan nieuwkomers, die vaak op wachtlijsten staan of les krijgen van onbevoegde docenten. De</w:t>
      </w:r>
      <w:r w:rsidRPr="000E0F6B" w:rsidR="0024690E">
        <w:rPr>
          <w:rFonts w:eastAsia="Arial"/>
          <w:kern w:val="2"/>
          <w:lang w:eastAsia="en-US"/>
          <w14:ligatures w14:val="standardContextual"/>
        </w:rPr>
        <w:t>ze</w:t>
      </w:r>
      <w:r w:rsidRPr="000E0F6B">
        <w:rPr>
          <w:rFonts w:eastAsia="Arial"/>
          <w:kern w:val="2"/>
          <w:lang w:eastAsia="en-US"/>
          <w14:ligatures w14:val="standardContextual"/>
        </w:rPr>
        <w:t xml:space="preserve"> leden vinden dat de staatssecretaris in haar beantwoording hierover wel erg makkelijk de schending van het recht op onderwijs naast zich neerlegt, wat een ernstige zaak is. Kan de </w:t>
      </w:r>
      <w:r w:rsidRPr="000E0F6B" w:rsidR="0024690E">
        <w:rPr>
          <w:rFonts w:eastAsia="Arial"/>
          <w:kern w:val="2"/>
          <w:lang w:eastAsia="en-US"/>
          <w14:ligatures w14:val="standardContextual"/>
        </w:rPr>
        <w:t>staatssecretaris</w:t>
      </w:r>
      <w:r w:rsidRPr="000E0F6B">
        <w:rPr>
          <w:rFonts w:eastAsia="Arial"/>
          <w:kern w:val="2"/>
          <w:lang w:eastAsia="en-US"/>
          <w14:ligatures w14:val="standardContextual"/>
        </w:rPr>
        <w:t xml:space="preserve"> de leden overtuigen dat ze de ernst inzie</w:t>
      </w:r>
      <w:r w:rsidRPr="000E0F6B" w:rsidR="0024690E">
        <w:rPr>
          <w:rFonts w:eastAsia="Arial"/>
          <w:kern w:val="2"/>
          <w:lang w:eastAsia="en-US"/>
          <w14:ligatures w14:val="standardContextual"/>
        </w:rPr>
        <w:t>t</w:t>
      </w:r>
      <w:r w:rsidRPr="000E0F6B">
        <w:rPr>
          <w:rFonts w:eastAsia="Arial"/>
          <w:kern w:val="2"/>
          <w:lang w:eastAsia="en-US"/>
          <w14:ligatures w14:val="standardContextual"/>
        </w:rPr>
        <w:t xml:space="preserve"> van deze situatie en alles op alles zet om het recht op onderwijs niet te schenden? Zijn er bijvoorbeeld gesprekken met het </w:t>
      </w:r>
      <w:r w:rsidRPr="000E0F6B" w:rsidR="0024690E">
        <w:rPr>
          <w:rFonts w:eastAsia="Arial"/>
          <w:kern w:val="2"/>
          <w:lang w:eastAsia="en-US"/>
          <w14:ligatures w14:val="standardContextual"/>
        </w:rPr>
        <w:t>m</w:t>
      </w:r>
      <w:r w:rsidRPr="000E0F6B">
        <w:rPr>
          <w:rFonts w:eastAsia="Arial"/>
          <w:kern w:val="2"/>
          <w:lang w:eastAsia="en-US"/>
          <w14:ligatures w14:val="standardContextual"/>
        </w:rPr>
        <w:t>inisterie van Asiel en Migratie om de verhuisbewegingen van deze kinderen zoveel mogelijk te beperken, iets wat scholen enorm zou helpen?</w:t>
      </w:r>
    </w:p>
    <w:p w:rsidRPr="000E0F6B" w:rsidR="0024690E" w:rsidP="000E0F6B" w:rsidRDefault="0024690E" w14:paraId="68A70D9C" w14:textId="77777777">
      <w:pPr>
        <w:rPr>
          <w:rFonts w:eastAsia="Arial"/>
          <w:kern w:val="2"/>
          <w:lang w:eastAsia="en-US"/>
          <w14:ligatures w14:val="standardContextual"/>
        </w:rPr>
      </w:pPr>
    </w:p>
    <w:p w:rsidRPr="000E0F6B" w:rsidR="00435659" w:rsidP="000E0F6B" w:rsidRDefault="00435659" w14:paraId="3A0AE6B8" w14:textId="3EBDC310">
      <w:pPr>
        <w:rPr>
          <w:rFonts w:eastAsia="Arial"/>
          <w:kern w:val="2"/>
          <w:lang w:eastAsia="en-US"/>
          <w14:ligatures w14:val="standardContextual"/>
        </w:rPr>
      </w:pPr>
      <w:r w:rsidRPr="000E0F6B">
        <w:rPr>
          <w:rFonts w:eastAsia="Arial"/>
          <w:kern w:val="2"/>
          <w:lang w:eastAsia="en-US"/>
          <w14:ligatures w14:val="standardContextual"/>
        </w:rPr>
        <w:t xml:space="preserve">De leden van de GroenLinks-PvdA-fractie zijn geschrokken van de constatering van de </w:t>
      </w:r>
      <w:r w:rsidRPr="000E0F6B" w:rsidR="0024690E">
        <w:rPr>
          <w:rFonts w:eastAsia="Arial"/>
          <w:kern w:val="2"/>
          <w:lang w:eastAsia="en-US"/>
          <w14:ligatures w14:val="standardContextual"/>
        </w:rPr>
        <w:t>inspectie</w:t>
      </w:r>
      <w:r w:rsidRPr="000E0F6B">
        <w:rPr>
          <w:rFonts w:eastAsia="Arial"/>
          <w:kern w:val="2"/>
          <w:lang w:eastAsia="en-US"/>
          <w14:ligatures w14:val="standardContextual"/>
        </w:rPr>
        <w:t xml:space="preserve"> dat 45</w:t>
      </w:r>
      <w:r w:rsidRPr="000E0F6B" w:rsidR="00736845">
        <w:rPr>
          <w:rFonts w:eastAsia="Arial"/>
          <w:kern w:val="2"/>
          <w:lang w:eastAsia="en-US"/>
          <w14:ligatures w14:val="standardContextual"/>
        </w:rPr>
        <w:t>%</w:t>
      </w:r>
      <w:r w:rsidRPr="000E0F6B">
        <w:rPr>
          <w:rFonts w:eastAsia="Arial"/>
          <w:kern w:val="2"/>
          <w:lang w:eastAsia="en-US"/>
          <w14:ligatures w14:val="standardContextual"/>
        </w:rPr>
        <w:t xml:space="preserve"> van de onderzochte mbo-opleiding</w:t>
      </w:r>
      <w:r w:rsidRPr="000E0F6B" w:rsidR="00736845">
        <w:rPr>
          <w:rFonts w:eastAsia="Arial"/>
          <w:kern w:val="2"/>
          <w:lang w:eastAsia="en-US"/>
          <w14:ligatures w14:val="standardContextual"/>
        </w:rPr>
        <w:t>en</w:t>
      </w:r>
      <w:r w:rsidRPr="000E0F6B">
        <w:rPr>
          <w:rFonts w:eastAsia="Arial"/>
          <w:kern w:val="2"/>
          <w:lang w:eastAsia="en-US"/>
          <w14:ligatures w14:val="standardContextual"/>
        </w:rPr>
        <w:t xml:space="preserve"> een onvoldoende scoort. Dit heeft veelal te maken met de beoordelingsstandaard Studiesucces, waar wordt gekeken naar schoolverlaters. In de kabinetsreactie schrijft </w:t>
      </w:r>
      <w:r w:rsidRPr="000E0F6B" w:rsidR="00736845">
        <w:rPr>
          <w:rFonts w:eastAsia="Arial"/>
          <w:kern w:val="2"/>
          <w:lang w:eastAsia="en-US"/>
          <w14:ligatures w14:val="standardContextual"/>
        </w:rPr>
        <w:t>het kabinet</w:t>
      </w:r>
      <w:r w:rsidRPr="000E0F6B">
        <w:rPr>
          <w:rFonts w:eastAsia="Arial"/>
          <w:kern w:val="2"/>
          <w:lang w:eastAsia="en-US"/>
          <w14:ligatures w14:val="standardContextual"/>
        </w:rPr>
        <w:t xml:space="preserve"> dat er gesprekken gaan plaatsvinden met scholen, de MBO Raad en de </w:t>
      </w:r>
      <w:r w:rsidRPr="000E0F6B" w:rsidR="0024690E">
        <w:rPr>
          <w:rFonts w:eastAsia="Arial"/>
          <w:kern w:val="2"/>
          <w:lang w:eastAsia="en-US"/>
          <w14:ligatures w14:val="standardContextual"/>
        </w:rPr>
        <w:t>i</w:t>
      </w:r>
      <w:r w:rsidRPr="000E0F6B">
        <w:rPr>
          <w:rFonts w:eastAsia="Arial"/>
          <w:kern w:val="2"/>
          <w:lang w:eastAsia="en-US"/>
          <w14:ligatures w14:val="standardContextual"/>
        </w:rPr>
        <w:t>nspectie over de duiding van deze cijfers en de weging van de verschillende standaarden. De</w:t>
      </w:r>
      <w:r w:rsidRPr="000E0F6B" w:rsidR="0024690E">
        <w:rPr>
          <w:rFonts w:eastAsia="Arial"/>
          <w:kern w:val="2"/>
          <w:lang w:eastAsia="en-US"/>
          <w14:ligatures w14:val="standardContextual"/>
        </w:rPr>
        <w:t>ze</w:t>
      </w:r>
      <w:r w:rsidRPr="000E0F6B">
        <w:rPr>
          <w:rFonts w:eastAsia="Arial"/>
          <w:kern w:val="2"/>
          <w:lang w:eastAsia="en-US"/>
          <w14:ligatures w14:val="standardContextual"/>
        </w:rPr>
        <w:t xml:space="preserve"> leden vinden dat er wel moet worden uitgekeken dat deze cijfers te veel gerelativeerd worden of door andere factoren </w:t>
      </w:r>
      <w:r w:rsidRPr="000E0F6B" w:rsidR="00736845">
        <w:rPr>
          <w:rFonts w:eastAsia="Arial"/>
          <w:kern w:val="2"/>
          <w:lang w:eastAsia="en-US"/>
          <w14:ligatures w14:val="standardContextual"/>
        </w:rPr>
        <w:t>worden verklaard</w:t>
      </w:r>
      <w:r w:rsidRPr="000E0F6B">
        <w:rPr>
          <w:rFonts w:eastAsia="Arial"/>
          <w:kern w:val="2"/>
          <w:lang w:eastAsia="en-US"/>
          <w14:ligatures w14:val="standardContextual"/>
        </w:rPr>
        <w:t xml:space="preserve">, zoals sociaaleconomische status en thuissituatie van studenten. Feit is dat afgelopen jaren het aantal voortijdig schoolverlaters enorm is gestegen en dat kan niet allemaal worden weggeschoven op thuissituatie of sociaaleconomische status, immers speelden die ook een rol toen er nog niet zoveel voortijdig schoolverlaters waren. Kan </w:t>
      </w:r>
      <w:r w:rsidRPr="000E0F6B" w:rsidR="00D3528A">
        <w:rPr>
          <w:rFonts w:eastAsia="Arial"/>
          <w:kern w:val="2"/>
          <w:lang w:eastAsia="en-US"/>
          <w14:ligatures w14:val="standardContextual"/>
        </w:rPr>
        <w:t xml:space="preserve">de minister </w:t>
      </w:r>
      <w:r w:rsidRPr="000E0F6B">
        <w:rPr>
          <w:rFonts w:eastAsia="Arial"/>
          <w:kern w:val="2"/>
          <w:lang w:eastAsia="en-US"/>
          <w14:ligatures w14:val="standardContextual"/>
        </w:rPr>
        <w:t xml:space="preserve">terugkoppelen wat er uit de gespreken met belanghebbenden is geconcludeerd over de duiding van deze cijfers? </w:t>
      </w:r>
    </w:p>
    <w:p w:rsidRPr="000E0F6B" w:rsidR="00D3528A" w:rsidP="000E0F6B" w:rsidRDefault="00D3528A" w14:paraId="5ECDBC61" w14:textId="77777777">
      <w:pPr>
        <w:rPr>
          <w:rFonts w:eastAsia="Arial"/>
          <w:kern w:val="2"/>
          <w:lang w:eastAsia="en-US"/>
          <w14:ligatures w14:val="standardContextual"/>
        </w:rPr>
      </w:pPr>
    </w:p>
    <w:p w:rsidRPr="000E0F6B" w:rsidR="00435659" w:rsidP="000E0F6B" w:rsidRDefault="00435659" w14:paraId="4F420612" w14:textId="186B1E5A">
      <w:pPr>
        <w:rPr>
          <w:rFonts w:eastAsia="Arial"/>
          <w:kern w:val="2"/>
          <w:lang w:eastAsia="en-US"/>
          <w14:ligatures w14:val="standardContextual"/>
        </w:rPr>
      </w:pPr>
      <w:r w:rsidRPr="000E0F6B">
        <w:rPr>
          <w:rFonts w:eastAsia="Arial"/>
          <w:kern w:val="2"/>
          <w:lang w:eastAsia="en-US"/>
          <w14:ligatures w14:val="standardContextual"/>
        </w:rPr>
        <w:t xml:space="preserve">De leden van de GroenLinks-PvdA-fractie zijn bezorgd over de constatering dat bijna 25 procent van de universitaire masteropleidingen ontoegankelijk blijken voor hbo-studenten. Deze leden vinden dit beslist ongewenst, niet alleen bezien vanuit de ontwikkelkansen van hbo-studenten, maar vooral ook vanuit de noodzaak om voldoende professioneel talent te genereren. </w:t>
      </w:r>
      <w:r w:rsidRPr="000E0F6B" w:rsidR="00D3528A">
        <w:rPr>
          <w:rFonts w:eastAsia="Arial"/>
          <w:kern w:val="2"/>
          <w:lang w:eastAsia="en-US"/>
          <w14:ligatures w14:val="standardContextual"/>
        </w:rPr>
        <w:t>Zij</w:t>
      </w:r>
      <w:r w:rsidRPr="000E0F6B">
        <w:rPr>
          <w:rFonts w:eastAsia="Arial"/>
          <w:kern w:val="2"/>
          <w:lang w:eastAsia="en-US"/>
          <w14:ligatures w14:val="standardContextual"/>
        </w:rPr>
        <w:t xml:space="preserve"> zijn benieuwd welke maatregelen in het vooruitzicht worden gesteld om toegankelijkheid, selectie en doorstroom in het hoger onderwijs in algemene zin te verbeteren, en toegespitst hoe hbo-gediplomeerden doorstromen naar wo-masters.</w:t>
      </w:r>
    </w:p>
    <w:p w:rsidRPr="000E0F6B" w:rsidR="0024690E" w:rsidP="000E0F6B" w:rsidRDefault="0024690E" w14:paraId="1135EDE3" w14:textId="77777777">
      <w:pPr>
        <w:rPr>
          <w:rFonts w:eastAsia="Arial"/>
          <w:kern w:val="2"/>
          <w:lang w:eastAsia="en-US"/>
          <w14:ligatures w14:val="standardContextual"/>
        </w:rPr>
      </w:pPr>
    </w:p>
    <w:p w:rsidRPr="000E0F6B" w:rsidR="00435659" w:rsidP="000E0F6B" w:rsidRDefault="00435659" w14:paraId="32EFC997" w14:textId="53CEF097">
      <w:pPr>
        <w:rPr>
          <w:rFonts w:eastAsia="Arial"/>
          <w:kern w:val="2"/>
          <w:lang w:eastAsia="en-US"/>
          <w14:ligatures w14:val="standardContextual"/>
        </w:rPr>
      </w:pPr>
      <w:r w:rsidRPr="000E0F6B">
        <w:rPr>
          <w:rFonts w:eastAsia="Arial"/>
          <w:kern w:val="2"/>
          <w:lang w:eastAsia="en-US"/>
          <w14:ligatures w14:val="standardContextual"/>
        </w:rPr>
        <w:t xml:space="preserve">De leden van de GroenLinks-PvdA-fractie zijn bezorgd over de afhankelijkheid van niet-Europese </w:t>
      </w:r>
      <w:proofErr w:type="spellStart"/>
      <w:r w:rsidRPr="000E0F6B">
        <w:rPr>
          <w:rFonts w:eastAsia="Arial"/>
          <w:kern w:val="2"/>
          <w:lang w:eastAsia="en-US"/>
          <w14:ligatures w14:val="standardContextual"/>
        </w:rPr>
        <w:t>techgiganten</w:t>
      </w:r>
      <w:proofErr w:type="spellEnd"/>
      <w:r w:rsidRPr="000E0F6B">
        <w:rPr>
          <w:rFonts w:eastAsia="Arial"/>
          <w:kern w:val="2"/>
          <w:lang w:eastAsia="en-US"/>
          <w14:ligatures w14:val="standardContextual"/>
        </w:rPr>
        <w:t>. In het Interdepartementaal Informatieprogramma zien de</w:t>
      </w:r>
      <w:r w:rsidRPr="000E0F6B" w:rsidR="00D3528A">
        <w:rPr>
          <w:rFonts w:eastAsia="Arial"/>
          <w:kern w:val="2"/>
          <w:lang w:eastAsia="en-US"/>
          <w14:ligatures w14:val="standardContextual"/>
        </w:rPr>
        <w:t>ze</w:t>
      </w:r>
      <w:r w:rsidRPr="000E0F6B">
        <w:rPr>
          <w:rFonts w:eastAsia="Arial"/>
          <w:kern w:val="2"/>
          <w:lang w:eastAsia="en-US"/>
          <w14:ligatures w14:val="standardContextual"/>
        </w:rPr>
        <w:t xml:space="preserve"> leden niet terug wat de ambities van </w:t>
      </w:r>
      <w:r w:rsidRPr="000E0F6B" w:rsidR="00CD3945">
        <w:rPr>
          <w:rFonts w:eastAsia="Arial"/>
          <w:kern w:val="2"/>
          <w:lang w:eastAsia="en-US"/>
          <w14:ligatures w14:val="standardContextual"/>
        </w:rPr>
        <w:t>het kabinet</w:t>
      </w:r>
      <w:r w:rsidRPr="000E0F6B">
        <w:rPr>
          <w:rFonts w:eastAsia="Arial"/>
          <w:kern w:val="2"/>
          <w:lang w:eastAsia="en-US"/>
          <w14:ligatures w14:val="standardContextual"/>
        </w:rPr>
        <w:t xml:space="preserve"> zijn om digitale soevereiniteit binnen de OCW-domeinen te bevorderen. </w:t>
      </w:r>
      <w:r w:rsidRPr="000E0F6B" w:rsidR="00D3528A">
        <w:rPr>
          <w:rFonts w:eastAsia="Arial"/>
          <w:kern w:val="2"/>
          <w:lang w:eastAsia="en-US"/>
          <w14:ligatures w14:val="standardContextual"/>
        </w:rPr>
        <w:t>Zij b</w:t>
      </w:r>
      <w:r w:rsidRPr="000E0F6B">
        <w:rPr>
          <w:rFonts w:eastAsia="Arial"/>
          <w:kern w:val="2"/>
          <w:lang w:eastAsia="en-US"/>
          <w14:ligatures w14:val="standardContextual"/>
        </w:rPr>
        <w:t xml:space="preserve">enadrukken dat de eenzijdige afhankelijkheid van enkele grote niet-Europese </w:t>
      </w:r>
      <w:proofErr w:type="spellStart"/>
      <w:r w:rsidRPr="000E0F6B">
        <w:rPr>
          <w:rFonts w:eastAsia="Arial"/>
          <w:kern w:val="2"/>
          <w:lang w:eastAsia="en-US"/>
          <w14:ligatures w14:val="standardContextual"/>
        </w:rPr>
        <w:t>techleveranciers</w:t>
      </w:r>
      <w:proofErr w:type="spellEnd"/>
      <w:r w:rsidRPr="000E0F6B">
        <w:rPr>
          <w:rFonts w:eastAsia="Arial"/>
          <w:kern w:val="2"/>
          <w:lang w:eastAsia="en-US"/>
          <w14:ligatures w14:val="standardContextual"/>
        </w:rPr>
        <w:t xml:space="preserve"> de vrijheid van media-, cultuur- en onderwijsorganisaties aantast. Welke verantwoordelijkheid heeft </w:t>
      </w:r>
      <w:r w:rsidRPr="000E0F6B" w:rsidR="00D3528A">
        <w:rPr>
          <w:rFonts w:eastAsia="Arial"/>
          <w:kern w:val="2"/>
          <w:lang w:eastAsia="en-US"/>
          <w14:ligatures w14:val="standardContextual"/>
        </w:rPr>
        <w:t>het kabinet</w:t>
      </w:r>
      <w:r w:rsidRPr="000E0F6B">
        <w:rPr>
          <w:rFonts w:eastAsia="Arial"/>
          <w:kern w:val="2"/>
          <w:lang w:eastAsia="en-US"/>
          <w14:ligatures w14:val="standardContextual"/>
        </w:rPr>
        <w:t xml:space="preserve">, en in het bijzonder de demissionaire OCW-bewindspersonen, om digitale soevereiniteit in het onderwijs-, media- en cultuurlandschap te bevorderen? De leden </w:t>
      </w:r>
      <w:r w:rsidRPr="000E0F6B" w:rsidR="00CD3945">
        <w:rPr>
          <w:rFonts w:eastAsia="Arial"/>
          <w:kern w:val="2"/>
          <w:lang w:eastAsia="en-US"/>
          <w14:ligatures w14:val="standardContextual"/>
        </w:rPr>
        <w:t>van de GroenLinks-PvdA-fractie</w:t>
      </w:r>
      <w:r w:rsidRPr="000E0F6B">
        <w:rPr>
          <w:rFonts w:eastAsia="Arial"/>
          <w:kern w:val="2"/>
          <w:lang w:eastAsia="en-US"/>
          <w14:ligatures w14:val="standardContextual"/>
        </w:rPr>
        <w:t xml:space="preserve"> ontvangen graag een overzicht van de acties vanuit </w:t>
      </w:r>
      <w:r w:rsidRPr="000E0F6B" w:rsidR="00D3528A">
        <w:rPr>
          <w:rFonts w:eastAsia="Arial"/>
          <w:kern w:val="2"/>
          <w:lang w:eastAsia="en-US"/>
          <w14:ligatures w14:val="standardContextual"/>
        </w:rPr>
        <w:t xml:space="preserve">de bewindspersonen van </w:t>
      </w:r>
      <w:r w:rsidRPr="000E0F6B">
        <w:rPr>
          <w:rFonts w:eastAsia="Arial"/>
          <w:kern w:val="2"/>
          <w:lang w:eastAsia="en-US"/>
          <w14:ligatures w14:val="standardContextual"/>
        </w:rPr>
        <w:t xml:space="preserve">OCW die bijdragen aan deze </w:t>
      </w:r>
      <w:proofErr w:type="spellStart"/>
      <w:r w:rsidRPr="000E0F6B">
        <w:rPr>
          <w:rFonts w:eastAsia="Arial"/>
          <w:kern w:val="2"/>
          <w:lang w:eastAsia="en-US"/>
          <w14:ligatures w14:val="standardContextual"/>
        </w:rPr>
        <w:t>Rijksbrede</w:t>
      </w:r>
      <w:proofErr w:type="spellEnd"/>
      <w:r w:rsidRPr="000E0F6B">
        <w:rPr>
          <w:rFonts w:eastAsia="Arial"/>
          <w:kern w:val="2"/>
          <w:lang w:eastAsia="en-US"/>
          <w14:ligatures w14:val="standardContextual"/>
        </w:rPr>
        <w:t xml:space="preserve"> opgave.</w:t>
      </w:r>
    </w:p>
    <w:p w:rsidRPr="000E0F6B" w:rsidR="00D3528A" w:rsidP="000E0F6B" w:rsidRDefault="00D3528A" w14:paraId="60C6729B" w14:textId="77777777">
      <w:pPr>
        <w:rPr>
          <w:rFonts w:eastAsia="Arial"/>
          <w:kern w:val="2"/>
          <w:lang w:eastAsia="en-US"/>
          <w14:ligatures w14:val="standardContextual"/>
        </w:rPr>
      </w:pPr>
    </w:p>
    <w:p w:rsidRPr="000E0F6B" w:rsidR="00435659" w:rsidP="000E0F6B" w:rsidRDefault="00435659" w14:paraId="341572A8" w14:textId="5AC41BB9">
      <w:pPr>
        <w:rPr>
          <w:rFonts w:eastAsia="Arial"/>
          <w:kern w:val="2"/>
          <w:lang w:eastAsia="en-US"/>
          <w14:ligatures w14:val="standardContextual"/>
        </w:rPr>
      </w:pPr>
      <w:r w:rsidRPr="000E0F6B">
        <w:rPr>
          <w:rFonts w:eastAsia="Arial"/>
          <w:kern w:val="2"/>
          <w:lang w:eastAsia="en-US"/>
          <w14:ligatures w14:val="standardContextual"/>
        </w:rPr>
        <w:t xml:space="preserve">Hierbij merken de leden van de GroenLinks-PvdA-fractie op dat het onderwijs de digitale afhankelijkheid van alle sectoren indirect faciliteert. Dit komt mede doordat breed gebruik wordt gemaakt van voordelige licenties voor softwarepakketten in het onderwijs, zoals Microsoft 365 </w:t>
      </w:r>
      <w:proofErr w:type="spellStart"/>
      <w:r w:rsidRPr="000E0F6B">
        <w:rPr>
          <w:rFonts w:eastAsia="Arial"/>
          <w:kern w:val="2"/>
          <w:lang w:eastAsia="en-US"/>
          <w14:ligatures w14:val="standardContextual"/>
        </w:rPr>
        <w:t>Education</w:t>
      </w:r>
      <w:proofErr w:type="spellEnd"/>
      <w:r w:rsidRPr="000E0F6B">
        <w:rPr>
          <w:rFonts w:eastAsia="Arial"/>
          <w:kern w:val="2"/>
          <w:lang w:eastAsia="en-US"/>
          <w14:ligatures w14:val="standardContextual"/>
        </w:rPr>
        <w:t>. Daardoor worden mensen opgeleid in de taal en vorm van niet-Europese software. De</w:t>
      </w:r>
      <w:r w:rsidRPr="000E0F6B" w:rsidR="00D3528A">
        <w:rPr>
          <w:rFonts w:eastAsia="Arial"/>
          <w:kern w:val="2"/>
          <w:lang w:eastAsia="en-US"/>
          <w14:ligatures w14:val="standardContextual"/>
        </w:rPr>
        <w:t>ze</w:t>
      </w:r>
      <w:r w:rsidRPr="000E0F6B">
        <w:rPr>
          <w:rFonts w:eastAsia="Arial"/>
          <w:kern w:val="2"/>
          <w:lang w:eastAsia="en-US"/>
          <w14:ligatures w14:val="standardContextual"/>
        </w:rPr>
        <w:t xml:space="preserve"> leden willen weten hoe breed goedkope onderwijslicenties van softwarepakketten worden afgenomen. Welke acties heeft </w:t>
      </w:r>
      <w:r w:rsidRPr="000E0F6B" w:rsidR="00D3528A">
        <w:rPr>
          <w:rFonts w:eastAsia="Arial"/>
          <w:kern w:val="2"/>
          <w:lang w:eastAsia="en-US"/>
          <w14:ligatures w14:val="standardContextual"/>
        </w:rPr>
        <w:t>het kabinet</w:t>
      </w:r>
      <w:r w:rsidRPr="000E0F6B">
        <w:rPr>
          <w:rFonts w:eastAsia="Arial"/>
          <w:kern w:val="2"/>
          <w:lang w:eastAsia="en-US"/>
          <w14:ligatures w14:val="standardContextual"/>
        </w:rPr>
        <w:t xml:space="preserve"> ondernomen om het gebruik van alternatieve Europese applicaties binnen het onderwijs te stimuleren? Kan dit worden uitgedrukt in cijfers? De</w:t>
      </w:r>
      <w:r w:rsidRPr="000E0F6B" w:rsidR="00D3528A">
        <w:rPr>
          <w:rFonts w:eastAsia="Arial"/>
          <w:kern w:val="2"/>
          <w:lang w:eastAsia="en-US"/>
          <w14:ligatures w14:val="standardContextual"/>
        </w:rPr>
        <w:t>ze</w:t>
      </w:r>
      <w:r w:rsidRPr="000E0F6B">
        <w:rPr>
          <w:rFonts w:eastAsia="Arial"/>
          <w:kern w:val="2"/>
          <w:lang w:eastAsia="en-US"/>
          <w14:ligatures w14:val="standardContextual"/>
        </w:rPr>
        <w:t xml:space="preserve"> leden brengen de breed aangenomen motie</w:t>
      </w:r>
      <w:r w:rsidRPr="000E0F6B" w:rsidR="00D3528A">
        <w:rPr>
          <w:rFonts w:eastAsia="Arial"/>
          <w:kern w:val="2"/>
          <w:lang w:eastAsia="en-US"/>
          <w14:ligatures w14:val="standardContextual"/>
        </w:rPr>
        <w:t xml:space="preserve"> van het lid </w:t>
      </w:r>
      <w:proofErr w:type="spellStart"/>
      <w:r w:rsidRPr="000E0F6B">
        <w:rPr>
          <w:rFonts w:eastAsia="Arial"/>
          <w:kern w:val="2"/>
          <w:lang w:eastAsia="en-US"/>
          <w14:ligatures w14:val="standardContextual"/>
        </w:rPr>
        <w:t>Kathmann</w:t>
      </w:r>
      <w:proofErr w:type="spellEnd"/>
      <w:r w:rsidRPr="000E0F6B" w:rsidR="00D3528A">
        <w:rPr>
          <w:rStyle w:val="Voetnootmarkering"/>
          <w:rFonts w:eastAsia="Arial"/>
          <w:kern w:val="2"/>
          <w:lang w:eastAsia="en-US"/>
          <w14:ligatures w14:val="standardContextual"/>
        </w:rPr>
        <w:footnoteReference w:id="37"/>
      </w:r>
      <w:r w:rsidRPr="000E0F6B">
        <w:rPr>
          <w:rFonts w:eastAsia="Arial"/>
          <w:kern w:val="2"/>
          <w:lang w:eastAsia="en-US"/>
          <w14:ligatures w14:val="standardContextual"/>
        </w:rPr>
        <w:t xml:space="preserve"> in herinnering en ontvangen graag een stand van zaken over de uitvoering.</w:t>
      </w:r>
    </w:p>
    <w:p w:rsidRPr="000E0F6B" w:rsidR="00D3528A" w:rsidP="000E0F6B" w:rsidRDefault="00D3528A" w14:paraId="7A26B5AE" w14:textId="77777777">
      <w:pPr>
        <w:rPr>
          <w:rFonts w:eastAsia="Arial"/>
          <w:kern w:val="2"/>
          <w:lang w:eastAsia="en-US"/>
          <w14:ligatures w14:val="standardContextual"/>
        </w:rPr>
      </w:pPr>
    </w:p>
    <w:p w:rsidRPr="000E0F6B" w:rsidR="00435659" w:rsidP="000E0F6B" w:rsidRDefault="00435659" w14:paraId="35DC77D7" w14:textId="44F0ABE5">
      <w:pPr>
        <w:rPr>
          <w:rFonts w:eastAsia="Arial"/>
          <w:kern w:val="2"/>
          <w:lang w:eastAsia="en-US"/>
          <w14:ligatures w14:val="standardContextual"/>
        </w:rPr>
      </w:pPr>
      <w:r w:rsidRPr="000E0F6B">
        <w:rPr>
          <w:rFonts w:eastAsia="Arial"/>
          <w:kern w:val="2"/>
          <w:lang w:eastAsia="en-US"/>
          <w14:ligatures w14:val="standardContextual"/>
        </w:rPr>
        <w:t>De leden van de GroenLinks-PvdA-fractie zijn eveneens bezorgd over de gebrekkige digitale geletterdheid. Een grote groep Nederlanders heeft moeite met het bereiken van de (digitale) overheid. Dat raakt zowel ouderen als jongeren. Het is zorgwekkend dat ondanks de zorgwekkende resultaten uit de Staat van het Onderwijs 2024</w:t>
      </w:r>
      <w:r w:rsidRPr="000E0F6B" w:rsidR="00D3528A">
        <w:rPr>
          <w:rFonts w:eastAsia="Arial"/>
          <w:kern w:val="2"/>
          <w:lang w:eastAsia="en-US"/>
          <w14:ligatures w14:val="standardContextual"/>
        </w:rPr>
        <w:t xml:space="preserve">, </w:t>
      </w:r>
      <w:r w:rsidRPr="000E0F6B">
        <w:rPr>
          <w:rFonts w:eastAsia="Arial"/>
          <w:kern w:val="2"/>
          <w:lang w:eastAsia="en-US"/>
          <w14:ligatures w14:val="standardContextual"/>
        </w:rPr>
        <w:t>par</w:t>
      </w:r>
      <w:r w:rsidRPr="000E0F6B" w:rsidR="00D3528A">
        <w:rPr>
          <w:rFonts w:eastAsia="Arial"/>
          <w:kern w:val="2"/>
          <w:lang w:eastAsia="en-US"/>
          <w14:ligatures w14:val="standardContextual"/>
        </w:rPr>
        <w:t xml:space="preserve">agraaf </w:t>
      </w:r>
      <w:r w:rsidRPr="000E0F6B">
        <w:rPr>
          <w:rFonts w:eastAsia="Arial"/>
          <w:kern w:val="2"/>
          <w:lang w:eastAsia="en-US"/>
          <w14:ligatures w14:val="standardContextual"/>
        </w:rPr>
        <w:t>2.4, de helft van de scholen nog geen actie neemt. Nederland wijkt daarmee negatief af van andere landen. K</w:t>
      </w:r>
      <w:r w:rsidRPr="000E0F6B" w:rsidR="00D3528A">
        <w:rPr>
          <w:rFonts w:eastAsia="Arial"/>
          <w:kern w:val="2"/>
          <w:lang w:eastAsia="en-US"/>
          <w14:ligatures w14:val="standardContextual"/>
        </w:rPr>
        <w:t xml:space="preserve">unnen de bewindspersonen </w:t>
      </w:r>
      <w:r w:rsidRPr="000E0F6B">
        <w:rPr>
          <w:rFonts w:eastAsia="Arial"/>
          <w:kern w:val="2"/>
          <w:lang w:eastAsia="en-US"/>
          <w14:ligatures w14:val="standardContextual"/>
        </w:rPr>
        <w:t>verklaren waarom Nederland er slechter voor staat dan andere landen? Welke landen staan er het beste voor en wat maakt hun beleid tot een succes? Welke acties ne</w:t>
      </w:r>
      <w:r w:rsidRPr="000E0F6B" w:rsidR="00D3528A">
        <w:rPr>
          <w:rFonts w:eastAsia="Arial"/>
          <w:kern w:val="2"/>
          <w:lang w:eastAsia="en-US"/>
          <w14:ligatures w14:val="standardContextual"/>
        </w:rPr>
        <w:t xml:space="preserve">men de bewindspersonen </w:t>
      </w:r>
      <w:r w:rsidRPr="000E0F6B">
        <w:rPr>
          <w:rFonts w:eastAsia="Arial"/>
          <w:kern w:val="2"/>
          <w:lang w:eastAsia="en-US"/>
          <w14:ligatures w14:val="standardContextual"/>
        </w:rPr>
        <w:t>om scholen te helpen om wél te werken aan digitale geletterdheid? Welke middelen zijn er beschikbaar om het aantal digitaal geletterde leerlingen en docenten te vergroten?</w:t>
      </w:r>
    </w:p>
    <w:p w:rsidRPr="000E0F6B" w:rsidR="00D3528A" w:rsidP="000E0F6B" w:rsidRDefault="00D3528A" w14:paraId="48D5BE55" w14:textId="77777777">
      <w:pPr>
        <w:rPr>
          <w:rFonts w:eastAsia="Arial"/>
          <w:kern w:val="2"/>
          <w:lang w:eastAsia="en-US"/>
          <w14:ligatures w14:val="standardContextual"/>
        </w:rPr>
      </w:pPr>
    </w:p>
    <w:p w:rsidRPr="000E0F6B" w:rsidR="00435659" w:rsidP="000E0F6B" w:rsidRDefault="00435659" w14:paraId="65EE40A7" w14:textId="175AF177">
      <w:pPr>
        <w:rPr>
          <w:rFonts w:eastAsia="Arial"/>
          <w:kern w:val="2"/>
          <w:lang w:eastAsia="en-US"/>
          <w14:ligatures w14:val="standardContextual"/>
        </w:rPr>
      </w:pPr>
      <w:r w:rsidRPr="000E0F6B">
        <w:rPr>
          <w:rFonts w:eastAsia="Arial"/>
          <w:kern w:val="2"/>
          <w:lang w:eastAsia="en-US"/>
          <w14:ligatures w14:val="standardContextual"/>
        </w:rPr>
        <w:t xml:space="preserve">De leden van de GroenLinks-PvdA-fractie merken op dat digitale geletterdheid ook wordt bevorderd door informeel volwassenenonderwijs. Denk aan een cursus bij een bibliotheek of persoonlijke hulp bij een Informatiepunt Digitale Overheid. Deze leden willen weten hoe </w:t>
      </w:r>
      <w:r w:rsidRPr="000E0F6B" w:rsidR="00D3528A">
        <w:rPr>
          <w:rFonts w:eastAsia="Arial"/>
          <w:kern w:val="2"/>
          <w:lang w:eastAsia="en-US"/>
          <w14:ligatures w14:val="standardContextual"/>
        </w:rPr>
        <w:t>het kabinet</w:t>
      </w:r>
      <w:r w:rsidRPr="000E0F6B">
        <w:rPr>
          <w:rFonts w:eastAsia="Arial"/>
          <w:kern w:val="2"/>
          <w:lang w:eastAsia="en-US"/>
          <w14:ligatures w14:val="standardContextual"/>
        </w:rPr>
        <w:t xml:space="preserve"> financieel bijdraagt aan het ontwikkelen van (informeel) lesmateriaal voor digitale vaardigheden en het </w:t>
      </w:r>
      <w:r w:rsidRPr="000E0F6B" w:rsidR="00D3528A">
        <w:rPr>
          <w:rFonts w:eastAsia="Arial"/>
          <w:kern w:val="2"/>
          <w:lang w:eastAsia="en-US"/>
          <w14:ligatures w14:val="standardContextual"/>
        </w:rPr>
        <w:t>beschikbaar stellen</w:t>
      </w:r>
      <w:r w:rsidRPr="000E0F6B">
        <w:rPr>
          <w:rFonts w:eastAsia="Arial"/>
          <w:kern w:val="2"/>
          <w:lang w:eastAsia="en-US"/>
          <w14:ligatures w14:val="standardContextual"/>
        </w:rPr>
        <w:t xml:space="preserve"> daarvan. Welke partijen zijn actief in het ontwikkelen van zulk lesaanbod? Welke partijen financiert </w:t>
      </w:r>
      <w:r w:rsidRPr="000E0F6B" w:rsidR="00D3528A">
        <w:rPr>
          <w:rFonts w:eastAsia="Arial"/>
          <w:kern w:val="2"/>
          <w:lang w:eastAsia="en-US"/>
          <w14:ligatures w14:val="standardContextual"/>
        </w:rPr>
        <w:t>het kabinet</w:t>
      </w:r>
      <w:r w:rsidRPr="000E0F6B">
        <w:rPr>
          <w:rFonts w:eastAsia="Arial"/>
          <w:kern w:val="2"/>
          <w:lang w:eastAsia="en-US"/>
          <w14:ligatures w14:val="standardContextual"/>
        </w:rPr>
        <w:t xml:space="preserve"> zodat het aandeel digitaal geletterden toeneemt? Graag horen de</w:t>
      </w:r>
      <w:r w:rsidRPr="000E0F6B" w:rsidR="00D3528A">
        <w:rPr>
          <w:rFonts w:eastAsia="Arial"/>
          <w:kern w:val="2"/>
          <w:lang w:eastAsia="en-US"/>
          <w14:ligatures w14:val="standardContextual"/>
        </w:rPr>
        <w:t>ze</w:t>
      </w:r>
      <w:r w:rsidRPr="000E0F6B">
        <w:rPr>
          <w:rFonts w:eastAsia="Arial"/>
          <w:kern w:val="2"/>
          <w:lang w:eastAsia="en-US"/>
          <w14:ligatures w14:val="standardContextual"/>
        </w:rPr>
        <w:t xml:space="preserve"> leden ook hoe </w:t>
      </w:r>
      <w:r w:rsidRPr="000E0F6B" w:rsidR="00CA2AE4">
        <w:rPr>
          <w:rFonts w:eastAsia="Arial"/>
          <w:kern w:val="2"/>
          <w:lang w:eastAsia="en-US"/>
          <w14:ligatures w14:val="standardContextual"/>
        </w:rPr>
        <w:t>het kabinet</w:t>
      </w:r>
      <w:r w:rsidRPr="000E0F6B">
        <w:rPr>
          <w:rFonts w:eastAsia="Arial"/>
          <w:kern w:val="2"/>
          <w:lang w:eastAsia="en-US"/>
          <w14:ligatures w14:val="standardContextual"/>
        </w:rPr>
        <w:t xml:space="preserve"> bibliotheken in staat stelt om de digitale vaardigheden van volwassenen te bevorderen.</w:t>
      </w:r>
    </w:p>
    <w:p w:rsidRPr="000E0F6B" w:rsidR="00D3528A" w:rsidP="000E0F6B" w:rsidRDefault="00D3528A" w14:paraId="71F9A5FE" w14:textId="77777777">
      <w:pPr>
        <w:rPr>
          <w:rFonts w:eastAsia="Arial"/>
          <w:kern w:val="2"/>
          <w:lang w:eastAsia="en-US"/>
          <w14:ligatures w14:val="standardContextual"/>
        </w:rPr>
      </w:pPr>
    </w:p>
    <w:p w:rsidRPr="000E0F6B" w:rsidR="00435659" w:rsidP="000E0F6B" w:rsidRDefault="00435659" w14:paraId="003346CD" w14:textId="56527A1C">
      <w:pPr>
        <w:rPr>
          <w:rFonts w:eastAsia="Arial"/>
          <w:kern w:val="2"/>
          <w:lang w:eastAsia="en-US"/>
          <w14:ligatures w14:val="standardContextual"/>
        </w:rPr>
      </w:pPr>
      <w:r w:rsidRPr="000E0F6B">
        <w:rPr>
          <w:rFonts w:eastAsia="Arial"/>
          <w:kern w:val="2"/>
          <w:lang w:eastAsia="en-US"/>
          <w14:ligatures w14:val="standardContextual"/>
        </w:rPr>
        <w:t xml:space="preserve">Tevens versterkt de digitalisering van het onderwijs volgens de leden van de GroenLinks-PvdA-fractie ook de ongelijkheid in de klas. Niet alle leerlingen hebben toegang tot digitale apparaten of goed internet, daardoor groeit de kansenongelijkheid. Hoeveel toestellen (laptops, tablets, o.a.) zijn er het afgelopen jaar toebedeeld aan leerlingen die het niet zelf kunnen betalen? Hoeveel van deze toestellen zijn door </w:t>
      </w:r>
      <w:r w:rsidRPr="000E0F6B" w:rsidR="00D3528A">
        <w:rPr>
          <w:rFonts w:eastAsia="Arial"/>
          <w:kern w:val="2"/>
          <w:lang w:eastAsia="en-US"/>
          <w14:ligatures w14:val="standardContextual"/>
        </w:rPr>
        <w:t>het kabinet</w:t>
      </w:r>
      <w:r w:rsidRPr="000E0F6B">
        <w:rPr>
          <w:rFonts w:eastAsia="Arial"/>
          <w:kern w:val="2"/>
          <w:lang w:eastAsia="en-US"/>
          <w14:ligatures w14:val="standardContextual"/>
        </w:rPr>
        <w:t xml:space="preserve"> beschikbaar gesteld? De</w:t>
      </w:r>
      <w:r w:rsidRPr="000E0F6B" w:rsidR="00D3528A">
        <w:rPr>
          <w:rFonts w:eastAsia="Arial"/>
          <w:kern w:val="2"/>
          <w:lang w:eastAsia="en-US"/>
          <w14:ligatures w14:val="standardContextual"/>
        </w:rPr>
        <w:t>ze</w:t>
      </w:r>
      <w:r w:rsidRPr="000E0F6B">
        <w:rPr>
          <w:rFonts w:eastAsia="Arial"/>
          <w:kern w:val="2"/>
          <w:lang w:eastAsia="en-US"/>
          <w14:ligatures w14:val="standardContextual"/>
        </w:rPr>
        <w:t xml:space="preserve"> leden vragen de </w:t>
      </w:r>
      <w:r w:rsidRPr="000E0F6B" w:rsidR="00D3528A">
        <w:rPr>
          <w:rFonts w:eastAsia="Arial"/>
          <w:kern w:val="2"/>
          <w:lang w:eastAsia="en-US"/>
          <w14:ligatures w14:val="standardContextual"/>
        </w:rPr>
        <w:t xml:space="preserve">bewindspersonen </w:t>
      </w:r>
      <w:r w:rsidRPr="000E0F6B">
        <w:rPr>
          <w:rFonts w:eastAsia="Arial"/>
          <w:kern w:val="2"/>
          <w:lang w:eastAsia="en-US"/>
          <w14:ligatures w14:val="standardContextual"/>
        </w:rPr>
        <w:t>om zo goed mogelijk inzicht te geven in de toestroom van toestellen naar leerlingen. Zij benadrukken dat elk departement een taak heeft om functionerende apparaten tweedehands beschikbaar te stellen voor dit doel, in samenwerking met de Alliantie Digitaal Samenleven.</w:t>
      </w:r>
    </w:p>
    <w:p w:rsidRPr="000E0F6B" w:rsidR="00D3528A" w:rsidP="000E0F6B" w:rsidRDefault="00D3528A" w14:paraId="2989C2E0" w14:textId="77777777">
      <w:pPr>
        <w:rPr>
          <w:rFonts w:eastAsia="Arial"/>
          <w:kern w:val="2"/>
          <w:lang w:eastAsia="en-US"/>
          <w14:ligatures w14:val="standardContextual"/>
        </w:rPr>
      </w:pPr>
    </w:p>
    <w:p w:rsidRPr="000E0F6B" w:rsidR="00435659" w:rsidP="000E0F6B" w:rsidRDefault="00435659" w14:paraId="4A2FCAD0" w14:textId="491C5765">
      <w:pPr>
        <w:rPr>
          <w:rFonts w:eastAsia="Arial"/>
          <w:kern w:val="2"/>
          <w:lang w:eastAsia="en-US"/>
          <w14:ligatures w14:val="standardContextual"/>
        </w:rPr>
      </w:pPr>
      <w:r w:rsidRPr="000E0F6B">
        <w:rPr>
          <w:rFonts w:eastAsia="Arial"/>
          <w:kern w:val="2"/>
          <w:lang w:eastAsia="en-US"/>
          <w14:ligatures w14:val="standardContextual"/>
        </w:rPr>
        <w:t xml:space="preserve">Op het gebied van </w:t>
      </w:r>
      <w:r w:rsidRPr="000E0F6B" w:rsidR="00D3528A">
        <w:rPr>
          <w:rFonts w:eastAsia="Arial"/>
          <w:kern w:val="2"/>
          <w:lang w:eastAsia="en-US"/>
          <w14:ligatures w14:val="standardContextual"/>
        </w:rPr>
        <w:t xml:space="preserve">artificiële intelligentie (AI) </w:t>
      </w:r>
      <w:r w:rsidRPr="000E0F6B">
        <w:rPr>
          <w:rFonts w:eastAsia="Arial"/>
          <w:kern w:val="2"/>
          <w:lang w:eastAsia="en-US"/>
          <w14:ligatures w14:val="standardContextual"/>
        </w:rPr>
        <w:t xml:space="preserve">hebben de leden van de GroenLinks-PvdA-fractie zorgen binnen de OCW-domeinen. </w:t>
      </w:r>
      <w:r w:rsidRPr="000E0F6B" w:rsidR="00D3528A">
        <w:rPr>
          <w:rFonts w:eastAsia="Arial"/>
          <w:kern w:val="2"/>
          <w:lang w:eastAsia="en-US"/>
          <w14:ligatures w14:val="standardContextual"/>
        </w:rPr>
        <w:t xml:space="preserve">Deze leden </w:t>
      </w:r>
      <w:r w:rsidRPr="000E0F6B">
        <w:rPr>
          <w:rFonts w:eastAsia="Arial"/>
          <w:kern w:val="2"/>
          <w:lang w:eastAsia="en-US"/>
          <w14:ligatures w14:val="standardContextual"/>
        </w:rPr>
        <w:t>zijn van mening dat AI nooit een vervanging kan zijn voor het goed leren lezen en schrijven. Ook roept het gebruik van AI in klaslokalen fundamentele vragen op over de kern van het onderwijs. K</w:t>
      </w:r>
      <w:r w:rsidRPr="000E0F6B" w:rsidR="00D3528A">
        <w:rPr>
          <w:rFonts w:eastAsia="Arial"/>
          <w:kern w:val="2"/>
          <w:lang w:eastAsia="en-US"/>
          <w14:ligatures w14:val="standardContextual"/>
        </w:rPr>
        <w:t xml:space="preserve">unnen de bewindspersonen </w:t>
      </w:r>
      <w:r w:rsidRPr="000E0F6B">
        <w:rPr>
          <w:rFonts w:eastAsia="Arial"/>
          <w:kern w:val="2"/>
          <w:lang w:eastAsia="en-US"/>
          <w14:ligatures w14:val="standardContextual"/>
        </w:rPr>
        <w:t>toelichten welke programma</w:t>
      </w:r>
      <w:r w:rsidRPr="000E0F6B" w:rsidR="00D3528A">
        <w:rPr>
          <w:rFonts w:eastAsia="Arial"/>
          <w:kern w:val="2"/>
          <w:lang w:eastAsia="en-US"/>
          <w14:ligatures w14:val="standardContextual"/>
        </w:rPr>
        <w:t>’</w:t>
      </w:r>
      <w:r w:rsidRPr="000E0F6B">
        <w:rPr>
          <w:rFonts w:eastAsia="Arial"/>
          <w:kern w:val="2"/>
          <w:lang w:eastAsia="en-US"/>
          <w14:ligatures w14:val="standardContextual"/>
        </w:rPr>
        <w:t xml:space="preserve">s er lopen om AI binnen het onderwijs op een ethische en waardevolle manier in te zetten? Hoe groot is het gebruik bij onderwijzers en leerlingen van commerciële AI-toepassingen tegenover </w:t>
      </w:r>
      <w:proofErr w:type="spellStart"/>
      <w:r w:rsidRPr="000E0F6B">
        <w:rPr>
          <w:rFonts w:eastAsia="Arial"/>
          <w:kern w:val="2"/>
          <w:lang w:eastAsia="en-US"/>
          <w14:ligatures w14:val="standardContextual"/>
        </w:rPr>
        <w:t>onderwijsspecifieke</w:t>
      </w:r>
      <w:proofErr w:type="spellEnd"/>
      <w:r w:rsidRPr="000E0F6B">
        <w:rPr>
          <w:rFonts w:eastAsia="Arial"/>
          <w:kern w:val="2"/>
          <w:lang w:eastAsia="en-US"/>
          <w14:ligatures w14:val="standardContextual"/>
        </w:rPr>
        <w:t xml:space="preserve"> toepassingen? De leden vinden het noodzakelijk dat het leren van basisvaardigheden niet verslechtert door het gebruik van AI-toepassingen in klaslokalen.</w:t>
      </w:r>
    </w:p>
    <w:p w:rsidRPr="000E0F6B" w:rsidR="00D3528A" w:rsidP="000E0F6B" w:rsidRDefault="00D3528A" w14:paraId="6A55FE6E" w14:textId="77777777">
      <w:pPr>
        <w:rPr>
          <w:rFonts w:eastAsia="Arial"/>
          <w:kern w:val="2"/>
          <w:lang w:eastAsia="en-US"/>
          <w14:ligatures w14:val="standardContextual"/>
        </w:rPr>
      </w:pPr>
    </w:p>
    <w:p w:rsidRPr="000E0F6B" w:rsidR="00435659" w:rsidP="000E0F6B" w:rsidRDefault="00435659" w14:paraId="26846B14" w14:textId="2453DBE8">
      <w:pPr>
        <w:rPr>
          <w:rFonts w:eastAsia="Arial"/>
          <w:kern w:val="2"/>
          <w:lang w:eastAsia="en-US"/>
          <w14:ligatures w14:val="standardContextual"/>
        </w:rPr>
      </w:pPr>
      <w:r w:rsidRPr="000E0F6B">
        <w:rPr>
          <w:rFonts w:eastAsia="Arial"/>
          <w:kern w:val="2"/>
          <w:lang w:eastAsia="en-US"/>
          <w14:ligatures w14:val="standardContextual"/>
        </w:rPr>
        <w:t xml:space="preserve">Tot slot zijn de leden van de GroenLinks-PvdA-fractie bezorgd over de gevolgen van AI op de kunst- en cultuursector. </w:t>
      </w:r>
      <w:r w:rsidRPr="000E0F6B" w:rsidR="00D3528A">
        <w:rPr>
          <w:rFonts w:eastAsia="Arial"/>
          <w:kern w:val="2"/>
          <w:lang w:eastAsia="en-US"/>
          <w14:ligatures w14:val="standardContextual"/>
        </w:rPr>
        <w:t xml:space="preserve">Deze leden </w:t>
      </w:r>
      <w:r w:rsidRPr="000E0F6B">
        <w:rPr>
          <w:rFonts w:eastAsia="Arial"/>
          <w:kern w:val="2"/>
          <w:lang w:eastAsia="en-US"/>
          <w14:ligatures w14:val="standardContextual"/>
        </w:rPr>
        <w:t xml:space="preserve">vrezen dat de komst van generatieve AI-modellen leidt tot grootschalige schendingen van het auteursrecht en het verdienmodel van makers en journalisten aantast. Is het volgens </w:t>
      </w:r>
      <w:r w:rsidRPr="000E0F6B" w:rsidR="00D3528A">
        <w:rPr>
          <w:rFonts w:eastAsia="Arial"/>
          <w:kern w:val="2"/>
          <w:lang w:eastAsia="en-US"/>
          <w14:ligatures w14:val="standardContextual"/>
        </w:rPr>
        <w:t>de minister</w:t>
      </w:r>
      <w:r w:rsidRPr="000E0F6B">
        <w:rPr>
          <w:rFonts w:eastAsia="Arial"/>
          <w:kern w:val="2"/>
          <w:lang w:eastAsia="en-US"/>
          <w14:ligatures w14:val="standardContextual"/>
        </w:rPr>
        <w:t xml:space="preserve"> verantwoord om generatieve AI-modellen te gebruiken binnen de publieke sector die getraind zijn op gestolen informatie? Ook vragen de</w:t>
      </w:r>
      <w:r w:rsidRPr="000E0F6B" w:rsidR="00D3528A">
        <w:rPr>
          <w:rFonts w:eastAsia="Arial"/>
          <w:kern w:val="2"/>
          <w:lang w:eastAsia="en-US"/>
          <w14:ligatures w14:val="standardContextual"/>
        </w:rPr>
        <w:t>ze</w:t>
      </w:r>
      <w:r w:rsidRPr="000E0F6B">
        <w:rPr>
          <w:rFonts w:eastAsia="Arial"/>
          <w:kern w:val="2"/>
          <w:lang w:eastAsia="en-US"/>
          <w14:ligatures w14:val="standardContextual"/>
        </w:rPr>
        <w:t xml:space="preserve"> leden aandacht voor de positie van makers ten opzichte van opdrachtgevers. Omdat makers afhankelijk zijn van opdrachtgevers, kunnen zij grote druk ervaren om contractueel vast te leggen dat hun product gebruikt mag worden voor het trainen van AI-modellen. Dit gebeurt dan zonder eerlijke compensatie voor de maker. </w:t>
      </w:r>
      <w:r w:rsidRPr="000E0F6B" w:rsidR="00CA2AE4">
        <w:rPr>
          <w:rFonts w:eastAsia="Arial"/>
          <w:kern w:val="2"/>
          <w:lang w:eastAsia="en-US"/>
          <w14:ligatures w14:val="standardContextual"/>
        </w:rPr>
        <w:t>de leden van de GroenLinks-PvdA-fractie</w:t>
      </w:r>
      <w:r w:rsidRPr="000E0F6B">
        <w:rPr>
          <w:rFonts w:eastAsia="Arial"/>
          <w:kern w:val="2"/>
          <w:lang w:eastAsia="en-US"/>
          <w14:ligatures w14:val="standardContextual"/>
        </w:rPr>
        <w:t xml:space="preserve"> vragen wat de </w:t>
      </w:r>
      <w:r w:rsidRPr="000E0F6B" w:rsidR="00D3528A">
        <w:rPr>
          <w:rFonts w:eastAsia="Arial"/>
          <w:kern w:val="2"/>
          <w:lang w:eastAsia="en-US"/>
          <w14:ligatures w14:val="standardContextual"/>
        </w:rPr>
        <w:t xml:space="preserve">minister </w:t>
      </w:r>
      <w:r w:rsidRPr="000E0F6B">
        <w:rPr>
          <w:rFonts w:eastAsia="Arial"/>
          <w:kern w:val="2"/>
          <w:lang w:eastAsia="en-US"/>
          <w14:ligatures w14:val="standardContextual"/>
        </w:rPr>
        <w:t xml:space="preserve">kan doen om het eigenaarschap van makers in deze gevallen te versterken. Kan </w:t>
      </w:r>
      <w:r w:rsidRPr="000E0F6B" w:rsidR="00D3528A">
        <w:rPr>
          <w:rFonts w:eastAsia="Arial"/>
          <w:kern w:val="2"/>
          <w:lang w:eastAsia="en-US"/>
          <w14:ligatures w14:val="standardContextual"/>
        </w:rPr>
        <w:t xml:space="preserve">de minister </w:t>
      </w:r>
      <w:r w:rsidRPr="000E0F6B">
        <w:rPr>
          <w:rFonts w:eastAsia="Arial"/>
          <w:kern w:val="2"/>
          <w:lang w:eastAsia="en-US"/>
          <w14:ligatures w14:val="standardContextual"/>
        </w:rPr>
        <w:t xml:space="preserve">actuele informatie delen over het aandeel van makers in de creatieve sector voor de Nederlandse economie? Heeft de </w:t>
      </w:r>
      <w:r w:rsidRPr="000E0F6B" w:rsidR="00D3528A">
        <w:rPr>
          <w:rFonts w:eastAsia="Arial"/>
          <w:kern w:val="2"/>
          <w:lang w:eastAsia="en-US"/>
          <w14:ligatures w14:val="standardContextual"/>
        </w:rPr>
        <w:t>minister</w:t>
      </w:r>
      <w:r w:rsidRPr="000E0F6B">
        <w:rPr>
          <w:rFonts w:eastAsia="Arial"/>
          <w:kern w:val="2"/>
          <w:lang w:eastAsia="en-US"/>
          <w14:ligatures w14:val="standardContextual"/>
        </w:rPr>
        <w:t xml:space="preserve"> inzicht in de gevolgen van generatieve AI-modellen voor de (economische) waarde van de creatieve sector? De</w:t>
      </w:r>
      <w:r w:rsidRPr="000E0F6B" w:rsidR="00D3528A">
        <w:rPr>
          <w:rFonts w:eastAsia="Arial"/>
          <w:kern w:val="2"/>
          <w:lang w:eastAsia="en-US"/>
          <w14:ligatures w14:val="standardContextual"/>
        </w:rPr>
        <w:t>ze</w:t>
      </w:r>
      <w:r w:rsidRPr="000E0F6B">
        <w:rPr>
          <w:rFonts w:eastAsia="Arial"/>
          <w:kern w:val="2"/>
          <w:lang w:eastAsia="en-US"/>
          <w14:ligatures w14:val="standardContextual"/>
        </w:rPr>
        <w:t xml:space="preserve"> leden uiten hun grote zorgen en dringen </w:t>
      </w:r>
      <w:r w:rsidRPr="000E0F6B" w:rsidR="00D3528A">
        <w:rPr>
          <w:rFonts w:eastAsia="Arial"/>
          <w:kern w:val="2"/>
          <w:lang w:eastAsia="en-US"/>
          <w14:ligatures w14:val="standardContextual"/>
        </w:rPr>
        <w:t xml:space="preserve">er bij </w:t>
      </w:r>
      <w:r w:rsidRPr="000E0F6B">
        <w:rPr>
          <w:rFonts w:eastAsia="Arial"/>
          <w:kern w:val="2"/>
          <w:lang w:eastAsia="en-US"/>
          <w14:ligatures w14:val="standardContextual"/>
        </w:rPr>
        <w:t xml:space="preserve">de </w:t>
      </w:r>
      <w:r w:rsidRPr="000E0F6B" w:rsidR="00D3528A">
        <w:rPr>
          <w:rFonts w:eastAsia="Arial"/>
          <w:kern w:val="2"/>
          <w:lang w:eastAsia="en-US"/>
          <w14:ligatures w14:val="standardContextual"/>
        </w:rPr>
        <w:t>minister</w:t>
      </w:r>
      <w:r w:rsidRPr="000E0F6B">
        <w:rPr>
          <w:rFonts w:eastAsia="Arial"/>
          <w:kern w:val="2"/>
          <w:lang w:eastAsia="en-US"/>
          <w14:ligatures w14:val="standardContextual"/>
        </w:rPr>
        <w:t xml:space="preserve"> </w:t>
      </w:r>
      <w:r w:rsidRPr="000E0F6B" w:rsidR="00D3528A">
        <w:rPr>
          <w:rFonts w:eastAsia="Arial"/>
          <w:kern w:val="2"/>
          <w:lang w:eastAsia="en-US"/>
          <w14:ligatures w14:val="standardContextual"/>
        </w:rPr>
        <w:t xml:space="preserve">op </w:t>
      </w:r>
      <w:r w:rsidRPr="000E0F6B">
        <w:rPr>
          <w:rFonts w:eastAsia="Arial"/>
          <w:kern w:val="2"/>
          <w:lang w:eastAsia="en-US"/>
          <w14:ligatures w14:val="standardContextual"/>
        </w:rPr>
        <w:t xml:space="preserve">aan om deze gevolgen voor makers en journalisten nauw te blijven volgen. Zij vragen de </w:t>
      </w:r>
      <w:r w:rsidRPr="000E0F6B" w:rsidR="00D3528A">
        <w:rPr>
          <w:rFonts w:eastAsia="Arial"/>
          <w:kern w:val="2"/>
          <w:lang w:eastAsia="en-US"/>
          <w14:ligatures w14:val="standardContextual"/>
        </w:rPr>
        <w:t>minister</w:t>
      </w:r>
      <w:r w:rsidRPr="000E0F6B">
        <w:rPr>
          <w:rFonts w:eastAsia="Arial"/>
          <w:kern w:val="2"/>
          <w:lang w:eastAsia="en-US"/>
          <w14:ligatures w14:val="standardContextual"/>
        </w:rPr>
        <w:t xml:space="preserve"> om in te gaan op de mogelijkheden om de positie, het auteursrecht en de compensatie van makers en journalisten te versterken bij het ontwikkelen van een Nederlands taalmodel en de AI-faciliteit.</w:t>
      </w:r>
    </w:p>
    <w:p w:rsidRPr="000E0F6B" w:rsidR="00435659" w:rsidP="000E0F6B" w:rsidRDefault="00435659" w14:paraId="0B99A1F2" w14:textId="77777777">
      <w:pPr>
        <w:pStyle w:val="Default"/>
        <w:rPr>
          <w:rFonts w:ascii="Times New Roman" w:hAnsi="Times New Roman" w:cs="Times New Roman"/>
          <w:b/>
        </w:rPr>
      </w:pPr>
    </w:p>
    <w:p w:rsidRPr="000E0F6B" w:rsidR="00D32557" w:rsidP="000E0F6B" w:rsidRDefault="00D32557" w14:paraId="6FAFC6D7" w14:textId="77777777">
      <w:pPr>
        <w:pStyle w:val="Default"/>
        <w:rPr>
          <w:rFonts w:ascii="Times New Roman" w:hAnsi="Times New Roman" w:cs="Times New Roman"/>
          <w:b/>
        </w:rPr>
      </w:pPr>
      <w:r w:rsidRPr="000E0F6B">
        <w:rPr>
          <w:rFonts w:ascii="Times New Roman" w:hAnsi="Times New Roman" w:cs="Times New Roman"/>
          <w:b/>
        </w:rPr>
        <w:t>Inbreng van de leden van de VVD-fractie</w:t>
      </w:r>
    </w:p>
    <w:p w:rsidRPr="000E0F6B" w:rsidR="00D3528A" w:rsidP="000E0F6B" w:rsidRDefault="00D3528A" w14:paraId="184F5BE4" w14:textId="77777777">
      <w:pPr>
        <w:pStyle w:val="Default"/>
        <w:rPr>
          <w:rFonts w:ascii="Times New Roman" w:hAnsi="Times New Roman" w:cs="Times New Roman"/>
          <w:bCs/>
        </w:rPr>
      </w:pPr>
      <w:r w:rsidRPr="000E0F6B">
        <w:rPr>
          <w:rFonts w:ascii="Times New Roman" w:hAnsi="Times New Roman" w:cs="Times New Roman"/>
          <w:bCs/>
        </w:rPr>
        <w:t>De leden van de VVD-fractie hebben met interesse kennisgenomen van het Jaarverslag 2024 en de Staat van het Onderwijs 2025.</w:t>
      </w:r>
    </w:p>
    <w:p w:rsidRPr="000E0F6B" w:rsidR="00D3528A" w:rsidP="000E0F6B" w:rsidRDefault="00D3528A" w14:paraId="6413C64A" w14:textId="77777777">
      <w:pPr>
        <w:pStyle w:val="Default"/>
        <w:rPr>
          <w:rFonts w:ascii="Times New Roman" w:hAnsi="Times New Roman" w:cs="Times New Roman"/>
          <w:bCs/>
        </w:rPr>
      </w:pPr>
    </w:p>
    <w:p w:rsidRPr="000E0F6B" w:rsidR="00D3528A" w:rsidP="000E0F6B" w:rsidRDefault="00D3528A" w14:paraId="37850548" w14:textId="1415232C">
      <w:pPr>
        <w:pStyle w:val="Default"/>
        <w:rPr>
          <w:rFonts w:ascii="Times New Roman" w:hAnsi="Times New Roman" w:cs="Times New Roman"/>
          <w:bCs/>
        </w:rPr>
      </w:pPr>
      <w:r w:rsidRPr="000E0F6B">
        <w:rPr>
          <w:rFonts w:ascii="Times New Roman" w:hAnsi="Times New Roman" w:cs="Times New Roman"/>
          <w:bCs/>
        </w:rPr>
        <w:t xml:space="preserve">De leden van de VVD-fractie vinden het belangrijk dat er focus is op de basisvaardigheden in het onderwijs. Deze leden zijn dan ook blij te lezen dat voor begrijpend lezen veel leerlingen het streefniveau halen. </w:t>
      </w:r>
      <w:r w:rsidRPr="000E0F6B" w:rsidR="00CA2AE4">
        <w:rPr>
          <w:rFonts w:ascii="Times New Roman" w:hAnsi="Times New Roman" w:cs="Times New Roman"/>
          <w:bCs/>
        </w:rPr>
        <w:t>De</w:t>
      </w:r>
      <w:r w:rsidRPr="000E0F6B" w:rsidR="000B14B4">
        <w:rPr>
          <w:rFonts w:ascii="Times New Roman" w:hAnsi="Times New Roman" w:cs="Times New Roman"/>
          <w:bCs/>
        </w:rPr>
        <w:t xml:space="preserve"> leden</w:t>
      </w:r>
      <w:r w:rsidRPr="000E0F6B">
        <w:rPr>
          <w:rFonts w:ascii="Times New Roman" w:hAnsi="Times New Roman" w:cs="Times New Roman"/>
          <w:bCs/>
        </w:rPr>
        <w:t xml:space="preserve"> lezen ook dat minder leerlingen het streefniveau halen voor taalverzorging en rekenen-wiskunde. </w:t>
      </w:r>
      <w:r w:rsidRPr="000E0F6B" w:rsidR="000B14B4">
        <w:rPr>
          <w:rFonts w:ascii="Times New Roman" w:hAnsi="Times New Roman" w:cs="Times New Roman"/>
          <w:bCs/>
        </w:rPr>
        <w:t>Zij</w:t>
      </w:r>
      <w:r w:rsidRPr="000E0F6B">
        <w:rPr>
          <w:rFonts w:ascii="Times New Roman" w:hAnsi="Times New Roman" w:cs="Times New Roman"/>
          <w:bCs/>
        </w:rPr>
        <w:t xml:space="preserve"> vragen wat </w:t>
      </w:r>
      <w:r w:rsidRPr="000E0F6B" w:rsidR="009D0388">
        <w:rPr>
          <w:rFonts w:ascii="Times New Roman" w:hAnsi="Times New Roman" w:cs="Times New Roman"/>
          <w:bCs/>
        </w:rPr>
        <w:t>ervoor</w:t>
      </w:r>
      <w:r w:rsidRPr="000E0F6B">
        <w:rPr>
          <w:rFonts w:ascii="Times New Roman" w:hAnsi="Times New Roman" w:cs="Times New Roman"/>
          <w:bCs/>
        </w:rPr>
        <w:t xml:space="preserve"> nodig is dat meer leerlingen dit streefniveau gaan halen</w:t>
      </w:r>
      <w:r w:rsidRPr="000E0F6B" w:rsidR="000B14B4">
        <w:rPr>
          <w:rFonts w:ascii="Times New Roman" w:hAnsi="Times New Roman" w:cs="Times New Roman"/>
          <w:bCs/>
        </w:rPr>
        <w:t>.</w:t>
      </w:r>
    </w:p>
    <w:p w:rsidRPr="000E0F6B" w:rsidR="000B14B4" w:rsidP="000E0F6B" w:rsidRDefault="000B14B4" w14:paraId="20FF4F07" w14:textId="77777777">
      <w:pPr>
        <w:pStyle w:val="Default"/>
        <w:rPr>
          <w:rFonts w:ascii="Times New Roman" w:hAnsi="Times New Roman" w:cs="Times New Roman"/>
          <w:bCs/>
        </w:rPr>
      </w:pPr>
    </w:p>
    <w:p w:rsidRPr="000E0F6B" w:rsidR="00D3528A" w:rsidP="000E0F6B" w:rsidRDefault="00D3528A" w14:paraId="052871A1" w14:textId="4D04B4B0">
      <w:pPr>
        <w:pStyle w:val="Default"/>
        <w:rPr>
          <w:rFonts w:ascii="Times New Roman" w:hAnsi="Times New Roman" w:cs="Times New Roman"/>
          <w:bCs/>
        </w:rPr>
      </w:pPr>
      <w:r w:rsidRPr="000E0F6B">
        <w:rPr>
          <w:rFonts w:ascii="Times New Roman" w:hAnsi="Times New Roman" w:cs="Times New Roman"/>
          <w:bCs/>
        </w:rPr>
        <w:t xml:space="preserve">De leden van de </w:t>
      </w:r>
      <w:r w:rsidRPr="000E0F6B" w:rsidR="000B14B4">
        <w:rPr>
          <w:rFonts w:ascii="Times New Roman" w:hAnsi="Times New Roman" w:cs="Times New Roman"/>
          <w:bCs/>
        </w:rPr>
        <w:t>VVD-</w:t>
      </w:r>
      <w:r w:rsidRPr="000E0F6B">
        <w:rPr>
          <w:rFonts w:ascii="Times New Roman" w:hAnsi="Times New Roman" w:cs="Times New Roman"/>
          <w:bCs/>
        </w:rPr>
        <w:t xml:space="preserve">fractie maken zich ook zorgen om de taalvaardigheid van leerlingen die het </w:t>
      </w:r>
      <w:r w:rsidRPr="000E0F6B" w:rsidR="000B14B4">
        <w:rPr>
          <w:rFonts w:ascii="Times New Roman" w:hAnsi="Times New Roman" w:cs="Times New Roman"/>
          <w:bCs/>
        </w:rPr>
        <w:t xml:space="preserve">basisonderwijs en het special basisonderwijs verlaten </w:t>
      </w:r>
      <w:r w:rsidRPr="000E0F6B">
        <w:rPr>
          <w:rFonts w:ascii="Times New Roman" w:hAnsi="Times New Roman" w:cs="Times New Roman"/>
          <w:bCs/>
        </w:rPr>
        <w:t>met een leesvaardigheidsniveau onder 1F. De</w:t>
      </w:r>
      <w:r w:rsidRPr="000E0F6B" w:rsidR="000B14B4">
        <w:rPr>
          <w:rFonts w:ascii="Times New Roman" w:hAnsi="Times New Roman" w:cs="Times New Roman"/>
          <w:bCs/>
        </w:rPr>
        <w:t>ze</w:t>
      </w:r>
      <w:r w:rsidRPr="000E0F6B">
        <w:rPr>
          <w:rFonts w:ascii="Times New Roman" w:hAnsi="Times New Roman" w:cs="Times New Roman"/>
          <w:bCs/>
        </w:rPr>
        <w:t xml:space="preserve"> leden lezen de aanbeveling aan besturen, scholen en opleidingen in het vmbo-b</w:t>
      </w:r>
      <w:r w:rsidRPr="000E0F6B" w:rsidR="000B14B4">
        <w:rPr>
          <w:rFonts w:ascii="Times New Roman" w:hAnsi="Times New Roman" w:cs="Times New Roman"/>
          <w:bCs/>
        </w:rPr>
        <w:t>asis</w:t>
      </w:r>
      <w:r w:rsidRPr="000E0F6B">
        <w:rPr>
          <w:rFonts w:ascii="Times New Roman" w:hAnsi="Times New Roman" w:cs="Times New Roman"/>
          <w:bCs/>
        </w:rPr>
        <w:t>/k</w:t>
      </w:r>
      <w:r w:rsidRPr="000E0F6B" w:rsidR="000B14B4">
        <w:rPr>
          <w:rFonts w:ascii="Times New Roman" w:hAnsi="Times New Roman" w:cs="Times New Roman"/>
          <w:bCs/>
        </w:rPr>
        <w:t>ader</w:t>
      </w:r>
      <w:r w:rsidRPr="000E0F6B">
        <w:rPr>
          <w:rFonts w:ascii="Times New Roman" w:hAnsi="Times New Roman" w:cs="Times New Roman"/>
          <w:bCs/>
        </w:rPr>
        <w:t xml:space="preserve"> en </w:t>
      </w:r>
      <w:r w:rsidRPr="000E0F6B" w:rsidR="009D0388">
        <w:rPr>
          <w:rFonts w:ascii="Times New Roman" w:hAnsi="Times New Roman" w:cs="Times New Roman"/>
          <w:bCs/>
        </w:rPr>
        <w:t>mbo-niveau</w:t>
      </w:r>
      <w:r w:rsidRPr="000E0F6B">
        <w:rPr>
          <w:rFonts w:ascii="Times New Roman" w:hAnsi="Times New Roman" w:cs="Times New Roman"/>
          <w:bCs/>
        </w:rPr>
        <w:t xml:space="preserve"> 2 </w:t>
      </w:r>
      <w:r w:rsidRPr="000E0F6B" w:rsidR="000B14B4">
        <w:rPr>
          <w:rFonts w:ascii="Times New Roman" w:hAnsi="Times New Roman" w:cs="Times New Roman"/>
          <w:bCs/>
        </w:rPr>
        <w:t xml:space="preserve">om </w:t>
      </w:r>
      <w:r w:rsidRPr="000E0F6B">
        <w:rPr>
          <w:rFonts w:ascii="Times New Roman" w:hAnsi="Times New Roman" w:cs="Times New Roman"/>
          <w:bCs/>
        </w:rPr>
        <w:t xml:space="preserve">alles op alles te zetten om te voorkomen dat leerlingen en studenten laaggeletterd de school verlaten. </w:t>
      </w:r>
      <w:r w:rsidRPr="000E0F6B" w:rsidR="00CA2AE4">
        <w:rPr>
          <w:rFonts w:ascii="Times New Roman" w:hAnsi="Times New Roman" w:cs="Times New Roman"/>
          <w:bCs/>
        </w:rPr>
        <w:t>De leden</w:t>
      </w:r>
      <w:r w:rsidRPr="000E0F6B" w:rsidR="000B14B4">
        <w:rPr>
          <w:rFonts w:ascii="Times New Roman" w:hAnsi="Times New Roman" w:cs="Times New Roman"/>
          <w:bCs/>
        </w:rPr>
        <w:t xml:space="preserve"> v</w:t>
      </w:r>
      <w:r w:rsidRPr="000E0F6B">
        <w:rPr>
          <w:rFonts w:ascii="Times New Roman" w:hAnsi="Times New Roman" w:cs="Times New Roman"/>
          <w:bCs/>
        </w:rPr>
        <w:t xml:space="preserve">ragen wat er met </w:t>
      </w:r>
      <w:r w:rsidRPr="000E0F6B" w:rsidR="000B14B4">
        <w:rPr>
          <w:rFonts w:ascii="Times New Roman" w:hAnsi="Times New Roman" w:cs="Times New Roman"/>
          <w:bCs/>
        </w:rPr>
        <w:t>“</w:t>
      </w:r>
      <w:r w:rsidRPr="000E0F6B">
        <w:rPr>
          <w:rFonts w:ascii="Times New Roman" w:hAnsi="Times New Roman" w:cs="Times New Roman"/>
          <w:bCs/>
        </w:rPr>
        <w:t>alles op alles</w:t>
      </w:r>
      <w:r w:rsidRPr="000E0F6B" w:rsidR="000B14B4">
        <w:rPr>
          <w:rFonts w:ascii="Times New Roman" w:hAnsi="Times New Roman" w:cs="Times New Roman"/>
          <w:bCs/>
        </w:rPr>
        <w:t xml:space="preserve"> zetten”</w:t>
      </w:r>
      <w:r w:rsidRPr="000E0F6B">
        <w:rPr>
          <w:rFonts w:ascii="Times New Roman" w:hAnsi="Times New Roman" w:cs="Times New Roman"/>
          <w:bCs/>
        </w:rPr>
        <w:t xml:space="preserve"> wordt bedoeld</w:t>
      </w:r>
      <w:r w:rsidRPr="000E0F6B" w:rsidR="000B14B4">
        <w:rPr>
          <w:rFonts w:ascii="Times New Roman" w:hAnsi="Times New Roman" w:cs="Times New Roman"/>
          <w:bCs/>
        </w:rPr>
        <w:t>.</w:t>
      </w:r>
      <w:r w:rsidRPr="000E0F6B">
        <w:rPr>
          <w:rFonts w:ascii="Times New Roman" w:hAnsi="Times New Roman" w:cs="Times New Roman"/>
          <w:bCs/>
        </w:rPr>
        <w:t xml:space="preserve"> </w:t>
      </w:r>
      <w:r w:rsidRPr="000E0F6B" w:rsidR="000B14B4">
        <w:rPr>
          <w:rFonts w:ascii="Times New Roman" w:hAnsi="Times New Roman" w:cs="Times New Roman"/>
          <w:bCs/>
        </w:rPr>
        <w:t xml:space="preserve">Zij </w:t>
      </w:r>
      <w:r w:rsidRPr="000E0F6B">
        <w:rPr>
          <w:rFonts w:ascii="Times New Roman" w:hAnsi="Times New Roman" w:cs="Times New Roman"/>
          <w:bCs/>
        </w:rPr>
        <w:t xml:space="preserve">vragen </w:t>
      </w:r>
      <w:r w:rsidRPr="000E0F6B" w:rsidR="000B14B4">
        <w:rPr>
          <w:rFonts w:ascii="Times New Roman" w:hAnsi="Times New Roman" w:cs="Times New Roman"/>
          <w:bCs/>
        </w:rPr>
        <w:t>o</w:t>
      </w:r>
      <w:r w:rsidRPr="000E0F6B">
        <w:rPr>
          <w:rFonts w:ascii="Times New Roman" w:hAnsi="Times New Roman" w:cs="Times New Roman"/>
          <w:bCs/>
        </w:rPr>
        <w:t>ok of dat niet een veel concrete aanbeveling kan krijgen gezien het feit er steeds meer mensen laaggeletterd zijn</w:t>
      </w:r>
      <w:r w:rsidRPr="000E0F6B" w:rsidR="000B14B4">
        <w:rPr>
          <w:rFonts w:ascii="Times New Roman" w:hAnsi="Times New Roman" w:cs="Times New Roman"/>
          <w:bCs/>
        </w:rPr>
        <w:t>.</w:t>
      </w:r>
    </w:p>
    <w:p w:rsidRPr="000E0F6B" w:rsidR="000B14B4" w:rsidP="000E0F6B" w:rsidRDefault="000B14B4" w14:paraId="5D23F52C" w14:textId="77777777">
      <w:pPr>
        <w:pStyle w:val="Default"/>
        <w:rPr>
          <w:rFonts w:ascii="Times New Roman" w:hAnsi="Times New Roman" w:cs="Times New Roman"/>
          <w:bCs/>
        </w:rPr>
      </w:pPr>
    </w:p>
    <w:p w:rsidRPr="000E0F6B" w:rsidR="00D3528A" w:rsidP="000E0F6B" w:rsidRDefault="00D3528A" w14:paraId="7B9BD220" w14:textId="3CABC137">
      <w:pPr>
        <w:pStyle w:val="Default"/>
        <w:rPr>
          <w:rFonts w:ascii="Times New Roman" w:hAnsi="Times New Roman" w:cs="Times New Roman"/>
          <w:bCs/>
        </w:rPr>
      </w:pPr>
      <w:r w:rsidRPr="000E0F6B">
        <w:rPr>
          <w:rFonts w:ascii="Times New Roman" w:hAnsi="Times New Roman" w:cs="Times New Roman"/>
          <w:bCs/>
        </w:rPr>
        <w:t xml:space="preserve">De leden van de </w:t>
      </w:r>
      <w:r w:rsidRPr="000E0F6B" w:rsidR="000B14B4">
        <w:rPr>
          <w:rFonts w:ascii="Times New Roman" w:hAnsi="Times New Roman" w:cs="Times New Roman"/>
          <w:bCs/>
        </w:rPr>
        <w:t>VVD-</w:t>
      </w:r>
      <w:r w:rsidRPr="000E0F6B">
        <w:rPr>
          <w:rFonts w:ascii="Times New Roman" w:hAnsi="Times New Roman" w:cs="Times New Roman"/>
          <w:bCs/>
        </w:rPr>
        <w:t xml:space="preserve">fractie lezen over </w:t>
      </w:r>
      <w:r w:rsidRPr="000E0F6B" w:rsidR="000B14B4">
        <w:rPr>
          <w:rFonts w:ascii="Times New Roman" w:hAnsi="Times New Roman" w:cs="Times New Roman"/>
          <w:bCs/>
        </w:rPr>
        <w:t>vve</w:t>
      </w:r>
      <w:r w:rsidRPr="000E0F6B" w:rsidR="000B14B4">
        <w:rPr>
          <w:rStyle w:val="Voetnootmarkering"/>
          <w:rFonts w:ascii="Times New Roman" w:hAnsi="Times New Roman" w:cs="Times New Roman"/>
          <w:bCs/>
        </w:rPr>
        <w:footnoteReference w:id="38"/>
      </w:r>
      <w:r w:rsidRPr="000E0F6B">
        <w:rPr>
          <w:rFonts w:ascii="Times New Roman" w:hAnsi="Times New Roman" w:cs="Times New Roman"/>
          <w:bCs/>
        </w:rPr>
        <w:t xml:space="preserve">. De leden vinden </w:t>
      </w:r>
      <w:r w:rsidRPr="000E0F6B" w:rsidR="002532C8">
        <w:rPr>
          <w:rFonts w:ascii="Times New Roman" w:hAnsi="Times New Roman" w:cs="Times New Roman"/>
          <w:bCs/>
        </w:rPr>
        <w:t>vve</w:t>
      </w:r>
      <w:r w:rsidRPr="000E0F6B">
        <w:rPr>
          <w:rFonts w:ascii="Times New Roman" w:hAnsi="Times New Roman" w:cs="Times New Roman"/>
          <w:bCs/>
        </w:rPr>
        <w:t xml:space="preserve"> zeer belangrijk in de ontwikkeling van het kind. De</w:t>
      </w:r>
      <w:r w:rsidRPr="000E0F6B" w:rsidR="002532C8">
        <w:rPr>
          <w:rFonts w:ascii="Times New Roman" w:hAnsi="Times New Roman" w:cs="Times New Roman"/>
          <w:bCs/>
        </w:rPr>
        <w:t>ze</w:t>
      </w:r>
      <w:r w:rsidRPr="000E0F6B">
        <w:rPr>
          <w:rFonts w:ascii="Times New Roman" w:hAnsi="Times New Roman" w:cs="Times New Roman"/>
          <w:bCs/>
        </w:rPr>
        <w:t xml:space="preserve"> leden ontvangen echter signalen dat er kinderopvang</w:t>
      </w:r>
      <w:r w:rsidRPr="000E0F6B" w:rsidR="00CA2AE4">
        <w:rPr>
          <w:rFonts w:ascii="Times New Roman" w:hAnsi="Times New Roman" w:cs="Times New Roman"/>
          <w:bCs/>
        </w:rPr>
        <w:t>organisaties</w:t>
      </w:r>
      <w:r w:rsidRPr="000E0F6B">
        <w:rPr>
          <w:rFonts w:ascii="Times New Roman" w:hAnsi="Times New Roman" w:cs="Times New Roman"/>
          <w:bCs/>
        </w:rPr>
        <w:t xml:space="preserve"> in Nederland zijn die bewust kinderen die geen recht hebben op </w:t>
      </w:r>
      <w:r w:rsidRPr="000E0F6B" w:rsidR="002532C8">
        <w:rPr>
          <w:rFonts w:ascii="Times New Roman" w:hAnsi="Times New Roman" w:cs="Times New Roman"/>
          <w:bCs/>
        </w:rPr>
        <w:t>vve</w:t>
      </w:r>
      <w:r w:rsidRPr="000E0F6B">
        <w:rPr>
          <w:rFonts w:ascii="Times New Roman" w:hAnsi="Times New Roman" w:cs="Times New Roman"/>
          <w:bCs/>
        </w:rPr>
        <w:t xml:space="preserve"> gescheiden houden van kinderen die dit wil hebben. </w:t>
      </w:r>
      <w:r w:rsidRPr="000E0F6B" w:rsidR="002532C8">
        <w:rPr>
          <w:rFonts w:ascii="Times New Roman" w:hAnsi="Times New Roman" w:cs="Times New Roman"/>
          <w:bCs/>
        </w:rPr>
        <w:t xml:space="preserve">Deze leden </w:t>
      </w:r>
      <w:r w:rsidRPr="000E0F6B">
        <w:rPr>
          <w:rFonts w:ascii="Times New Roman" w:hAnsi="Times New Roman" w:cs="Times New Roman"/>
          <w:bCs/>
        </w:rPr>
        <w:t xml:space="preserve">vinden dit ongewenst juist omdat beide groepen zich aan elkaar kunnen optrekken en van elkaar kunnen leren. </w:t>
      </w:r>
      <w:r w:rsidRPr="000E0F6B" w:rsidR="002532C8">
        <w:rPr>
          <w:rFonts w:ascii="Times New Roman" w:hAnsi="Times New Roman" w:cs="Times New Roman"/>
          <w:bCs/>
        </w:rPr>
        <w:t>Zij</w:t>
      </w:r>
      <w:r w:rsidRPr="000E0F6B">
        <w:rPr>
          <w:rFonts w:ascii="Times New Roman" w:hAnsi="Times New Roman" w:cs="Times New Roman"/>
          <w:bCs/>
        </w:rPr>
        <w:t xml:space="preserve"> vragen of deze signalen bekend zijn en zo ja</w:t>
      </w:r>
      <w:r w:rsidRPr="000E0F6B" w:rsidR="002532C8">
        <w:rPr>
          <w:rFonts w:ascii="Times New Roman" w:hAnsi="Times New Roman" w:cs="Times New Roman"/>
          <w:bCs/>
        </w:rPr>
        <w:t>,</w:t>
      </w:r>
      <w:r w:rsidRPr="000E0F6B">
        <w:rPr>
          <w:rFonts w:ascii="Times New Roman" w:hAnsi="Times New Roman" w:cs="Times New Roman"/>
          <w:bCs/>
        </w:rPr>
        <w:t xml:space="preserve"> hoe hiermee wordt omgegaan</w:t>
      </w:r>
      <w:r w:rsidRPr="000E0F6B" w:rsidR="002532C8">
        <w:rPr>
          <w:rFonts w:ascii="Times New Roman" w:hAnsi="Times New Roman" w:cs="Times New Roman"/>
          <w:bCs/>
        </w:rPr>
        <w:t>.</w:t>
      </w:r>
    </w:p>
    <w:p w:rsidRPr="000E0F6B" w:rsidR="002532C8" w:rsidP="000E0F6B" w:rsidRDefault="002532C8" w14:paraId="7DAA2589" w14:textId="77777777">
      <w:pPr>
        <w:pStyle w:val="Default"/>
        <w:rPr>
          <w:rFonts w:ascii="Times New Roman" w:hAnsi="Times New Roman" w:cs="Times New Roman"/>
          <w:bCs/>
        </w:rPr>
      </w:pPr>
    </w:p>
    <w:p w:rsidRPr="000E0F6B" w:rsidR="00D3528A" w:rsidP="000E0F6B" w:rsidRDefault="00D3528A" w14:paraId="23D90F03" w14:textId="41D22C2B">
      <w:pPr>
        <w:pStyle w:val="Default"/>
        <w:rPr>
          <w:rFonts w:ascii="Times New Roman" w:hAnsi="Times New Roman" w:cs="Times New Roman"/>
          <w:bCs/>
        </w:rPr>
      </w:pPr>
      <w:r w:rsidRPr="000E0F6B">
        <w:rPr>
          <w:rFonts w:ascii="Times New Roman" w:hAnsi="Times New Roman" w:cs="Times New Roman"/>
          <w:bCs/>
        </w:rPr>
        <w:t xml:space="preserve">De leden van de </w:t>
      </w:r>
      <w:r w:rsidRPr="000E0F6B" w:rsidR="002532C8">
        <w:rPr>
          <w:rFonts w:ascii="Times New Roman" w:hAnsi="Times New Roman" w:cs="Times New Roman"/>
          <w:bCs/>
        </w:rPr>
        <w:t>VVD-</w:t>
      </w:r>
      <w:r w:rsidRPr="000E0F6B">
        <w:rPr>
          <w:rFonts w:ascii="Times New Roman" w:hAnsi="Times New Roman" w:cs="Times New Roman"/>
          <w:bCs/>
        </w:rPr>
        <w:t>fractie</w:t>
      </w:r>
      <w:r w:rsidRPr="000E0F6B" w:rsidR="002532C8">
        <w:rPr>
          <w:rFonts w:ascii="Times New Roman" w:hAnsi="Times New Roman" w:cs="Times New Roman"/>
          <w:bCs/>
        </w:rPr>
        <w:t xml:space="preserve"> </w:t>
      </w:r>
      <w:r w:rsidRPr="000E0F6B">
        <w:rPr>
          <w:rFonts w:ascii="Times New Roman" w:hAnsi="Times New Roman" w:cs="Times New Roman"/>
          <w:bCs/>
        </w:rPr>
        <w:t>lezen dat de groep</w:t>
      </w:r>
      <w:r w:rsidRPr="000E0F6B" w:rsidR="00CA2AE4">
        <w:rPr>
          <w:rFonts w:ascii="Times New Roman" w:hAnsi="Times New Roman" w:cs="Times New Roman"/>
          <w:bCs/>
        </w:rPr>
        <w:t xml:space="preserve"> afgestudeerde</w:t>
      </w:r>
      <w:r w:rsidRPr="000E0F6B">
        <w:rPr>
          <w:rFonts w:ascii="Times New Roman" w:hAnsi="Times New Roman" w:cs="Times New Roman"/>
          <w:bCs/>
        </w:rPr>
        <w:t xml:space="preserve"> leraren afkomstig van de pabo minder tevreden zijn over de pedagogische-didactische vaardigheden en differentiatievaardigheden die zij tijdens de opleiding hebben geleerd. De</w:t>
      </w:r>
      <w:r w:rsidRPr="000E0F6B" w:rsidR="002532C8">
        <w:rPr>
          <w:rFonts w:ascii="Times New Roman" w:hAnsi="Times New Roman" w:cs="Times New Roman"/>
          <w:bCs/>
        </w:rPr>
        <w:t>ze</w:t>
      </w:r>
      <w:r w:rsidRPr="000E0F6B">
        <w:rPr>
          <w:rFonts w:ascii="Times New Roman" w:hAnsi="Times New Roman" w:cs="Times New Roman"/>
          <w:bCs/>
        </w:rPr>
        <w:t xml:space="preserve"> leden zien dat leraar zijn een vak is waarbij een goede opleiding cruciaal is. </w:t>
      </w:r>
      <w:r w:rsidRPr="000E0F6B" w:rsidR="002532C8">
        <w:rPr>
          <w:rFonts w:ascii="Times New Roman" w:hAnsi="Times New Roman" w:cs="Times New Roman"/>
          <w:bCs/>
        </w:rPr>
        <w:t xml:space="preserve">Zij </w:t>
      </w:r>
      <w:r w:rsidRPr="000E0F6B">
        <w:rPr>
          <w:rFonts w:ascii="Times New Roman" w:hAnsi="Times New Roman" w:cs="Times New Roman"/>
          <w:bCs/>
        </w:rPr>
        <w:t xml:space="preserve">vragen dan ook hoe het komt dat er grote verschillen zijn over de tevredenheid van de gevolgde </w:t>
      </w:r>
      <w:r w:rsidRPr="000E0F6B" w:rsidR="009D0388">
        <w:rPr>
          <w:rFonts w:ascii="Times New Roman" w:hAnsi="Times New Roman" w:cs="Times New Roman"/>
          <w:bCs/>
        </w:rPr>
        <w:t>pabo-opleiding</w:t>
      </w:r>
      <w:r w:rsidRPr="000E0F6B">
        <w:rPr>
          <w:rFonts w:ascii="Times New Roman" w:hAnsi="Times New Roman" w:cs="Times New Roman"/>
          <w:bCs/>
        </w:rPr>
        <w:t xml:space="preserve"> onder diverse hogescholen</w:t>
      </w:r>
      <w:r w:rsidRPr="000E0F6B" w:rsidR="002532C8">
        <w:rPr>
          <w:rFonts w:ascii="Times New Roman" w:hAnsi="Times New Roman" w:cs="Times New Roman"/>
          <w:bCs/>
        </w:rPr>
        <w:t>.</w:t>
      </w:r>
      <w:r w:rsidRPr="000E0F6B">
        <w:rPr>
          <w:rFonts w:ascii="Times New Roman" w:hAnsi="Times New Roman" w:cs="Times New Roman"/>
          <w:bCs/>
        </w:rPr>
        <w:t xml:space="preserve"> </w:t>
      </w:r>
      <w:r w:rsidRPr="000E0F6B" w:rsidR="00CA2AE4">
        <w:rPr>
          <w:rFonts w:ascii="Times New Roman" w:hAnsi="Times New Roman" w:cs="Times New Roman"/>
          <w:bCs/>
        </w:rPr>
        <w:t>De leden van de VVD-fractie</w:t>
      </w:r>
      <w:r w:rsidRPr="000E0F6B">
        <w:rPr>
          <w:rFonts w:ascii="Times New Roman" w:hAnsi="Times New Roman" w:cs="Times New Roman"/>
          <w:bCs/>
        </w:rPr>
        <w:t xml:space="preserve"> vragen </w:t>
      </w:r>
      <w:r w:rsidRPr="000E0F6B" w:rsidR="002532C8">
        <w:rPr>
          <w:rFonts w:ascii="Times New Roman" w:hAnsi="Times New Roman" w:cs="Times New Roman"/>
          <w:bCs/>
        </w:rPr>
        <w:t>o</w:t>
      </w:r>
      <w:r w:rsidRPr="000E0F6B">
        <w:rPr>
          <w:rFonts w:ascii="Times New Roman" w:hAnsi="Times New Roman" w:cs="Times New Roman"/>
          <w:bCs/>
        </w:rPr>
        <w:t xml:space="preserve">ok welke invloed leraren hebben op het aanbod van onderwijs op de </w:t>
      </w:r>
      <w:r w:rsidRPr="000E0F6B" w:rsidR="002532C8">
        <w:rPr>
          <w:rFonts w:ascii="Times New Roman" w:hAnsi="Times New Roman" w:cs="Times New Roman"/>
          <w:bCs/>
        </w:rPr>
        <w:t>p</w:t>
      </w:r>
      <w:r w:rsidRPr="000E0F6B">
        <w:rPr>
          <w:rFonts w:ascii="Times New Roman" w:hAnsi="Times New Roman" w:cs="Times New Roman"/>
          <w:bCs/>
        </w:rPr>
        <w:t>abo</w:t>
      </w:r>
      <w:r w:rsidRPr="000E0F6B" w:rsidR="002532C8">
        <w:rPr>
          <w:rFonts w:ascii="Times New Roman" w:hAnsi="Times New Roman" w:cs="Times New Roman"/>
          <w:bCs/>
        </w:rPr>
        <w:t xml:space="preserve">. </w:t>
      </w:r>
      <w:r w:rsidRPr="000E0F6B">
        <w:rPr>
          <w:rFonts w:ascii="Times New Roman" w:hAnsi="Times New Roman" w:cs="Times New Roman"/>
          <w:bCs/>
        </w:rPr>
        <w:t xml:space="preserve">Ook lezen </w:t>
      </w:r>
      <w:r w:rsidRPr="000E0F6B" w:rsidR="00CA2AE4">
        <w:rPr>
          <w:rFonts w:ascii="Times New Roman" w:hAnsi="Times New Roman" w:cs="Times New Roman"/>
          <w:bCs/>
        </w:rPr>
        <w:t>deze leden</w:t>
      </w:r>
      <w:r w:rsidRPr="000E0F6B" w:rsidR="002532C8">
        <w:rPr>
          <w:rFonts w:ascii="Times New Roman" w:hAnsi="Times New Roman" w:cs="Times New Roman"/>
          <w:bCs/>
        </w:rPr>
        <w:t xml:space="preserve"> </w:t>
      </w:r>
      <w:r w:rsidRPr="000E0F6B">
        <w:rPr>
          <w:rFonts w:ascii="Times New Roman" w:hAnsi="Times New Roman" w:cs="Times New Roman"/>
          <w:bCs/>
        </w:rPr>
        <w:t>dat de mate waarin opgeleide leraren van de tweedegraadsopleiding zich voldoende voorbereid voelen</w:t>
      </w:r>
      <w:r w:rsidRPr="000E0F6B" w:rsidR="002532C8">
        <w:rPr>
          <w:rFonts w:ascii="Times New Roman" w:hAnsi="Times New Roman" w:cs="Times New Roman"/>
          <w:bCs/>
        </w:rPr>
        <w:t>,</w:t>
      </w:r>
      <w:r w:rsidRPr="000E0F6B">
        <w:rPr>
          <w:rFonts w:ascii="Times New Roman" w:hAnsi="Times New Roman" w:cs="Times New Roman"/>
          <w:bCs/>
        </w:rPr>
        <w:t xml:space="preserve"> varieert. Zij vragen hoe het komt dat het onderwijsniveau van de klas waarin de docent in opleiding </w:t>
      </w:r>
      <w:r w:rsidRPr="000E0F6B" w:rsidR="002532C8">
        <w:rPr>
          <w:rFonts w:ascii="Times New Roman" w:hAnsi="Times New Roman" w:cs="Times New Roman"/>
          <w:bCs/>
        </w:rPr>
        <w:t>diens</w:t>
      </w:r>
      <w:r w:rsidRPr="000E0F6B">
        <w:rPr>
          <w:rFonts w:ascii="Times New Roman" w:hAnsi="Times New Roman" w:cs="Times New Roman"/>
          <w:bCs/>
        </w:rPr>
        <w:t xml:space="preserve"> eindstage loopt een grote invloed heeft op dit gevoel</w:t>
      </w:r>
      <w:r w:rsidRPr="000E0F6B" w:rsidR="002532C8">
        <w:rPr>
          <w:rFonts w:ascii="Times New Roman" w:hAnsi="Times New Roman" w:cs="Times New Roman"/>
          <w:bCs/>
        </w:rPr>
        <w:t>.</w:t>
      </w:r>
      <w:r w:rsidRPr="000E0F6B">
        <w:rPr>
          <w:rFonts w:ascii="Times New Roman" w:hAnsi="Times New Roman" w:cs="Times New Roman"/>
          <w:bCs/>
        </w:rPr>
        <w:t xml:space="preserve"> Hoe kan ervoor worden gezorgd dat het niveau geen grote invloed heeft op dit gevoel?</w:t>
      </w:r>
    </w:p>
    <w:p w:rsidRPr="000E0F6B" w:rsidR="002532C8" w:rsidP="000E0F6B" w:rsidRDefault="002532C8" w14:paraId="4148F2F0" w14:textId="77777777">
      <w:pPr>
        <w:pStyle w:val="Default"/>
        <w:rPr>
          <w:rFonts w:ascii="Times New Roman" w:hAnsi="Times New Roman" w:cs="Times New Roman"/>
          <w:bCs/>
        </w:rPr>
      </w:pPr>
    </w:p>
    <w:p w:rsidRPr="000E0F6B" w:rsidR="00D3528A" w:rsidP="000E0F6B" w:rsidRDefault="00D3528A" w14:paraId="108FC21F" w14:textId="4CF8201C">
      <w:pPr>
        <w:pStyle w:val="Default"/>
        <w:rPr>
          <w:rFonts w:ascii="Times New Roman" w:hAnsi="Times New Roman" w:cs="Times New Roman"/>
          <w:bCs/>
        </w:rPr>
      </w:pPr>
      <w:r w:rsidRPr="000E0F6B">
        <w:rPr>
          <w:rFonts w:ascii="Times New Roman" w:hAnsi="Times New Roman" w:cs="Times New Roman"/>
          <w:bCs/>
        </w:rPr>
        <w:t>De leden van de VVD</w:t>
      </w:r>
      <w:r w:rsidRPr="000E0F6B" w:rsidR="002532C8">
        <w:rPr>
          <w:rFonts w:ascii="Times New Roman" w:hAnsi="Times New Roman" w:cs="Times New Roman"/>
          <w:bCs/>
        </w:rPr>
        <w:t>-</w:t>
      </w:r>
      <w:r w:rsidRPr="000E0F6B">
        <w:rPr>
          <w:rFonts w:ascii="Times New Roman" w:hAnsi="Times New Roman" w:cs="Times New Roman"/>
          <w:bCs/>
        </w:rPr>
        <w:t>fractie lezen dat starters hoge werkdruk ervaren deels door de hoeveelheid administratieve en andere niet-</w:t>
      </w:r>
      <w:proofErr w:type="spellStart"/>
      <w:r w:rsidRPr="000E0F6B">
        <w:rPr>
          <w:rFonts w:ascii="Times New Roman" w:hAnsi="Times New Roman" w:cs="Times New Roman"/>
          <w:bCs/>
        </w:rPr>
        <w:t>lesgebonden</w:t>
      </w:r>
      <w:proofErr w:type="spellEnd"/>
      <w:r w:rsidRPr="000E0F6B">
        <w:rPr>
          <w:rFonts w:ascii="Times New Roman" w:hAnsi="Times New Roman" w:cs="Times New Roman"/>
          <w:bCs/>
        </w:rPr>
        <w:t xml:space="preserve"> taken. De</w:t>
      </w:r>
      <w:r w:rsidRPr="000E0F6B" w:rsidR="002532C8">
        <w:rPr>
          <w:rFonts w:ascii="Times New Roman" w:hAnsi="Times New Roman" w:cs="Times New Roman"/>
          <w:bCs/>
        </w:rPr>
        <w:t xml:space="preserve">ze leden </w:t>
      </w:r>
      <w:r w:rsidRPr="000E0F6B">
        <w:rPr>
          <w:rFonts w:ascii="Times New Roman" w:hAnsi="Times New Roman" w:cs="Times New Roman"/>
          <w:bCs/>
        </w:rPr>
        <w:t>lezen op meerdere plekken over werkdruk</w:t>
      </w:r>
      <w:r w:rsidRPr="000E0F6B" w:rsidR="002532C8">
        <w:rPr>
          <w:rFonts w:ascii="Times New Roman" w:hAnsi="Times New Roman" w:cs="Times New Roman"/>
          <w:bCs/>
        </w:rPr>
        <w:t>,</w:t>
      </w:r>
      <w:r w:rsidRPr="000E0F6B">
        <w:rPr>
          <w:rFonts w:ascii="Times New Roman" w:hAnsi="Times New Roman" w:cs="Times New Roman"/>
          <w:bCs/>
        </w:rPr>
        <w:t xml:space="preserve"> maar lezen nergens over regeldruk. </w:t>
      </w:r>
      <w:r w:rsidRPr="000E0F6B" w:rsidR="002532C8">
        <w:rPr>
          <w:rFonts w:ascii="Times New Roman" w:hAnsi="Times New Roman" w:cs="Times New Roman"/>
          <w:bCs/>
        </w:rPr>
        <w:t xml:space="preserve">Zij </w:t>
      </w:r>
      <w:r w:rsidRPr="000E0F6B">
        <w:rPr>
          <w:rFonts w:ascii="Times New Roman" w:hAnsi="Times New Roman" w:cs="Times New Roman"/>
          <w:bCs/>
        </w:rPr>
        <w:t>vragen of er zicht is op regeldruk opgelegd door scholen zelf en of er onderzoek wordt gedaan naar onnodige regeldruk door scholen zelf opgelegd of door de politiek</w:t>
      </w:r>
      <w:r w:rsidRPr="000E0F6B" w:rsidR="004857C1">
        <w:rPr>
          <w:rFonts w:ascii="Times New Roman" w:hAnsi="Times New Roman" w:cs="Times New Roman"/>
          <w:bCs/>
        </w:rPr>
        <w:t xml:space="preserve"> opgelegd.</w:t>
      </w:r>
    </w:p>
    <w:p w:rsidRPr="000E0F6B" w:rsidR="0072368E" w:rsidP="000E0F6B" w:rsidRDefault="0072368E" w14:paraId="26EBB012" w14:textId="77777777">
      <w:pPr>
        <w:pStyle w:val="Default"/>
        <w:rPr>
          <w:rFonts w:ascii="Times New Roman" w:hAnsi="Times New Roman" w:cs="Times New Roman"/>
          <w:b/>
        </w:rPr>
      </w:pPr>
    </w:p>
    <w:p w:rsidRPr="000E0F6B" w:rsidR="00D32557" w:rsidP="000E0F6B" w:rsidRDefault="00D32557" w14:paraId="456C1E71" w14:textId="3411B8CF">
      <w:pPr>
        <w:pStyle w:val="Default"/>
        <w:rPr>
          <w:rFonts w:ascii="Times New Roman" w:hAnsi="Times New Roman" w:cs="Times New Roman"/>
          <w:b/>
          <w:color w:val="000000" w:themeColor="text1"/>
        </w:rPr>
      </w:pPr>
      <w:r w:rsidRPr="000E0F6B">
        <w:rPr>
          <w:rFonts w:ascii="Times New Roman" w:hAnsi="Times New Roman" w:cs="Times New Roman"/>
          <w:b/>
          <w:color w:val="000000" w:themeColor="text1"/>
        </w:rPr>
        <w:t>Inbreng van de leden van de NSC-fractie</w:t>
      </w:r>
    </w:p>
    <w:p w:rsidRPr="000E0F6B" w:rsidR="005722D4" w:rsidP="000E0F6B" w:rsidRDefault="005722D4" w14:paraId="7E027456" w14:textId="77777777">
      <w:r w:rsidRPr="000E0F6B">
        <w:t>De leden van de NSC-fractie hebben met toenemende bedenkingen, zelfs enige verontrusting (zo gebiedt de eerlijkheid hen te bekennen), kennisgenomen van het Jaarverslag 2024 van het ministerie van Onderwijs Cultuur en Wetenschap, het rapport Staat van het Onderwijs 2025 van de Inspectie van het Onderwijs, en de overige geagendeerde stukken, en hebben daarover de volgende vragen en opmerkingen.</w:t>
      </w:r>
    </w:p>
    <w:p w:rsidRPr="000E0F6B" w:rsidR="005722D4" w:rsidP="000E0F6B" w:rsidRDefault="005722D4" w14:paraId="3F360F8A" w14:textId="77777777"/>
    <w:p w:rsidRPr="000E0F6B" w:rsidR="005722D4" w:rsidP="000E0F6B" w:rsidRDefault="005722D4" w14:paraId="17FEE432" w14:textId="77777777">
      <w:r w:rsidRPr="000E0F6B">
        <w:t>De leden van de NSC-fractie constateren dat het Nederlandse onderwijs voor grote uitdagingen staat. De kwaliteit van het funderend onderwijs staat al jaren onder druk en laat ondanks aanzienlijke investeringen geen structurele verbetering zien. Tegelijkertijd komen bekostiging en bereikbaarheid van het mbo, hbo en wo, vooral in de regio, steeds meer onder spanning te staan door demografische krimp. Daartegenover staat dat aanzienlijke publieke middelen worden besteed aan internationale studenten, van wie vele na hun studie Nederland weer verlaten. De baten voor de samenleving blijven hierdoor beperkt. Wanneer deze leden deze ontwikkelingen naast elkaar leggen, rijst bij hen de fundamentele vraag of het huidige onderwijsbeleid wel voldoende doelmatig en doeltreffend is.</w:t>
      </w:r>
    </w:p>
    <w:p w:rsidRPr="000E0F6B" w:rsidR="005722D4" w:rsidP="000E0F6B" w:rsidRDefault="005722D4" w14:paraId="28851B72" w14:textId="77777777"/>
    <w:p w:rsidRPr="000E0F6B" w:rsidR="005722D4" w:rsidP="000E0F6B" w:rsidRDefault="005722D4" w14:paraId="157AB09E" w14:textId="77777777">
      <w:r w:rsidRPr="000E0F6B">
        <w:t xml:space="preserve">Dat gezegd hebbende, willen de leden van de NSC-fractie ook wijzen op positieve ontwikkelingen. Zo zijn er volgens de Algemene Rekenkamer in 2024 verbeteringen zichtbaar </w:t>
      </w:r>
      <w:r w:rsidRPr="000E0F6B">
        <w:rPr>
          <w:color w:val="000000" w:themeColor="text1"/>
        </w:rPr>
        <w:t xml:space="preserve">in het M&amp;O-beleid, met </w:t>
      </w:r>
      <w:r w:rsidRPr="000E0F6B">
        <w:t>name rond het masterplan basisvaardigheden. Voor het eerst sinds jaren is bij meerdere subsidieregelingen sprake van een toereikend beleid tegen misbruik en oneigenlijk gebruik. Ook zijn voor het masterplan concrete doelen en prestatieafspraken geformuleerd en is het aantal scholen met een eigen verbeterplan substantieel gestegen. Daarnaast constateren deze leden verbeteringen in de digitale dienstverlening van DUO op basis van feedback van studenten en in de transparantie van informatievoorziening via rijksoverheid.nl en onderwijsorganisaties.</w:t>
      </w:r>
    </w:p>
    <w:p w:rsidRPr="000E0F6B" w:rsidR="005722D4" w:rsidP="000E0F6B" w:rsidRDefault="005722D4" w14:paraId="1ED66CD3" w14:textId="77777777"/>
    <w:p w:rsidRPr="000E0F6B" w:rsidR="005722D4" w:rsidP="000E0F6B" w:rsidRDefault="005722D4" w14:paraId="2319A2CF" w14:textId="77777777">
      <w:r w:rsidRPr="000E0F6B">
        <w:t>De bezuinigingen die dit kabinet doorvoert op OCW roepen veel zorgen op binnen het onderwijsveld. De leden van de NSC-fractie onderkennen het publieke karakter van onderwijs en de noodzaak van structurele investeringen. Tegelijk vinden deze leden het verantwoord om, in tijden van financiële krapte, kritisch te bezien hoe eerder toegewezen middelen zijn besteed. Dat deze leden met de ene bezuiniging aanzienlijk meer moeite hebben dan met de andere moge duidelijk zijn. Opvallend is wel dat partijen die nu luid protesteren tegen bezuinigingen eerder geen werk maakten van een systematische, doelmatige en transparante besteding van onderwijsbudgetten. Tegelijkertijd zou men van partijen die van oudsher pleiten voor een terughoudende besteding van belastingmiddelen juist mogen verwachten dat zij in vorige kabinetsperiodes sterker hadden toegezien op doelmatigheid, doeltreffendheid en financiële onderbouwing bij forse onderwijsinvesteringen. Verantwoordingsonderzoeken laten zien dat jarenlang geld is uitgegeven zonder duidelijke doelen of evaluaties. Het debat zou zich dan ook niet moeten beperken tot de vraag óf er bezuinigd moet worden, maar vooral waar, waarom en met welk toekomstig effect.</w:t>
      </w:r>
    </w:p>
    <w:p w:rsidRPr="000E0F6B" w:rsidR="005722D4" w:rsidP="000E0F6B" w:rsidRDefault="005722D4" w14:paraId="2987B5F8" w14:textId="77777777"/>
    <w:p w:rsidRPr="000E0F6B" w:rsidR="005722D4" w:rsidP="000E0F6B" w:rsidRDefault="005722D4" w14:paraId="565CAB9B" w14:textId="51462EB4">
      <w:r w:rsidRPr="000E0F6B">
        <w:t xml:space="preserve">De voorliggende stukken, in samenhang met eerdere onderzoeken, bevestigen het beeld van een hardnekkige beleidsmatige zwakte op de beleidsterreinen van OCW. Adviezen van de Rekenkamer, inspecties en adviesraden worden niet of slechts gedeeltelijk opgevolgd. De kern van het probleem is dat de bewindspersonen er niet in slagen om vanuit heldere doelstellingen effectief en transparant beleid te voeren. Deze stagnatie kan natuurlijk slechts in beperkte zin aan het beleid van het huidige kabinet worden toegeschreven, dat pas kortgeleden aantrad en nog beperkt de gelegenheid heeft gehad en krijgt om koers te zetten, maar vloeit voort uit een langere traditie van ongerichte beleidsvorming onder opeenvolgende </w:t>
      </w:r>
      <w:r w:rsidR="002A55D6">
        <w:t>kabinetten</w:t>
      </w:r>
      <w:r w:rsidRPr="000E0F6B">
        <w:t xml:space="preserve">. </w:t>
      </w:r>
    </w:p>
    <w:p w:rsidRPr="000E0F6B" w:rsidR="005722D4" w:rsidP="000E0F6B" w:rsidRDefault="005722D4" w14:paraId="3C304235" w14:textId="77777777"/>
    <w:p w:rsidRPr="000E0F6B" w:rsidR="005722D4" w:rsidP="000E0F6B" w:rsidRDefault="005722D4" w14:paraId="2268D07C" w14:textId="77777777">
      <w:r w:rsidRPr="000E0F6B">
        <w:t xml:space="preserve">Wat nu nodig is, is een herijking van rollen en verantwoordelijkheden binnen het onderwijs. Een koerswijziging waarin de overheid weer de regie neemt, zonder verstikkend te zijn, en waarin heldere doelstellingen en wederkerigheid centraal staan. Deze inbreng moet bijdragen aan de contouren van een nieuw sociaal contract voor het onderwijs: een herstelplan voor de kwaliteit zoals u wilt. Helaas hebben de leden van de NSC-fractie hier echter nog geen kennis van kunnen nemen. </w:t>
      </w:r>
    </w:p>
    <w:p w:rsidRPr="000E0F6B" w:rsidR="005722D4" w:rsidP="000E0F6B" w:rsidRDefault="005722D4" w14:paraId="2A12E7BC" w14:textId="77777777">
      <w:pPr>
        <w:rPr>
          <w:i/>
          <w:iCs/>
        </w:rPr>
      </w:pPr>
    </w:p>
    <w:p w:rsidRPr="000E0F6B" w:rsidR="005722D4" w:rsidP="000E0F6B" w:rsidRDefault="005722D4" w14:paraId="3250E419" w14:textId="77777777">
      <w:pPr>
        <w:rPr>
          <w:i/>
          <w:iCs/>
        </w:rPr>
      </w:pPr>
      <w:r w:rsidRPr="000E0F6B">
        <w:rPr>
          <w:i/>
          <w:iCs/>
        </w:rPr>
        <w:t>Algemeen beleid en besturing OCW</w:t>
      </w:r>
    </w:p>
    <w:p w:rsidRPr="000E0F6B" w:rsidR="005722D4" w:rsidP="000E0F6B" w:rsidRDefault="005722D4" w14:paraId="644B73E3" w14:textId="77777777">
      <w:r w:rsidRPr="000E0F6B">
        <w:t>De leden van de NSC-fractie constateren dat (voormalige) bewindspersonen van OCW al jarenlang moeite hebben om op een doelgerichte en samenhangende manier invulling te geven aan hun beleidsverantwoordelijkheid. Herhaaldelijk heeft de Algemene Rekenkamer vastgesteld dat het ontbreekt aan zicht op de besteding van middelen, het effect ervan, en de doelmatigheid en doeltreffendheid van beleid. De verantwoordingsonderzoeken van de afgelopen jaren laten keer op keer zien dat middelen worden ingezet zonder heldere doelstellingen vooraf, en dat evaluatie achteraf zelden plaatsvindt.</w:t>
      </w:r>
    </w:p>
    <w:p w:rsidRPr="000E0F6B" w:rsidR="005722D4" w:rsidP="000E0F6B" w:rsidRDefault="005722D4" w14:paraId="3DA9BF61" w14:textId="77777777"/>
    <w:p w:rsidRPr="000E0F6B" w:rsidR="005722D4" w:rsidP="000E0F6B" w:rsidRDefault="005722D4" w14:paraId="341FC601" w14:textId="77777777">
      <w:r w:rsidRPr="000E0F6B">
        <w:t>Zo constateert de Rekenkamer in haar meest recente verantwoordingsonderzoek dat het in veel gevallen niet goed te volgen is waar het geld uiteindelijk terechtkomt. De middelen voor het NPO</w:t>
      </w:r>
      <w:r w:rsidRPr="000E0F6B">
        <w:rPr>
          <w:rStyle w:val="Voetnootmarkering"/>
        </w:rPr>
        <w:footnoteReference w:id="39"/>
      </w:r>
      <w:r w:rsidRPr="000E0F6B">
        <w:t xml:space="preserve"> zijn daarvan een sprekend voorbeeld: een van de grootste incidentele investeringen in het onderwijs in jaren, maar zonder duidelijke prestatie-indicatoren, doelstellingen of inzicht in de daadwerkelijke resultaten. Onderzoek van Follow </w:t>
      </w:r>
      <w:proofErr w:type="spellStart"/>
      <w:r w:rsidRPr="000E0F6B">
        <w:t>the</w:t>
      </w:r>
      <w:proofErr w:type="spellEnd"/>
      <w:r w:rsidRPr="000E0F6B">
        <w:t xml:space="preserve"> Money</w:t>
      </w:r>
      <w:r w:rsidRPr="000E0F6B">
        <w:rPr>
          <w:rStyle w:val="Voetnootmarkering"/>
        </w:rPr>
        <w:footnoteReference w:id="40"/>
      </w:r>
      <w:r w:rsidRPr="000E0F6B">
        <w:t xml:space="preserve"> en </w:t>
      </w:r>
      <w:r w:rsidRPr="000E0F6B">
        <w:rPr>
          <w:color w:val="000000" w:themeColor="text1"/>
        </w:rPr>
        <w:t>Kamervragen van onder meer de leden van de NSC-fractie</w:t>
      </w:r>
      <w:r w:rsidRPr="000E0F6B">
        <w:rPr>
          <w:rStyle w:val="Voetnootmarkering"/>
          <w:color w:val="000000" w:themeColor="text1"/>
        </w:rPr>
        <w:footnoteReference w:id="41"/>
      </w:r>
      <w:r w:rsidRPr="000E0F6B">
        <w:rPr>
          <w:color w:val="000000" w:themeColor="text1"/>
        </w:rPr>
        <w:t xml:space="preserve"> </w:t>
      </w:r>
      <w:r w:rsidRPr="000E0F6B">
        <w:t>hebben dit gebrek aan transparantie en sturing uitvoerig blootgelegd.</w:t>
      </w:r>
    </w:p>
    <w:p w:rsidRPr="000E0F6B" w:rsidR="005722D4" w:rsidP="000E0F6B" w:rsidRDefault="005722D4" w14:paraId="41FBDF11" w14:textId="77777777"/>
    <w:p w:rsidRPr="000E0F6B" w:rsidR="005722D4" w:rsidP="000E0F6B" w:rsidRDefault="005722D4" w14:paraId="76A96CAF" w14:textId="77777777">
      <w:r w:rsidRPr="000E0F6B">
        <w:t>Door de veelheid aan regelingen en het ontbreken van integrale informatie over geldstromen per beleidsdoel wordt het voor de Kamer steeds moeilijker om haar budgetrecht effectief uit te oefenen. Dat geldt zowel voor subsidies als voor lumpsumfinanciering waarbij uit jaarverslagen van scholen nog steeds lastig is af te leiden waar het geld concreet aan is besteed. De leden van de NSC-fractie benadrukken dat vrijheid van onderwijs niet hetzelfde is als vrijheid van verantwoording. Het is noodzakelijk dat schoolbesturen helder, vergelijkbaar en publiek verantwoording afleggen over besteding en prestaties. Deze leden vragen de minister of hij voor het eind van deze kabinetsperiode met een plan kan komen voor versterking van het verantwoordingsstelsel, zodat een volgende minister kan voortbouwen op een stevig fundament. Is de minister bereid te onderzoeken hoe het inzicht in bestedingen kan worden verbeterd en of hiervoor meer centrale verantwoording of standaardisatie nodig is?</w:t>
      </w:r>
    </w:p>
    <w:p w:rsidRPr="000E0F6B" w:rsidR="005722D4" w:rsidP="000E0F6B" w:rsidRDefault="005722D4" w14:paraId="5CBB69C9" w14:textId="77777777">
      <w:r w:rsidRPr="000E0F6B">
        <w:t>Een vergelijkbaar gebrek aan resultaatgerichtheid speelt bij de onderwijsregio's. De leden van de NSC-fractie zijn kritisch op deze structuren, mede omdat onduidelijk is welke concrete resultaten ermee moeten worden bereikt, wat de succescriteria zijn, en of ze daadwerkelijk bijdragen aan het terugdringen van het lerarentekort. In de huidige opzet is het buitengewoon lastig om te beoordelen of deze onderwijsregio’s de publieke middelen waard zijn die erin omgaan.</w:t>
      </w:r>
    </w:p>
    <w:p w:rsidRPr="000E0F6B" w:rsidR="005722D4" w:rsidP="000E0F6B" w:rsidRDefault="005722D4" w14:paraId="1CD639BC" w14:textId="77777777"/>
    <w:p w:rsidRPr="000E0F6B" w:rsidR="005722D4" w:rsidP="000E0F6B" w:rsidRDefault="005722D4" w14:paraId="6171A27C" w14:textId="77777777">
      <w:r w:rsidRPr="000E0F6B">
        <w:t>Daar komt bij dat de wijze waarop voortgang en resultaten van beleid worden gerapporteerd in veel gevallen onvoldoende onafhankelijk is. In de voortgangsrapportage van het NPOP wordt bijvoorbeeld vooral verwezen naar positieve ervaringen van scholen en besturen zelf. Ook in de rapportage over het Masterplan basisvaardigheden overheerst de tevredenheid van de uitvoerende partijen. Hoewel deze signalen vanuit het veld relevant zijn, kunnen zij niet zonder meer worden beschouwd als bewijs van doelmatigheid of effectiviteit. Het risico dat de slager zijn eigen vlees keurt is hier reëel.</w:t>
      </w:r>
    </w:p>
    <w:p w:rsidRPr="000E0F6B" w:rsidR="005722D4" w:rsidP="000E0F6B" w:rsidRDefault="005722D4" w14:paraId="5F7349EF" w14:textId="77777777"/>
    <w:p w:rsidRPr="000E0F6B" w:rsidR="005722D4" w:rsidP="000E0F6B" w:rsidRDefault="005722D4" w14:paraId="64E83C53" w14:textId="77777777">
      <w:r w:rsidRPr="000E0F6B">
        <w:t>De leden van de NSC-fractie vragen waarom het verbeteren van basisvaardigheden, als kerntaak van het onderwijs, niet structureel wordt bekostigd via de lumpsum. Het feit dat dit nu grotendeels via tijdelijke subsidieregelingen gebeurt, roept vragen op over bestendigheid, autonomie en doelmatigheid. Kan de staatssecretaris toelichten waarom dit nog niet structureel geregeld is en hoe de overgang naar gerichte bekostiging per 2027 wordt vormgegeven?</w:t>
      </w:r>
    </w:p>
    <w:p w:rsidRPr="000E0F6B" w:rsidR="005722D4" w:rsidP="000E0F6B" w:rsidRDefault="005722D4" w14:paraId="3C5F2893" w14:textId="77777777"/>
    <w:p w:rsidRPr="000E0F6B" w:rsidR="005722D4" w:rsidP="000E0F6B" w:rsidRDefault="005722D4" w14:paraId="29A462E0" w14:textId="77777777">
      <w:r w:rsidRPr="000E0F6B">
        <w:t xml:space="preserve">Ten aanzien van de onderwijsregio’s erkennen de leden van de NSC-fractie dat het evaluatieonderzoek door Berenschot als onafhankelijk is opgezet en in opdracht van de bewindspersonen van OCW plaatsvindt. Dat is op zichzelf positief. Tegelijk constateren deze leden dat deze eerste tussenrapportage zich nog grotendeels baseert op plannen van aanpak die door de regio’s zelf zijn opgesteld en op interviews met landelijke partijen - zonder dat reeds is gesproken met leraren of schoolleiders in de regio’s zelf. Ook worden in deze fase nog geen harde uitspraken gedaan over effectiviteit of doelmatigheid. Daarmee ontstaat ook hier vooralsnog een beeld dat sterk leunt op </w:t>
      </w:r>
      <w:proofErr w:type="spellStart"/>
      <w:r w:rsidRPr="000E0F6B">
        <w:t>zelfgerapporteerde</w:t>
      </w:r>
      <w:proofErr w:type="spellEnd"/>
      <w:r w:rsidRPr="000E0F6B">
        <w:t xml:space="preserve"> ambities zonder onafhankelijke toetsing van resultaten.</w:t>
      </w:r>
    </w:p>
    <w:p w:rsidRPr="000E0F6B" w:rsidR="005722D4" w:rsidP="000E0F6B" w:rsidRDefault="005722D4" w14:paraId="2271EC31" w14:textId="77777777"/>
    <w:p w:rsidRPr="000E0F6B" w:rsidR="005722D4" w:rsidP="000E0F6B" w:rsidRDefault="005722D4" w14:paraId="077ECBDA" w14:textId="77777777">
      <w:r w:rsidRPr="000E0F6B">
        <w:t>De leden van de NSC-fractie stellen dat het de overheid zelf is die eindverantwoordelijk moet zijn voor kritische en objectieve evaluatie van publiek beleid. Deze leden vragen de bewindspersonen of zij deze analyse delen, en zo ja, op welke manier zij ervoor gaan zorgen dat toekomstige voortgangsrapportages en beleidsdoorlichtingen minder afhankelijk worden van zelfrapportage en meer gestoeld op onafhankelijke evaluatie.</w:t>
      </w:r>
    </w:p>
    <w:p w:rsidRPr="000E0F6B" w:rsidR="005722D4" w:rsidP="000E0F6B" w:rsidRDefault="005722D4" w14:paraId="265F1894" w14:textId="77777777"/>
    <w:p w:rsidRPr="000E0F6B" w:rsidR="005722D4" w:rsidP="000E0F6B" w:rsidRDefault="005722D4" w14:paraId="293EA9F4" w14:textId="77777777">
      <w:r w:rsidRPr="000E0F6B">
        <w:t>Daarnaast maken de leden van de NSC-fractie zich zorgen over de groeiende rol van externe adviesbureaus in het onderwijsbestel. Recente berichtgeving laat zien dat bestuurders of toezichthouders van scholen regelmatig betrokken zijn bij commerciële onderwijsadviesbureaus die vervolgens opdrachten uitvoeren voor hun eigen instellingen of samenwerkingsverbanden. In een aantal gevallen gaat het om substantiële bedragen zonder transparante aanbesteding of toetsing op alternatieven. Hoewel formeel wellicht sprake is van rechtmatigheid, roept deze praktijk op zijn minst de schijn van belangenverstrengeling op. In een publiek gefinancierd stelsel is dat onwenselijk.</w:t>
      </w:r>
    </w:p>
    <w:p w:rsidRPr="000E0F6B" w:rsidR="005722D4" w:rsidP="000E0F6B" w:rsidRDefault="005722D4" w14:paraId="640AB45B" w14:textId="77777777"/>
    <w:p w:rsidRPr="000E0F6B" w:rsidR="005722D4" w:rsidP="000E0F6B" w:rsidRDefault="005722D4" w14:paraId="09B5E22D" w14:textId="77777777">
      <w:pPr>
        <w:rPr>
          <w:color w:val="FF0000"/>
        </w:rPr>
      </w:pPr>
      <w:r w:rsidRPr="000E0F6B">
        <w:t xml:space="preserve">Een verwante ontwikkeling doet zich voor bij de inzet van middelen uit het NPO. Ook hier constateren de leden van de NSC-fractie dat in de praktijk commerciële bijlesbureaus in </w:t>
      </w:r>
      <w:r w:rsidRPr="000E0F6B">
        <w:rPr>
          <w:color w:val="000000" w:themeColor="text1"/>
        </w:rPr>
        <w:t>belangrijke mate hebben geprofiteerd van publieke middelen. Scholen die onder druk stonden om snel NPO-plannen op te stellen, grepen geregeld naar externe aanbieders van huiswerkbegeleiding en bijles. Daarmee zijn aanzienlijke bedragen terechtgekomen bij private partijen, vaak zonder toetsbare onderbouwing van het effect op leerresultaten of kansengelijkheid. Deze leden vragen de minister in hoeverre hij zicht heeft op de aard en omvang van deze inkoopstromen en hoe hij het publieke karakter van de NPO-bestedingen waarborgt.</w:t>
      </w:r>
    </w:p>
    <w:p w:rsidRPr="000E0F6B" w:rsidR="005722D4" w:rsidP="000E0F6B" w:rsidRDefault="005722D4" w14:paraId="21B28708" w14:textId="77777777"/>
    <w:p w:rsidRPr="000E0F6B" w:rsidR="005722D4" w:rsidP="000E0F6B" w:rsidRDefault="005722D4" w14:paraId="58F2F79A" w14:textId="77777777">
      <w:r w:rsidRPr="000E0F6B">
        <w:t>Ook breder blijkt uit het IBO-rapport Koersen op kwaliteit dat het onderwijsbeleid op meerdere niveaus kampt met een gebrek aan heldere, gedeelde doelstellingen. De rolverdeling tussen overheid en instellingen is diffuus, de sturing versnipperd en het zicht op prestaties beperkt. Dit werkt niet alleen beleidsmatig verlammend, maar ondermijnt ook het vertrouwen tussen overheid, besturen en uitvoerende professionals.</w:t>
      </w:r>
    </w:p>
    <w:p w:rsidRPr="000E0F6B" w:rsidR="005722D4" w:rsidP="000E0F6B" w:rsidRDefault="005722D4" w14:paraId="7C11A389" w14:textId="77777777"/>
    <w:p w:rsidRPr="000E0F6B" w:rsidR="005722D4" w:rsidP="000E0F6B" w:rsidRDefault="005722D4" w14:paraId="4BBBC1BE" w14:textId="77777777">
      <w:r w:rsidRPr="000E0F6B">
        <w:t xml:space="preserve">Een andere casus die de zorgen van deze leden bevestigt, is het kansengelijkheidsbeleid van de afgelopen jaren. In het rapport Kiezen voor Kansen van </w:t>
      </w:r>
      <w:proofErr w:type="spellStart"/>
      <w:r w:rsidRPr="000E0F6B">
        <w:t>Anderssen</w:t>
      </w:r>
      <w:proofErr w:type="spellEnd"/>
      <w:r w:rsidRPr="000E0F6B">
        <w:t xml:space="preserve">, </w:t>
      </w:r>
      <w:proofErr w:type="spellStart"/>
      <w:r w:rsidRPr="000E0F6B">
        <w:t>Elffers</w:t>
      </w:r>
      <w:proofErr w:type="spellEnd"/>
      <w:r w:rsidRPr="000E0F6B">
        <w:t xml:space="preserve"> en Felix</w:t>
      </w:r>
      <w:r w:rsidRPr="000E0F6B">
        <w:rPr>
          <w:rStyle w:val="Voetnootmarkering"/>
        </w:rPr>
        <w:footnoteReference w:id="42"/>
      </w:r>
      <w:r w:rsidRPr="000E0F6B">
        <w:t xml:space="preserve"> wordt vastgesteld dat nauwelijks is vast te stellen of dit beleid heeft bijgedragen aan meer gelijke kansen. Een bevinding die sterk overeenkomt met de recente conclusies van de Algemene Rekenkamer over het programma Gelijke kansen voor mbo.</w:t>
      </w:r>
    </w:p>
    <w:p w:rsidRPr="000E0F6B" w:rsidR="005722D4" w:rsidP="000E0F6B" w:rsidRDefault="005722D4" w14:paraId="7D048357" w14:textId="77777777"/>
    <w:p w:rsidRPr="000E0F6B" w:rsidR="005722D4" w:rsidP="000E0F6B" w:rsidRDefault="005722D4" w14:paraId="312FA155" w14:textId="77777777">
      <w:r w:rsidRPr="000E0F6B">
        <w:t>Tegen die achtergrond hebben de leden van de NSC-fractie een aantal fundamentele vragen. Wat verstaan de bewindspersonen eigenlijk onder kansengelijkheid? Hoe definiëren zij dit begrip in het kader van het onderwijsbeleid, en hoe verhoudt hun invulling zich tot andere onderwijskundige waarden zoals kwaliteit, differentiatie en keuzevrijheid? Ook willen deze leden weten wat het concreet betekent om kansengelijkheid te bevorderen. Welke maatschappelijke of leerresultaten beogen de bewindspersonen precies? Op basis van welke indicatoren wordt gestuurd en hoe wordt gemeten of beleid daadwerkelijk leidt tot een vermindering van kansenongelijkheid? Te vaak lijkt kansengelijkheid een politiek breed gedragen ambitie te zijn zonder dat duidelijk is wat dit in de praktijk moet opleveren en voor wie.</w:t>
      </w:r>
    </w:p>
    <w:p w:rsidR="002A55D6" w:rsidP="000E0F6B" w:rsidRDefault="002A55D6" w14:paraId="492FC7B5" w14:textId="77777777"/>
    <w:p w:rsidRPr="000E0F6B" w:rsidR="005722D4" w:rsidP="000E0F6B" w:rsidRDefault="005722D4" w14:paraId="0B4D161F" w14:textId="6C530D3D">
      <w:r w:rsidRPr="000E0F6B">
        <w:t>De leden van de NSC-fractie vragen de minister en staatssecretaris daarom om expliciet te maken welke uitkomsten het kansengelijkheidsbeleid dient te realiseren, en welke beleidskeuzes en instrumenten daaraan concreet zijn verbonden. Zonder een heldere, meetbare doelstelling verliest het kansengelijkheidsbeleid immers zijn richting en blijft effectiviteit buiten beeld.</w:t>
      </w:r>
    </w:p>
    <w:p w:rsidRPr="000E0F6B" w:rsidR="005722D4" w:rsidP="000E0F6B" w:rsidRDefault="005722D4" w14:paraId="27564761" w14:textId="77777777"/>
    <w:p w:rsidRPr="000E0F6B" w:rsidR="005722D4" w:rsidP="000E0F6B" w:rsidRDefault="005722D4" w14:paraId="33FD1CD8" w14:textId="77777777">
      <w:r w:rsidRPr="000E0F6B">
        <w:t xml:space="preserve">De problemen beperken zich niet tot het funderend onderwijs. Ook in het hoger onderwijs zijn structurele tekortkomingen zichtbaar. Het IBO-rapport Talent op de juiste plek wijst erop dat het Rijk niet weet wat een opleiding kost. Bovendien blijkt dat </w:t>
      </w:r>
      <w:proofErr w:type="spellStart"/>
      <w:r w:rsidRPr="000E0F6B">
        <w:t>hogeronderwijsinstellingen</w:t>
      </w:r>
      <w:proofErr w:type="spellEnd"/>
      <w:r w:rsidRPr="000E0F6B">
        <w:t xml:space="preserve"> niet allemaal hetzelfde percentage vaste voet ontvangen: een historisch gegroeide situatie die, vanuit het oogpunt van doelmatigheid en transparantie, niet goed te rechtvaardigen is. </w:t>
      </w:r>
    </w:p>
    <w:p w:rsidRPr="000E0F6B" w:rsidR="005722D4" w:rsidP="000E0F6B" w:rsidRDefault="005722D4" w14:paraId="104864B0" w14:textId="77777777">
      <w:r w:rsidRPr="000E0F6B">
        <w:t>De leden van de NSC-fractie wijzen verder op de besteding van middelen uit het fonds Onderzoek en Wetenschap dat bij de Voorjaarsnota is aangesproken voor de bekostiging van kennisveiligheid. Het is op zijn minst ironisch dat geld bedoeld voor de ontwikkeling van kennis wordt onttrokken om diezelfde kennis te beschermen. Deze interne verschuiving raakt aan de kern van de doeltreffendheid en consistentie van beleid.</w:t>
      </w:r>
    </w:p>
    <w:p w:rsidRPr="000E0F6B" w:rsidR="005722D4" w:rsidP="000E0F6B" w:rsidRDefault="005722D4" w14:paraId="444B5BB9" w14:textId="77777777"/>
    <w:p w:rsidRPr="000E0F6B" w:rsidR="005722D4" w:rsidP="000E0F6B" w:rsidRDefault="005722D4" w14:paraId="1A0AB35B" w14:textId="77777777">
      <w:r w:rsidRPr="000E0F6B">
        <w:t xml:space="preserve">Over kennisveiligheid is nog onduidelijk wie uiteindelijk voor de kosten opdraait. De leden van de NSC-fractie vragen de minister of hij kan garanderen dat deze kosten niet volledig op het onderwijsveld worden afgewenteld. Kan hij toezeggen zich in te zetten voor een rechtvaardige verdeling en dit dossier expliciet over te dragen aan zijn opvolger? </w:t>
      </w:r>
    </w:p>
    <w:p w:rsidRPr="000E0F6B" w:rsidR="005722D4" w:rsidP="000E0F6B" w:rsidRDefault="005722D4" w14:paraId="278F7A29" w14:textId="77777777">
      <w:r w:rsidRPr="000E0F6B">
        <w:t>Tot slot wijzen de leden van de NSC-fractie op de besteding van publieke middelen aan leermiddelen. De huidige leermiddelenmarkt kent sterke concentraties aan de aanbodzijde waardoor uitgevers en aanbieders een dominante onderhandelingspositie hebben. Dit leidt ertoe dat scholen vaak dure pakketten afnemen waarin digitale componenten nauwelijks worden gebruikt. Ook de exorbitante kosten die wetenschappers betalen om artikelen gepubliceerd te krijgen in commerciële tijdschriften zijn een voorbeeld van publieke middelen die doelmatiger zouden kunnen worden besteed.</w:t>
      </w:r>
    </w:p>
    <w:p w:rsidRPr="000E0F6B" w:rsidR="005722D4" w:rsidP="000E0F6B" w:rsidRDefault="005722D4" w14:paraId="464E310A" w14:textId="77777777"/>
    <w:p w:rsidRPr="000E0F6B" w:rsidR="005722D4" w:rsidP="000E0F6B" w:rsidRDefault="005722D4" w14:paraId="40BC24AD" w14:textId="77777777">
      <w:r w:rsidRPr="000E0F6B">
        <w:t>In al deze voorbeelden zien de leden van de NSC-fractie een terugkerend patroon van beleidsmatig onvermogen. Het ontbreekt aan doelen, aan inzicht, aan bijsturing en aan evaluatie. Juist tegen die achtergrond dringt zich de vraag op hoe toekomstig beleid anders moet worden ingericht om wél te voldoen aan de beginselen van doelmatigheid, doeltreffendheid en transparantie. Deze leden horen graag hoe de minister en de staatssecretaris hierop reflecteren.</w:t>
      </w:r>
    </w:p>
    <w:p w:rsidRPr="000E0F6B" w:rsidR="005722D4" w:rsidP="000E0F6B" w:rsidRDefault="005722D4" w14:paraId="0CD7C4BC" w14:textId="77777777"/>
    <w:p w:rsidRPr="000E0F6B" w:rsidR="005722D4" w:rsidP="000E0F6B" w:rsidRDefault="005722D4" w14:paraId="4CA32980" w14:textId="77777777">
      <w:r w:rsidRPr="000E0F6B">
        <w:t>Tot slot willen de leden van de NSC-fractie hun waardering uitspreken voor de verbeteringen die DUO heeft gerealiseerd op het gebied van IT-beheersing en informatievoorziening. Dit is een positieve ontwikkeling die navolging verdient.</w:t>
      </w:r>
    </w:p>
    <w:p w:rsidRPr="000E0F6B" w:rsidR="005722D4" w:rsidP="000E0F6B" w:rsidRDefault="005722D4" w14:paraId="71F635A0" w14:textId="77777777">
      <w:pPr>
        <w:rPr>
          <w:i/>
          <w:iCs/>
        </w:rPr>
      </w:pPr>
      <w:r w:rsidRPr="000E0F6B">
        <w:rPr>
          <w:i/>
          <w:iCs/>
        </w:rPr>
        <w:t>Funderend onderwijs: kwaliteit, toezicht en het vak van de leraar</w:t>
      </w:r>
    </w:p>
    <w:p w:rsidRPr="000E0F6B" w:rsidR="005722D4" w:rsidP="000E0F6B" w:rsidRDefault="005722D4" w14:paraId="0D742946" w14:textId="77777777">
      <w:r w:rsidRPr="000E0F6B">
        <w:t>De leden van de NSC-fractie maken zich ernstige zorgen over het funderend onderwijs. Het lerarentekort, de dalende leerprestaties, het falende toezicht en de stijgende regeldruk vormen samen een structureel probleem dat vraagt om een koerswijziging.</w:t>
      </w:r>
    </w:p>
    <w:p w:rsidRPr="000E0F6B" w:rsidR="005722D4" w:rsidP="000E0F6B" w:rsidRDefault="005722D4" w14:paraId="3C601681" w14:textId="77777777"/>
    <w:p w:rsidRPr="000E0F6B" w:rsidR="005722D4" w:rsidP="000E0F6B" w:rsidRDefault="005722D4" w14:paraId="4D4C35EB" w14:textId="0C7A8A6F">
      <w:r w:rsidRPr="000E0F6B">
        <w:t>Allereerst constateren de leden van de NSC-fractie dat het toezicht op de kwaliteit van scholen onder druk staat. De inspectie slaagt er al jaren niet in om de toezegging gestand te doen dat iedere basisschool eens per vier jaar bezocht wordt. In de plaats daarvan is het toezicht verschoven richting het bestuursniveau waar jaarverslagen en beleidsdocumenten als graadmeter dienen. Deze leden vragen of daarmee nog voldoende zicht is op wat zich daadwerkelijk in de klas afspeelt. Ook vragen zij of risico-gestuurd toezicht, dat zich pas aandient na tegenvallende uitkomsten, wel kan fungeren als preventief instrument. Kan de staatssecretaris deze leden hierop van een antwoord voorzien?</w:t>
      </w:r>
    </w:p>
    <w:p w:rsidRPr="000E0F6B" w:rsidR="005722D4" w:rsidP="000E0F6B" w:rsidRDefault="005722D4" w14:paraId="7FBD5727" w14:textId="77777777"/>
    <w:p w:rsidRPr="000E0F6B" w:rsidR="005722D4" w:rsidP="000E0F6B" w:rsidRDefault="005722D4" w14:paraId="1DC56AC2" w14:textId="77777777">
      <w:r w:rsidRPr="000E0F6B">
        <w:t>Ten aanzien van de onderwijsregio’s zijn de leden van de NSC-fractie ronduit kritisch. Hoewel het oorspronkelijke idee was om samenwerking te bevorderen, ontbreekt het in de praktijk aan heldere, toetsbare doelstellingen. Dit maakt het vrijwel onmogelijk om vast te stellen of deze regiostructuren daadwerkelijk bijdragen aan het terugdringen van het lerarentekort. De aangenomen motie van de leden Soepboer en Ceder vroeg daarom om de onderwijsregio’s terug te brengen tot een stimuleringsregeling</w:t>
      </w:r>
      <w:r w:rsidRPr="000E0F6B">
        <w:rPr>
          <w:rStyle w:val="Voetnootmarkering"/>
        </w:rPr>
        <w:footnoteReference w:id="43"/>
      </w:r>
      <w:r w:rsidRPr="000E0F6B">
        <w:t xml:space="preserve">. Hoewel het kabinet heeft aangegeven de motie uit te voeren, stellen deze leden vast dat in de praktijk slechts sprake is van een cosmetische </w:t>
      </w:r>
      <w:proofErr w:type="spellStart"/>
      <w:r w:rsidRPr="000E0F6B">
        <w:t>heretikettering</w:t>
      </w:r>
      <w:proofErr w:type="spellEnd"/>
      <w:r w:rsidRPr="000E0F6B">
        <w:t xml:space="preserve"> van bestaand beleid. Sterker nog: het budget voor onderwijsregio’s is de afgelopen jaren structureel verhoogd tot bijna €291 miljoen per jaar. Dat staat op gespannen voet met de bedoeling van de motie en roept de vraag op of deze middelen niet beter besteed kunnen worden aan beleidsinstrumenten waarvan de doeltreffendheid wél aantoonbaar is. Deze leden vinden dan ook niet dat de motie naar behoren is uitgevoerd en daarmee is afgehandeld. De recent verstuurde brief hierover is in zijn geheel niet wat de bedoeling was. De motie blijft daarom overeind en deze leden verwachten alsnog deugdelijke uitvoering waarbij het belangrijk is dat het geld teruggaat naar de scholen en dat er geen sprake zal zijn van gedwongen samenwerking.</w:t>
      </w:r>
    </w:p>
    <w:p w:rsidRPr="000E0F6B" w:rsidR="005722D4" w:rsidP="000E0F6B" w:rsidRDefault="005722D4" w14:paraId="399D440F" w14:textId="77777777"/>
    <w:p w:rsidRPr="000E0F6B" w:rsidR="005722D4" w:rsidP="000E0F6B" w:rsidRDefault="005722D4" w14:paraId="6148B409" w14:textId="77777777">
      <w:r w:rsidRPr="000E0F6B">
        <w:t>Een ander fundamenteel knelpunt is de structurele toename van regeldruk en administratieve lasten. Deze druk belemmert de aantrekkelijkheid van het beroep en ondermijnt de professionele ruimte van de leraar. De leden van de NSC-fractie vinden dat wetgeving op dit punt terughoudender moet zijn en dat structureel moet worden meegewogen of het beoogde beleidsdoel opweegt tegen de uitvoeringslasten die de wet met zich meebrengt. Dat geldt bijvoorbeeld voor het wetsvoorstel Van school naar duurzaam werk. Hoewel de doelstellingen ervan begrijpelijk zijn, is de juridische verplichting die wordt opgelegd aan scholen onvoldoende onderbouwd, slecht afgebakend en leidt deze tot aanzienlijke onzichtbare lasten.</w:t>
      </w:r>
    </w:p>
    <w:p w:rsidRPr="000E0F6B" w:rsidR="005722D4" w:rsidP="000E0F6B" w:rsidRDefault="005722D4" w14:paraId="3D2FAD23" w14:textId="77777777"/>
    <w:p w:rsidRPr="000E0F6B" w:rsidR="005722D4" w:rsidP="000E0F6B" w:rsidRDefault="005722D4" w14:paraId="6911F8D2" w14:textId="71FF638C">
      <w:r w:rsidRPr="000E0F6B">
        <w:t xml:space="preserve">Ook de Algemene Rekenkamer heeft in haar rapport </w:t>
      </w:r>
      <w:r w:rsidR="00812F12">
        <w:t>‘</w:t>
      </w:r>
      <w:r w:rsidRPr="000E0F6B">
        <w:t>Hoeveel mag het kosten?</w:t>
      </w:r>
      <w:r w:rsidR="00812F12">
        <w:t xml:space="preserve">’ </w:t>
      </w:r>
      <w:r w:rsidRPr="000E0F6B">
        <w:t xml:space="preserve">expliciet gewaarschuwd voor de risico’s van overmatige verantwoordingsdruk. Zij beveelt aan dat de </w:t>
      </w:r>
      <w:r w:rsidR="002A55D6">
        <w:t>kabinet</w:t>
      </w:r>
      <w:r w:rsidRPr="000E0F6B">
        <w:t xml:space="preserve"> bij elke nieuwe beleidsmaatregel expliciet afweegt of het uitvoerbaar is en wat dit betekent voor werkdruk, administratie en tijd van professionals. Deze leden vragen de minister of en hoe hij uitvoering geeft aan die aanbeveling.</w:t>
      </w:r>
    </w:p>
    <w:p w:rsidRPr="000E0F6B" w:rsidR="005722D4" w:rsidP="000E0F6B" w:rsidRDefault="005722D4" w14:paraId="718379B6" w14:textId="77777777"/>
    <w:p w:rsidRPr="000E0F6B" w:rsidR="005722D4" w:rsidP="000E0F6B" w:rsidRDefault="005722D4" w14:paraId="5BE12AC2" w14:textId="77777777">
      <w:r w:rsidRPr="000E0F6B">
        <w:t>De leden van de NSC-fractie merken bovendien op dat de staatssecretaris in reactie op een motie in het Tweeminutendebat Leraren op 27 maart 2024 heeft toegezegd te komen met een compact dashboard om de voortgang van het lerarenbeleid inzichtelijk te maken</w:t>
      </w:r>
      <w:r w:rsidRPr="000E0F6B">
        <w:rPr>
          <w:rStyle w:val="Voetnootmarkering"/>
        </w:rPr>
        <w:footnoteReference w:id="44"/>
      </w:r>
      <w:r w:rsidRPr="000E0F6B">
        <w:t>. Deze toezegging is tot op heden niet nagekomen. Zowel de Algemene Rekenkamer als de Kamer hebben expliciet gewezen op het belang van overzichtelijke en centrale informatie over de maatregelen, middelen en resultaten binnen de lerarenstrategie. Deze leden vragen de staatssecretaris waarom het beloofde dashboard nog niet beschikbaar is en op welke termijn het alsnog zal worden opgeleverd. Zij dringen aan op spoedige en volledige invulling van deze toezegging, juist omdat inzicht in samenhang en voortgang van beleid cruciaal is bij een dossier met zoveel maatschappelijke urgentie.</w:t>
      </w:r>
    </w:p>
    <w:p w:rsidRPr="000E0F6B" w:rsidR="005722D4" w:rsidP="000E0F6B" w:rsidRDefault="005722D4" w14:paraId="68324731" w14:textId="77777777"/>
    <w:p w:rsidRPr="000E0F6B" w:rsidR="005722D4" w:rsidP="000E0F6B" w:rsidRDefault="005722D4" w14:paraId="6BE20029" w14:textId="77777777">
      <w:r w:rsidRPr="000E0F6B">
        <w:t>Tot slot vragen de leden van de NSC-fractie aandacht voor het versterken van de positie van de leraar, ook binnen het arbeidsvoorwaardenoverleg. In dat verband verwijzen zij naar de motie van de leden Soepboer en Rooderkerk die pleit voor deelname van de bewindspersoon OCW als derde partij aan cao-overleggen in het funderend onderwijs</w:t>
      </w:r>
      <w:r w:rsidRPr="000E0F6B">
        <w:rPr>
          <w:rStyle w:val="Voetnootmarkering"/>
        </w:rPr>
        <w:footnoteReference w:id="45"/>
      </w:r>
      <w:r w:rsidRPr="000E0F6B">
        <w:t>. Het publieke belang dat samenhangt met de arbeidsvoorwaarden van leraren vereist politieke verantwoordelijkheid én invloed.</w:t>
      </w:r>
    </w:p>
    <w:p w:rsidRPr="000E0F6B" w:rsidR="005722D4" w:rsidP="000E0F6B" w:rsidRDefault="005722D4" w14:paraId="582D0B2C" w14:textId="77777777"/>
    <w:p w:rsidRPr="000E0F6B" w:rsidR="005722D4" w:rsidP="000E0F6B" w:rsidRDefault="005722D4" w14:paraId="53126E93" w14:textId="77777777">
      <w:bookmarkStart w:name="_Hlk201840610" w:id="0"/>
      <w:r w:rsidRPr="000E0F6B">
        <w:t xml:space="preserve">Een aanvullende zorg betreft de voortgang rond de opslagfactor. Deze factor, die bepaalt hoeveel tijd leraren krijgen voor het primaire onderwijsproces ten opzichte van andere taken, is essentieel voor de aantrekkelijkheid van het beroep en de kwaliteit van het lesgeven. </w:t>
      </w:r>
      <w:r w:rsidRPr="000E0F6B">
        <w:rPr>
          <w:color w:val="000000" w:themeColor="text1"/>
        </w:rPr>
        <w:t>Eerder hebben de leden van de NSC-fractie in een motie gepleit voor wettelijke verankering, zodat leraren structureel voldoende tijd krijgen voor hun kerntaak: het lesgeven</w:t>
      </w:r>
      <w:r w:rsidRPr="000E0F6B">
        <w:rPr>
          <w:rStyle w:val="Voetnootmarkering"/>
          <w:color w:val="000000" w:themeColor="text1"/>
        </w:rPr>
        <w:footnoteReference w:id="46"/>
      </w:r>
      <w:r w:rsidRPr="000E0F6B">
        <w:rPr>
          <w:color w:val="000000" w:themeColor="text1"/>
        </w:rPr>
        <w:t xml:space="preserve">. </w:t>
      </w:r>
      <w:r w:rsidRPr="000E0F6B">
        <w:t>De staatssecretaris heeft destijds aangegeven deze stap pas te willen overwegen na afloop van de lopende cao-onderhandelingen. Nu het er echter op lijkt dat de bonden en de raden er niet tijdig uit zullen komen en er geen breed gedragen raamwerk tot stand komt, overweegt deze fractie de motie alsnog in stemming te brengen.</w:t>
      </w:r>
    </w:p>
    <w:bookmarkEnd w:id="0"/>
    <w:p w:rsidRPr="000E0F6B" w:rsidR="005722D4" w:rsidP="000E0F6B" w:rsidRDefault="005722D4" w14:paraId="0528E435" w14:textId="77777777"/>
    <w:p w:rsidRPr="000E0F6B" w:rsidR="005722D4" w:rsidP="000E0F6B" w:rsidRDefault="005722D4" w14:paraId="0CC780D3" w14:textId="77777777">
      <w:r w:rsidRPr="000E0F6B">
        <w:t>Tegelijkertijd willen de leden van de NSC-fractie ook positieve ontwikkelingen benoemen. De stijging van het aantal scholen dat werkt met een eigen verbeterplan basisvaardigheden en de betere verankering van doelen binnen het masterplan zijn bemoedigende tekenen dat er, althans op onderdelen, systematischer wordt gestuurd op onderwijskwaliteit. Deze inzet moet worden verbreed en bestendigd.</w:t>
      </w:r>
    </w:p>
    <w:p w:rsidRPr="000E0F6B" w:rsidR="005722D4" w:rsidP="000E0F6B" w:rsidRDefault="005722D4" w14:paraId="5CA5E1A3" w14:textId="77777777"/>
    <w:p w:rsidRPr="000E0F6B" w:rsidR="005722D4" w:rsidP="000E0F6B" w:rsidRDefault="005722D4" w14:paraId="62CE12E3" w14:textId="77777777">
      <w:r w:rsidRPr="000E0F6B">
        <w:t>De leden van de NSC-fractie merken daarbij wel op dat de eerste opbrengstenrapportages van het masterplan grotendeels gebaseerd zijn op zelfrapportage waarbij scholen zelf het effect van de subsidie inschatten. Deze leden hebben zorgen over de robuustheid van deze methode. Wanneer verwacht de staatssecretaris op basis van onafhankelijk onderzoek definitieve uitspraken te kunnen doen over effectiviteit? En komt er ook een herstelplan dat hierop anticipeert? Deze leden zien uit naar de reactie van de staatssecretaris op bovenstaande punten.</w:t>
      </w:r>
    </w:p>
    <w:p w:rsidR="002A55D6" w:rsidP="000E0F6B" w:rsidRDefault="002A55D6" w14:paraId="3F9DF164" w14:textId="77777777"/>
    <w:p w:rsidRPr="000E0F6B" w:rsidR="005722D4" w:rsidP="000E0F6B" w:rsidRDefault="005722D4" w14:paraId="197BF838" w14:textId="1C1A7F9A">
      <w:r w:rsidRPr="000E0F6B">
        <w:t xml:space="preserve">Overigens merken de leden van de NSC-fractie op dat er recent onduidelijkheid is ontstaan over de uitvoering van de toegezegde onderzoeken naar de doorstroomtoets. De staatssecretaris gaf eerder aan twee onderzoeken te zullen starten: één gericht op de validiteit en effectiviteit van verschillende </w:t>
      </w:r>
      <w:proofErr w:type="spellStart"/>
      <w:r w:rsidRPr="000E0F6B">
        <w:t>toetsaanbieders</w:t>
      </w:r>
      <w:proofErr w:type="spellEnd"/>
      <w:r w:rsidRPr="000E0F6B">
        <w:t xml:space="preserve"> en één op de wenselijkheid van een uniforme toets. Inmiddels blijkt echter dat slechts één onderzoek is gestart en dat dit bovendien een andere opzet kent dan eerder werd voorgespiegeld. Het tweede onderzoek lijkt zelfs geheel te zijn uitgebleven. Deze leden vragen de staatssecretaris daarom om uitleg: waarom is het eerste onderzoek niet van de grond gekomen? Waarom wijkt het tweede onderzoek af van de oorspronkelijke toezegging? En kan alsnog worden toegezegd dat beide typen onderzoeken worden uitgevoerd - inclusief onafhankelijke begeleiding, duidelijke doelstelling en betrokkenheid van veld en Kamer?</w:t>
      </w:r>
    </w:p>
    <w:p w:rsidRPr="000E0F6B" w:rsidR="005722D4" w:rsidP="000E0F6B" w:rsidRDefault="005722D4" w14:paraId="43EE4805" w14:textId="77777777"/>
    <w:p w:rsidRPr="000E0F6B" w:rsidR="005722D4" w:rsidP="000E0F6B" w:rsidRDefault="005722D4" w14:paraId="274DD331" w14:textId="77777777">
      <w:r w:rsidRPr="000E0F6B">
        <w:t>Alles in het onderwijs staat of valt met de leraar voor de klas. Het menselijke contact, pedagogische vertrouwen en vakmanschap vormen de basis van goed onderwijs. De leden van de NSC-fractie vragen hoe de bewindspersonen deze kern - de leraar - structureel centraal blijft stellen in beleid, financiering en toezicht.</w:t>
      </w:r>
    </w:p>
    <w:p w:rsidRPr="000E0F6B" w:rsidR="005722D4" w:rsidP="000E0F6B" w:rsidRDefault="005722D4" w14:paraId="6FABBD70" w14:textId="77777777"/>
    <w:p w:rsidRPr="000E0F6B" w:rsidR="005722D4" w:rsidP="000E0F6B" w:rsidRDefault="005722D4" w14:paraId="2A8F6C32" w14:textId="77777777">
      <w:pPr>
        <w:rPr>
          <w:i/>
          <w:iCs/>
        </w:rPr>
      </w:pPr>
      <w:r w:rsidRPr="000E0F6B">
        <w:rPr>
          <w:i/>
          <w:iCs/>
        </w:rPr>
        <w:t>Middelbaar beroepsonderwijs: waardering, aansluiting en menselijke maat</w:t>
      </w:r>
    </w:p>
    <w:p w:rsidRPr="000E0F6B" w:rsidR="005722D4" w:rsidP="000E0F6B" w:rsidRDefault="005722D4" w14:paraId="5B369367" w14:textId="77777777">
      <w:r w:rsidRPr="000E0F6B">
        <w:t>De leden van de NSC-fractie onderstrepen het belang van een volwaardige positie van het middelbaar beroepsonderwijs binnen het onderwijsstelsel. Mbo-studenten verdienen dezelfde maatschappelijke waardering als studenten in het hoger onderwijs. Deze leden willen benadrukken dat het mbo geen ‘</w:t>
      </w:r>
      <w:proofErr w:type="spellStart"/>
      <w:r w:rsidRPr="000E0F6B">
        <w:t>handjesfabriek</w:t>
      </w:r>
      <w:proofErr w:type="spellEnd"/>
      <w:r w:rsidRPr="000E0F6B">
        <w:t>’ is, maar een cruciaal fundament voor vakmanschap, brede vorming en economische weerbaarheid. Het centraal stellen van de menselijke maat geldt ook hier als uitgangspunt.</w:t>
      </w:r>
    </w:p>
    <w:p w:rsidRPr="000E0F6B" w:rsidR="005722D4" w:rsidP="000E0F6B" w:rsidRDefault="005722D4" w14:paraId="57C1BD12" w14:textId="77777777"/>
    <w:p w:rsidRPr="000E0F6B" w:rsidR="005722D4" w:rsidP="000E0F6B" w:rsidRDefault="005722D4" w14:paraId="3E7F2F89" w14:textId="77777777">
      <w:r w:rsidRPr="000E0F6B">
        <w:t>Het is belangrijk dat het mbo studenten opleidt tot zelfverzekerde vaklieden die zich duurzaam en vooral met veel trots op de arbeidsmarkt kunnen aanbieden. Dat is goed voor hun bestaanszekerheid én voor de samenleving. Idealiter worden zij daarbij zoveel mogelijk opgeleid voor die beroepen die het grootste maatschappelijke belang dienen en wordt gekeken naar manieren om dit stelselmatig te sturen, bijvoorbeeld door kunstmatig in te grijpen op het opleidingsaanbod.</w:t>
      </w:r>
    </w:p>
    <w:p w:rsidRPr="000E0F6B" w:rsidR="005722D4" w:rsidP="000E0F6B" w:rsidRDefault="005722D4" w14:paraId="304F6600" w14:textId="77777777"/>
    <w:p w:rsidRPr="000E0F6B" w:rsidR="005722D4" w:rsidP="000E0F6B" w:rsidRDefault="005722D4" w14:paraId="7108CF8F" w14:textId="77777777">
      <w:r w:rsidRPr="000E0F6B">
        <w:t>Tegelijkertijd willen de leden van de NSC-fractie nadrukkelijk waarschuwen voor de tendens om het mbo louter als ‘</w:t>
      </w:r>
      <w:proofErr w:type="spellStart"/>
      <w:r w:rsidRPr="000E0F6B">
        <w:t>handjesfabriek</w:t>
      </w:r>
      <w:proofErr w:type="spellEnd"/>
      <w:r w:rsidRPr="000E0F6B">
        <w:t>’ te zien. Wie mbo-studenten reduceert tot uitvoerende krachten ondergraaft niet alleen hun zelfrespect maar ook het maatschappelijke draagvlak voor onmisbare beroepen. Men kan niet verwachten van jongeren dat zij voor werk kiezen dat vanuit maatschappelijk oogpunt het meest urgent is (maar ook vaak zwaar of om andere redenen minder aantrekkelijk) als zij niet ook voor volwaardig wordt aanzien. Wederkerigheid en menselijkheid zijn voor deze leden de basis van een duurzaam maatschappelijk verdrag.</w:t>
      </w:r>
    </w:p>
    <w:p w:rsidRPr="000E0F6B" w:rsidR="005722D4" w:rsidP="000E0F6B" w:rsidRDefault="005722D4" w14:paraId="7A0F9EAD" w14:textId="77777777"/>
    <w:p w:rsidRPr="000E0F6B" w:rsidR="005722D4" w:rsidP="000E0F6B" w:rsidRDefault="005722D4" w14:paraId="44474B42" w14:textId="77777777">
      <w:r w:rsidRPr="000E0F6B">
        <w:t>Daarom moet het mbo een plek zijn waar de menselijke maat centraal staat en persoonlijke aandacht de norm is - vooral van docent naar student. Want ook didactisch geloven de leden van de NSC-fractie dat voldoende klassikale les en persoonlijk contact essentieel zijn voor goed leren. Bovendien geldt: scholieren moeten per slot van rekening gewoon waar krijgen voor het onderwijsgeld dat ze betalen.</w:t>
      </w:r>
    </w:p>
    <w:p w:rsidRPr="000E0F6B" w:rsidR="005722D4" w:rsidP="000E0F6B" w:rsidRDefault="005722D4" w14:paraId="7E1EF8EA" w14:textId="77777777"/>
    <w:p w:rsidR="005722D4" w:rsidP="000E0F6B" w:rsidRDefault="005722D4" w14:paraId="0B70D7CF" w14:textId="2142F9BC">
      <w:r w:rsidRPr="000E0F6B">
        <w:t xml:space="preserve">De leden van de NSC-fractie wijzen in dit verband ook op hun zorgen bij het wetsvoorstel Verbetering aansluiting beroepsonderwijs en arbeidsmarkt. Deze leden herinneren de minister eraan dat de huidige lesurennorm in 2014 is ingevoerd naar aanleiding van structurele klachten over lesuitval, zwakke examens en een overmatige nadruk op beroepspraktijkvorming in de </w:t>
      </w:r>
      <w:r w:rsidR="00812F12">
        <w:t>bol</w:t>
      </w:r>
      <w:r w:rsidRPr="000E0F6B">
        <w:t>-route. Sinds die invoering is niet alleen de kwaliteit van het mbo aantoonbaar verbeterd, ook het aantal voortijdige schoolverlaters is gedaald.</w:t>
      </w:r>
    </w:p>
    <w:p w:rsidRPr="000E0F6B" w:rsidR="002A55D6" w:rsidP="000E0F6B" w:rsidRDefault="002A55D6" w14:paraId="4946793C" w14:textId="77777777"/>
    <w:p w:rsidRPr="000E0F6B" w:rsidR="005722D4" w:rsidP="000E0F6B" w:rsidRDefault="005722D4" w14:paraId="0313E8E2" w14:textId="77777777">
      <w:r w:rsidRPr="000E0F6B">
        <w:t>Tegen die achtergrond vinden deze leden het problematisch dat nu, op basis van “signalen [die] in aantal beperkt zijn”</w:t>
      </w:r>
      <w:r w:rsidRPr="000E0F6B">
        <w:rPr>
          <w:rStyle w:val="Voetnootmarkering"/>
        </w:rPr>
        <w:footnoteReference w:id="47"/>
      </w:r>
      <w:r w:rsidRPr="000E0F6B">
        <w:t>, wordt voorgesteld de urennorm te versoepelen. Het wetsvoorstel introduceert een bredere definitie van onderwijsactiviteiten waaronder ook werkvormen vallen waarin docenten slechts beperkt fysiek aanwezig zijn. Hoewel innovatie op zichzelf niet wordt afgewezen, vrezen de leden van de NSC-fractie dat dit ten koste zal gaan van het directe contact tussen docent en student, en daarmee van de kwaliteit van het onderwijs.</w:t>
      </w:r>
    </w:p>
    <w:p w:rsidRPr="000E0F6B" w:rsidR="005722D4" w:rsidP="000E0F6B" w:rsidRDefault="005722D4" w14:paraId="2DD9E0EC" w14:textId="77777777"/>
    <w:p w:rsidRPr="000E0F6B" w:rsidR="005722D4" w:rsidP="000E0F6B" w:rsidRDefault="005722D4" w14:paraId="1A9687C5" w14:textId="77777777">
      <w:r w:rsidRPr="000E0F6B">
        <w:t>Daar komt bij dat de beoogde alternatieven veelal neerkomen op zelfstandig werken, hybride contexten en externe opdrachten. Die kunnen waardevol zijn, maar mogen niet de kern van het beroepsonderwijs vervangen: klassikale instructie, begeleiding en persoonlijke aandacht. Wat de leden van de NSC-fractie betreft moet het mbo een plek blijven waar de menselijke maat centraal staat. Studenten verdienen goed onderwijs, voldoende begeleide lesuren en waar voor hun geld. Deze leden vragen de minister daarom of hij bereid is het wetsvoorstel opnieuw te wegen, mede in het licht van de oorspronkelijke redenen voor de invoering van de urennorm en de risico’s voor onderwijskwaliteit en gelijke kansen.</w:t>
      </w:r>
    </w:p>
    <w:p w:rsidRPr="000E0F6B" w:rsidR="005722D4" w:rsidP="000E0F6B" w:rsidRDefault="005722D4" w14:paraId="1BE3465E" w14:textId="77777777"/>
    <w:p w:rsidRPr="000E0F6B" w:rsidR="005722D4" w:rsidP="000E0F6B" w:rsidRDefault="005722D4" w14:paraId="790F47A8" w14:textId="77777777">
      <w:r w:rsidRPr="000E0F6B">
        <w:t>Tot slot signaleren de leden van de NSC-fractie dat de waardering voor het mbo niet los kan worden gezien van de discussie over doelmatigheid in het hoger onderwijs. Het IBO-rapport Talent op de juiste plek laat zien dat een aanzienlijk deel van de hoger opgeleiden mogelijk overgekwalificeerd is voor het werk dat zij doen en dat theoretisch geschoolden op de arbeidsmarkt structureel worden overgewaardeerd. Dit staat in schril contrast met het gebrek aan maatschappelijke waardering waar mbo-studenten nog te vaak mee te maken hebben, terwijl zij juist het fundament vormen van essentiële sectoren als zorg, techniek en dienstverlening. Tegen die achtergrond achten deze leden het van groot belang dat het kabinet actief bijdraagt aan een cultuurverandering waarin het beroepsonderwijs niet langer als tweede keus wordt gezien, maar als een volwaardige en gewaardeerde route naar maatschappelijke bijdrage en bestaanszekerheid. Het versterken van de positie van mbo’ers - zowel in sociale waardering als in onderwijsbeleid - is volgens deze leden essentieel voor een evenwichtiger en doelmatiger onderwijssysteem. Zij vragen de minister daarom of hij bereid is om actief te sturen op een onderwijsaanbod waarin ook beroepsonderwijs de ruimte en waardering krijgt die het verdient.</w:t>
      </w:r>
    </w:p>
    <w:p w:rsidRPr="000E0F6B" w:rsidR="005722D4" w:rsidP="000E0F6B" w:rsidRDefault="005722D4" w14:paraId="5A3CEB1F" w14:textId="77777777"/>
    <w:p w:rsidRPr="000E0F6B" w:rsidR="005722D4" w:rsidP="000E0F6B" w:rsidRDefault="005722D4" w14:paraId="6E14DE19" w14:textId="77777777">
      <w:pPr>
        <w:rPr>
          <w:i/>
          <w:iCs/>
        </w:rPr>
      </w:pPr>
      <w:r w:rsidRPr="000E0F6B">
        <w:rPr>
          <w:i/>
          <w:iCs/>
        </w:rPr>
        <w:t>Hoger onderwijs en wetenschap: sturing, bekostiging en publieke verantwoordelijkheid</w:t>
      </w:r>
    </w:p>
    <w:p w:rsidRPr="000E0F6B" w:rsidR="005722D4" w:rsidP="000E0F6B" w:rsidRDefault="005722D4" w14:paraId="31995D1E" w14:textId="77777777">
      <w:r w:rsidRPr="000E0F6B">
        <w:t>De leden van de NSC-fractie constateren dat ook in het hoger onderwijs structurele tekortkomingen bestaan in sturing, bekostiging en publieke verantwoording. Een eerste zorg betreft het gebrek aan transparantie over de kosten van opleidingen. Zoals recent nog werd geconcludeerd in het IBO-rapport Talent op de juiste plek, ontbreekt het de Rijksoverheid aan zicht op wat een opleiding daadwerkelijk kost. Ook is niet duidelijk waarom instellingen onderling verschillende bedragen aan vaste voet ontvangen, een situatie die historisch is gegroeid maar die zich moeilijk laat verenigen met de beginselen van doelmatigheid, doeltreffendheid en gelijke behandeling.</w:t>
      </w:r>
    </w:p>
    <w:p w:rsidRPr="000E0F6B" w:rsidR="005722D4" w:rsidP="000E0F6B" w:rsidRDefault="005722D4" w14:paraId="63962170" w14:textId="77777777"/>
    <w:p w:rsidRPr="000E0F6B" w:rsidR="005722D4" w:rsidP="000E0F6B" w:rsidRDefault="005722D4" w14:paraId="118DA1DA" w14:textId="77777777">
      <w:r w:rsidRPr="000E0F6B">
        <w:t>De leden van de NSC-fractie constateren daarnaast dat de bekostiging van kennisveiligheid, hoewel cruciaal voor de nationale veiligheid, nu voor een belangrijk deel wordt gedragen vanuit het fonds Onderzoek en Wetenschap. Deze leden vinden het opmerkelijk dat middelen die bedoeld zijn voor de ontwikkeling van kennis worden aangewend om diezelfde kennis te beschermen, zonder dat hiervoor een adequate compensatie vanuit andere begrotingshoofdstukken (zoals Justitie en Veiligheid) wordt verstrekt. De inzet van deze middelen ondermijnt daarmee het doel waarvoor het fonds oorspronkelijk is opgericht.</w:t>
      </w:r>
    </w:p>
    <w:p w:rsidRPr="000E0F6B" w:rsidR="005722D4" w:rsidP="000E0F6B" w:rsidRDefault="005722D4" w14:paraId="0186EBB6" w14:textId="77777777"/>
    <w:p w:rsidRPr="000E0F6B" w:rsidR="005722D4" w:rsidP="000E0F6B" w:rsidRDefault="005722D4" w14:paraId="300D4B7B" w14:textId="77777777">
      <w:r w:rsidRPr="000E0F6B">
        <w:t>Ook de besteding van publieke middelen in het wetenschappelijk domein roept vragen op. Het is de leden van de NSC-fractie een doorn in het oog dat wetenschappers steeds vaker forse bedragen moeten betalen om hun werk gepubliceerd te krijgen in wetenschappelijke tijdschriften, terwijl deze kosten vaak worden voldaan uit collectieve bekostiging. Dergelijke structuren leggen publieke middelen in handen van private uitgevers en dragen niet bij aan een open en rechtvaardig kennisstelsel.</w:t>
      </w:r>
    </w:p>
    <w:p w:rsidRPr="000E0F6B" w:rsidR="005722D4" w:rsidP="000E0F6B" w:rsidRDefault="005722D4" w14:paraId="09158787" w14:textId="77777777"/>
    <w:p w:rsidRPr="000E0F6B" w:rsidR="005722D4" w:rsidP="000E0F6B" w:rsidRDefault="005722D4" w14:paraId="19FCFCDB" w14:textId="77777777">
      <w:r w:rsidRPr="000E0F6B">
        <w:t xml:space="preserve">Met betrekking tot de academische vrijheid onderstrepen de leden van de NSC-fractie het belang van ruimte voor wetenschappelijke reflectie en tegenspraak. Deze leden wijzen op internationale zorgen, zoals die recentelijk in de Verenigde Staten zijn gerezen, maar ook op signalen dat de Nederlandse positie volgens de </w:t>
      </w:r>
      <w:proofErr w:type="spellStart"/>
      <w:r w:rsidRPr="000E0F6B">
        <w:t>Academic</w:t>
      </w:r>
      <w:proofErr w:type="spellEnd"/>
      <w:r w:rsidRPr="000E0F6B">
        <w:t xml:space="preserve"> </w:t>
      </w:r>
      <w:proofErr w:type="spellStart"/>
      <w:r w:rsidRPr="000E0F6B">
        <w:t>Freedom</w:t>
      </w:r>
      <w:proofErr w:type="spellEnd"/>
      <w:r w:rsidRPr="000E0F6B">
        <w:t xml:space="preserve"> Index relatief zwak is binnen de EU. Tegelijk willen zij ook wijzen op factoren binnen de academische wereld zelf die de academische vrijheid onder druk zetten: publicatiedruk, belangenverstrengeling, gebrekkige transparantie over nevenfuncties en de hoge kosten van publiceren. Universiteiten zouden zich, aldus deze leden, kritisch moeten bezinnen op hun eigen bijdrage aan het behoud van academische vrijheid. In dat licht vragen deze leden ook aandacht voor het belang van academisch burgerschap. Deelt de minister de visie dat een academische opleiding ook moet bijdragen aan de vorming van vrij en onafhankelijk denkende burgers? En hoe kan dit beter worden verankerd in curricula? </w:t>
      </w:r>
    </w:p>
    <w:p w:rsidRPr="000E0F6B" w:rsidR="005722D4" w:rsidP="000E0F6B" w:rsidRDefault="005722D4" w14:paraId="197D1F3C" w14:textId="77777777"/>
    <w:p w:rsidRPr="000E0F6B" w:rsidR="005722D4" w:rsidP="000E0F6B" w:rsidRDefault="005722D4" w14:paraId="70240F6E" w14:textId="77777777">
      <w:r w:rsidRPr="000E0F6B">
        <w:t>Wat betreft internationalisering erkennen de leden van de NSC-fractie de waarde van buitenlandse studenten voor de Nederlandse kenniseconomie en arbeidsmarkt. Tegelijkertijd constateren deze leden dat veel EER</w:t>
      </w:r>
      <w:r w:rsidRPr="000E0F6B">
        <w:rPr>
          <w:rStyle w:val="Voetnootmarkering"/>
        </w:rPr>
        <w:footnoteReference w:id="48"/>
      </w:r>
      <w:r w:rsidRPr="000E0F6B">
        <w:t>-studenten door de overheid worden bekostigd, gebruikmaken van studiefinanciering en ov-vergoedingen, terwijl een substantieel deel na afstuderen Nederland weer verlaat. Dit leidt tot een structureel weglekken van publieke middelen zonder maatschappelijk rendement. Deze leden pleiten daarom voor meer balans in het internationaliseringsbeleid en vragen de minister of hij bereid is om, in Europees verband, te verkennen hoe deze publieke lasten eerlijker kunnen worden verdeeld. Ook vragen zij hoe de minister denkt over het aanscherpen van het arbeidsmarktcriterium in de Toets Anderstalig Onderwijs, zodat opleidingen beter moeten onderbouwen dat internationale studenten daadwerkelijk bijdragen aan de Nederlandse arbeidsmarkt.</w:t>
      </w:r>
    </w:p>
    <w:p w:rsidRPr="000E0F6B" w:rsidR="005722D4" w:rsidP="000E0F6B" w:rsidRDefault="005722D4" w14:paraId="3270F439" w14:textId="77777777"/>
    <w:p w:rsidRPr="000E0F6B" w:rsidR="005722D4" w:rsidP="000E0F6B" w:rsidRDefault="005722D4" w14:paraId="3255F750" w14:textId="77777777">
      <w:r w:rsidRPr="000E0F6B">
        <w:t>In dat kader vragen de leden van de NSC-fractie tevens aandacht voor de implementatie van de Wet internationalisering in balans. Hoewel deze leden de motie van het lid Krul c.s.</w:t>
      </w:r>
      <w:r w:rsidRPr="000E0F6B">
        <w:rPr>
          <w:rStyle w:val="Voetnootmarkering"/>
        </w:rPr>
        <w:footnoteReference w:id="49"/>
      </w:r>
      <w:r w:rsidRPr="000E0F6B">
        <w:t xml:space="preserve"> hebben meeondertekend - waarin bestaande opleidingen worden vrijgesteld van toetsing onder deze wet - hechten zij er tegelijkertijd aan dat ondoelmatige opleidingen daadwerkelijk tot een minimum worden beperkt. De plannen voor zelfregie vanuit de universiteiten zijn een stap in de goede richting maar bieden op zichzelf onvoldoende waarborg voor daadwerkelijke terughoudendheid. Deze leden vragen de minister daarom nogmaals nadrukkelijk om hier strakker op aan te sturen, en aanvullende en zo nodig bindende afspraken te maken over het beperken van internationalisering waar deze geen aantoonbare maatschappelijke meerwaarde oplevert.</w:t>
      </w:r>
    </w:p>
    <w:p w:rsidRPr="000E0F6B" w:rsidR="005722D4" w:rsidP="000E0F6B" w:rsidRDefault="005722D4" w14:paraId="26FD9247" w14:textId="77777777"/>
    <w:p w:rsidRPr="004A5085" w:rsidR="005722D4" w:rsidP="000E0F6B" w:rsidRDefault="005722D4" w14:paraId="68E17BF1" w14:textId="332D1872">
      <w:r w:rsidRPr="000E0F6B">
        <w:t>Een punt van zorg dat de leden van de NSC-fractie daarnaast onder de aandacht willen brengen</w:t>
      </w:r>
      <w:r w:rsidR="004A5085">
        <w:t>,</w:t>
      </w:r>
      <w:r w:rsidRPr="000E0F6B">
        <w:t xml:space="preserve"> betreft het mentaal welzijn en de financiële bestaanszekerheid van studenten. Ondanks recente verbeteringen, zoals de herinvoering van de basisbeurs, ervaren veel studenten nog steeds stress en onzekerheid. Het is wrang dat studenten relatief gemakkelijk grote schulden kunnen opbouwen - soms oplopend tot honderdduizend euro - terwijl diezelfde schulden hen later hard worden aangerekend bij het aanvragen van een hypotheek. Deze leden achten het essentieel dat studenten tijdig, helder en realistisch worden voorgelicht over de consequenties van het aangaan van een studielening. </w:t>
      </w:r>
      <w:bookmarkStart w:name="_Hlk201843193" w:id="1"/>
      <w:r w:rsidRPr="004A5085">
        <w:t>Zij vragen daarom opnieuw aandacht voor de motie van NSC over een gestandaardiseerde financiële bijsluiter bij studieleningen, en voor de suggestie om een DUO-app te ontwikkelen die studenten real-time en laagdrempelig inzicht biedt in hun schulden en rechten. Kan de minister toezeggen dat hier voortvarend werk van wordt gemaakt en dat, indien nodig, de uitvoering expliciet wordt overgedragen aan een eventuele opvolger?</w:t>
      </w:r>
    </w:p>
    <w:bookmarkEnd w:id="1"/>
    <w:p w:rsidRPr="000E0F6B" w:rsidR="005722D4" w:rsidP="000E0F6B" w:rsidRDefault="005722D4" w14:paraId="2D5CB7B3" w14:textId="77777777"/>
    <w:p w:rsidRPr="000E0F6B" w:rsidR="005722D4" w:rsidP="000E0F6B" w:rsidRDefault="005722D4" w14:paraId="59001E20" w14:textId="77777777">
      <w:r w:rsidRPr="000E0F6B">
        <w:t>De leden van de NSC-fractie zien ook positieve stappen bij DUO, waar digitalisering en gebruiksvriendelijkheid zijn verbeterd, mede op basis van studentenfeedback. Verdere transparantie is zichtbaar in de recente dashboards over studiefinanciering en toegankelijkheid op rijksoverheid.nl. Deze ontwikkeling verdient vervolg en verbreding.</w:t>
      </w:r>
    </w:p>
    <w:p w:rsidRPr="000E0F6B" w:rsidR="005722D4" w:rsidP="000E0F6B" w:rsidRDefault="005722D4" w14:paraId="74909221" w14:textId="77777777"/>
    <w:p w:rsidRPr="000E0F6B" w:rsidR="005722D4" w:rsidP="000E0F6B" w:rsidRDefault="005722D4" w14:paraId="6942FA64" w14:textId="77777777">
      <w:r w:rsidRPr="000E0F6B">
        <w:t>Tot slot wijzen de leden van de NSC-fractie op de noodzaak van meer regie vanuit het Rijk op het hoger onderwijsaanbod, zeker in het licht van de demografische krimp in sommige regio’s. Het rapport Elke regio telt!</w:t>
      </w:r>
      <w:r w:rsidRPr="000E0F6B">
        <w:rPr>
          <w:rStyle w:val="Voetnootmarkering"/>
        </w:rPr>
        <w:footnoteReference w:id="50"/>
      </w:r>
      <w:r w:rsidRPr="000E0F6B">
        <w:t xml:space="preserve"> maakt duidelijk dat gerichte spreiding van het aanbod cruciaal is voor regionale bereikbaarheid en brede welvaart. Ook het IBO-rapport Talent op de juiste plek wijst op het belang van een doelmatiger stelsel waarin instellingen niet alleen gestuurd worden door studentenaantallen en rendementsprikkels, maar bijdragen aan maatschappelijke behoeften. Deze leden vragen hoe de minister deze sturingsrol in de toekomst steviger wil invullen.</w:t>
      </w:r>
    </w:p>
    <w:p w:rsidRPr="000E0F6B" w:rsidR="005722D4" w:rsidP="000E0F6B" w:rsidRDefault="005722D4" w14:paraId="498CB8A7" w14:textId="77777777"/>
    <w:p w:rsidRPr="000E0F6B" w:rsidR="005722D4" w:rsidP="000E0F6B" w:rsidRDefault="005722D4" w14:paraId="3694AED8" w14:textId="77777777">
      <w:r w:rsidRPr="000E0F6B">
        <w:t>De leden van de NSC-fractie zien uit naar beantwoording van de minister.</w:t>
      </w:r>
    </w:p>
    <w:p w:rsidRPr="000E0F6B" w:rsidR="005722D4" w:rsidP="000E0F6B" w:rsidRDefault="005722D4" w14:paraId="01045596" w14:textId="77777777"/>
    <w:p w:rsidRPr="000E0F6B" w:rsidR="005722D4" w:rsidP="000E0F6B" w:rsidRDefault="005722D4" w14:paraId="1E54090D" w14:textId="77777777">
      <w:pPr>
        <w:rPr>
          <w:i/>
          <w:iCs/>
        </w:rPr>
      </w:pPr>
      <w:r w:rsidRPr="000E0F6B">
        <w:rPr>
          <w:i/>
          <w:iCs/>
        </w:rPr>
        <w:t>Slotopmerkingen</w:t>
      </w:r>
    </w:p>
    <w:p w:rsidRPr="000E0F6B" w:rsidR="005722D4" w:rsidP="000E0F6B" w:rsidRDefault="005722D4" w14:paraId="18EBFBFC" w14:textId="77777777">
      <w:r w:rsidRPr="000E0F6B">
        <w:t>De leden van de NSC-fractie sluiten deze inbreng af met een fundamentele zorg: dat de kwaliteit, toegankelijkheid en legitimiteit van het onderwijsstelsel onder druk staan. De bewindspersonen van OCW slagen er structureel niet in om hierop doeltreffend en transparant te sturen. Dat is des te zorgelijker nu de samenleving vraagt om een krachtig, coherent en maatschappelijk gelegitimeerd onderwijsbeleid.</w:t>
      </w:r>
    </w:p>
    <w:p w:rsidRPr="000E0F6B" w:rsidR="005722D4" w:rsidP="000E0F6B" w:rsidRDefault="005722D4" w14:paraId="302EC3BC" w14:textId="77777777"/>
    <w:p w:rsidRPr="000E0F6B" w:rsidR="005722D4" w:rsidP="000E0F6B" w:rsidRDefault="005722D4" w14:paraId="0D17C294" w14:textId="77777777">
      <w:r w:rsidRPr="000E0F6B">
        <w:t>Hoewel de leden van de NSC-fractie erkennen dat het kabinet inmiddels demissionair is en dat fundamentele koerswijzigingen tijdens deze periode beperkt mogelijk zijn, vragen deze leden de minister of hij bereid is, mede op basis van deze inbreng en de onderliggende rapportages, te bevorderen dat een beleidsdoorlichting wordt uitgevoerd naar de doelmatigheid en doeltreffendheid van de huidige OCW-programma’s. Ook vragen zij of de minister nog voor het einde van de demissionaire kabinetsperiode de contouren wil schetsen van hoe in de toekomst kan worden toegewerkt naar een meer samenhangend en transparant onderwijsbeleid, en hoe hij zijn opvolger hierin zorgvuldig wil meenemen.</w:t>
      </w:r>
    </w:p>
    <w:p w:rsidRPr="000E0F6B" w:rsidR="005722D4" w:rsidP="000E0F6B" w:rsidRDefault="005722D4" w14:paraId="6390573B" w14:textId="77777777"/>
    <w:p w:rsidRPr="000E0F6B" w:rsidR="005722D4" w:rsidP="000E0F6B" w:rsidRDefault="005722D4" w14:paraId="336F621E" w14:textId="77777777">
      <w:r w:rsidRPr="000E0F6B">
        <w:t>De leden van de NSC-fractie pleiten voor keuzes gebaseerd op inzicht en effectiviteit. Voor een overheid die prioriteert, bijstuurt waar nodig, en stopt met maatregelen die geen meerwaarde opleveren. Dit vereist politieke moed en beleidsmatige discipline.</w:t>
      </w:r>
    </w:p>
    <w:p w:rsidRPr="000E0F6B" w:rsidR="005722D4" w:rsidP="000E0F6B" w:rsidRDefault="005722D4" w14:paraId="5313D571" w14:textId="77777777"/>
    <w:p w:rsidRPr="000E0F6B" w:rsidR="005722D4" w:rsidP="000E0F6B" w:rsidRDefault="005722D4" w14:paraId="3AF020E6" w14:textId="77777777">
      <w:r w:rsidRPr="000E0F6B">
        <w:t>De zorgen in deze inbreng staan niet op zichzelf. Zij sluiten aan bij bredere signalen vanuit adviesraden, inspecties en maatschappelijke organisaties. De gedeelde boodschap is helder: er is behoefte aan bezinning én koerswijziging.</w:t>
      </w:r>
    </w:p>
    <w:p w:rsidRPr="000E0F6B" w:rsidR="005722D4" w:rsidP="000E0F6B" w:rsidRDefault="005722D4" w14:paraId="292AF105" w14:textId="77777777"/>
    <w:p w:rsidRPr="000E0F6B" w:rsidR="005722D4" w:rsidP="000E0F6B" w:rsidRDefault="005722D4" w14:paraId="6F6D2202" w14:textId="77777777">
      <w:r w:rsidRPr="000E0F6B">
        <w:t>Ten slotte spreken de leden van de NSC-fractie de hoop uit dat de huidige minister, zolang hij deze verantwoordelijkheid draagt, zorgdraagt voor een goed voorbereide overdracht aan zijn opvolger, waarin ook het belang van een overkoepelende en samenhangende onderwijsvisie wordt onderstreept. Deze leden vragen hoe de bewindspersonen, ondanks de demissionaire status, borgen dat belangrijke programma’s en verbetertrajecten geen stilstand kennen. Welke maatregelen nemen de bewindspersonen om voor continuïteit te zorgen en op welke wijze worden prioriteiten en dossiers overgedragen aan een volgend kabinet?</w:t>
      </w:r>
    </w:p>
    <w:p w:rsidRPr="000E0F6B" w:rsidR="005722D4" w:rsidP="000E0F6B" w:rsidRDefault="005722D4" w14:paraId="48BE94B9" w14:textId="77777777"/>
    <w:p w:rsidRPr="000E0F6B" w:rsidR="005722D4" w:rsidP="000E0F6B" w:rsidRDefault="005722D4" w14:paraId="525C498F" w14:textId="77777777">
      <w:pPr>
        <w:rPr>
          <w:i/>
          <w:iCs/>
        </w:rPr>
      </w:pPr>
      <w:r w:rsidRPr="000E0F6B">
        <w:rPr>
          <w:i/>
          <w:iCs/>
        </w:rPr>
        <w:t>VI. Oproep tot een samenhangende onderwijsvisie</w:t>
      </w:r>
    </w:p>
    <w:p w:rsidRPr="000E0F6B" w:rsidR="005722D4" w:rsidP="000E0F6B" w:rsidRDefault="005722D4" w14:paraId="510A4CFA" w14:textId="15E6317C">
      <w:r w:rsidRPr="000E0F6B">
        <w:t>Voor de leden van de NSC-fractie is het van groot belang dat er een samenhangende visie komt op het Nederlandse onderwijsstelsel als geheel. De uitdagingen zijn immers niet sectoraal, maar systeemgericht: lerarentekort, regeldruk, onderwijskwaliteit, internationalisering, bekostiging, toegankelijkheid en digitale transitie zijn verweven problemen die om een integrale benadering vragen.</w:t>
      </w:r>
    </w:p>
    <w:p w:rsidRPr="000E0F6B" w:rsidR="005722D4" w:rsidP="000E0F6B" w:rsidRDefault="005722D4" w14:paraId="1337EA57" w14:textId="77777777">
      <w:r w:rsidRPr="000E0F6B">
        <w:t>Een dergelijke visie zou moeten uitgaan van heldere, gezamenlijke doelstellingen - bijvoorbeeld als het gaat om de afstemming tussen funderend en vervolgonderwijs of om het verbinden van onderwijsaanbod aan demografische en regionale ontwikkelingen - en van een gedeelde verantwoordelijkheid van overheid en onderwijsveld, binnen voorspelbare kaders die ruimte laten voor maatwerk. Alleen zo ontstaat er beleidsrust, vertrouwen en een stelsel dat bijdraagt aan brede welvaart en sociale samenhang.</w:t>
      </w:r>
    </w:p>
    <w:p w:rsidRPr="000E0F6B" w:rsidR="005722D4" w:rsidP="000E0F6B" w:rsidRDefault="005722D4" w14:paraId="6325C513" w14:textId="77777777">
      <w:r w:rsidRPr="000E0F6B">
        <w:t xml:space="preserve"> </w:t>
      </w:r>
    </w:p>
    <w:p w:rsidRPr="000E0F6B" w:rsidR="00D32557" w:rsidP="000E0F6B" w:rsidRDefault="00D32557" w14:paraId="5FD8A419" w14:textId="21BDA32F">
      <w:pPr>
        <w:rPr>
          <w:b/>
        </w:rPr>
      </w:pPr>
      <w:r w:rsidRPr="000E0F6B">
        <w:rPr>
          <w:b/>
        </w:rPr>
        <w:t>Inbreng van de leden van de D66-fractie</w:t>
      </w:r>
    </w:p>
    <w:p w:rsidRPr="000E0F6B" w:rsidR="00DB5661" w:rsidP="000E0F6B" w:rsidRDefault="00DB5661" w14:paraId="526A8FF8" w14:textId="19F668FE">
      <w:pPr>
        <w:pStyle w:val="Default"/>
        <w:rPr>
          <w:rFonts w:ascii="Times New Roman" w:hAnsi="Times New Roman" w:cs="Times New Roman"/>
          <w:bCs/>
        </w:rPr>
      </w:pPr>
      <w:r w:rsidRPr="000E0F6B">
        <w:rPr>
          <w:rFonts w:ascii="Times New Roman" w:hAnsi="Times New Roman" w:cs="Times New Roman"/>
          <w:bCs/>
        </w:rPr>
        <w:t xml:space="preserve">De leden van de D66-fractie constateren met grote zorg dat het onderwijsbeleid van dit kabinet zich kenmerkt door afbraak in plaats van vooruitgang. Terwijl eerdere kabinetten prioriteit gaven aan onderwijs, kiest dit kabinet de grootste onderwijsbezuiniging in decennia. Met een totaalpakket van bijna </w:t>
      </w:r>
      <w:r w:rsidRPr="000E0F6B" w:rsidR="00CA2AE4">
        <w:rPr>
          <w:rFonts w:ascii="Times New Roman" w:hAnsi="Times New Roman" w:cs="Times New Roman"/>
          <w:bCs/>
        </w:rPr>
        <w:t>€2</w:t>
      </w:r>
      <w:r w:rsidRPr="000E0F6B">
        <w:rPr>
          <w:rFonts w:ascii="Times New Roman" w:hAnsi="Times New Roman" w:cs="Times New Roman"/>
          <w:bCs/>
        </w:rPr>
        <w:t xml:space="preserve"> miljard aan bezuinigingen op onderwijs en onderzoek laat het kabinet zien dat kennisontwikkeling niet tot de kern van zijn prioriteiten behoort. Deze leden vinden dat pijnlijk, zeker in een tijd waarin Nederland juist behoefte heeft aan een sterke kenniseconomie, goed opgeleide vakmensen en eerlijke kansen voor elk kind.</w:t>
      </w:r>
    </w:p>
    <w:p w:rsidRPr="000E0F6B" w:rsidR="00DB5661" w:rsidP="000E0F6B" w:rsidRDefault="00DB5661" w14:paraId="4F0F2275" w14:textId="77777777">
      <w:pPr>
        <w:pStyle w:val="Default"/>
        <w:rPr>
          <w:rFonts w:ascii="Times New Roman" w:hAnsi="Times New Roman" w:cs="Times New Roman"/>
          <w:bCs/>
        </w:rPr>
      </w:pPr>
    </w:p>
    <w:p w:rsidRPr="000E0F6B" w:rsidR="00DB5661" w:rsidP="000E0F6B" w:rsidRDefault="00DB5661" w14:paraId="5D21FB94" w14:textId="696212EC">
      <w:pPr>
        <w:pStyle w:val="Default"/>
        <w:rPr>
          <w:rFonts w:ascii="Times New Roman" w:hAnsi="Times New Roman" w:cs="Times New Roman"/>
          <w:bCs/>
        </w:rPr>
      </w:pPr>
      <w:r w:rsidRPr="000E0F6B">
        <w:rPr>
          <w:rFonts w:ascii="Times New Roman" w:hAnsi="Times New Roman" w:cs="Times New Roman"/>
          <w:bCs/>
        </w:rPr>
        <w:t>De leden van de D66-fractie benadrukken dat onderwijs een investering is in onze samenleving. Erkent de minister dit</w:t>
      </w:r>
      <w:r w:rsidRPr="000E0F6B" w:rsidR="00CA2AE4">
        <w:rPr>
          <w:rFonts w:ascii="Times New Roman" w:hAnsi="Times New Roman" w:cs="Times New Roman"/>
          <w:bCs/>
        </w:rPr>
        <w:t>?</w:t>
      </w:r>
      <w:r w:rsidRPr="000E0F6B">
        <w:rPr>
          <w:rFonts w:ascii="Times New Roman" w:hAnsi="Times New Roman" w:cs="Times New Roman"/>
          <w:bCs/>
        </w:rPr>
        <w:t xml:space="preserve"> Waarom wordt er dan toch voor gekozen te bezuinigingen op alle niveaus: van basisscholen tot universiteiten</w:t>
      </w:r>
      <w:r w:rsidRPr="000E0F6B" w:rsidR="00CA2AE4">
        <w:rPr>
          <w:rFonts w:ascii="Times New Roman" w:hAnsi="Times New Roman" w:cs="Times New Roman"/>
          <w:bCs/>
        </w:rPr>
        <w:t>?</w:t>
      </w:r>
      <w:r w:rsidRPr="000E0F6B">
        <w:rPr>
          <w:rFonts w:ascii="Times New Roman" w:hAnsi="Times New Roman" w:cs="Times New Roman"/>
          <w:bCs/>
        </w:rPr>
        <w:t xml:space="preserve"> Bijvoorbeeld het schrappen van de subsidie voor brede brugklassen en het afbouwen van programma’s zoals School en Omgeving zijn voor deze leden onbegrijpelijke keuzes. Deze maatregelen raken juist kinderen en jongeren in kwetsbare posities. </w:t>
      </w:r>
      <w:r w:rsidRPr="000E0F6B" w:rsidR="00B24C22">
        <w:rPr>
          <w:rFonts w:ascii="Times New Roman" w:hAnsi="Times New Roman" w:cs="Times New Roman"/>
          <w:bCs/>
        </w:rPr>
        <w:t>Zij</w:t>
      </w:r>
      <w:r w:rsidRPr="000E0F6B">
        <w:rPr>
          <w:rFonts w:ascii="Times New Roman" w:hAnsi="Times New Roman" w:cs="Times New Roman"/>
          <w:bCs/>
        </w:rPr>
        <w:t xml:space="preserve"> constateren daarbij een patroon: telkens weer zijn het de leerlingen met de grootste achterstanden die het hardst geraakt worden. Het kabinet stapelt bezuiniging op bezuiniging. Eerst werd de brede brugklas geraakt, gevolgd door het onderwijsachterstandenbeleid, daarna het programma School en Omgeving, nu de onderwijskansenregeling. </w:t>
      </w:r>
      <w:r w:rsidRPr="000E0F6B" w:rsidR="00B24C22">
        <w:rPr>
          <w:rFonts w:ascii="Times New Roman" w:hAnsi="Times New Roman" w:cs="Times New Roman"/>
          <w:bCs/>
        </w:rPr>
        <w:t>De leden van de D66-fractie</w:t>
      </w:r>
      <w:r w:rsidRPr="000E0F6B">
        <w:rPr>
          <w:rFonts w:ascii="Times New Roman" w:hAnsi="Times New Roman" w:cs="Times New Roman"/>
          <w:bCs/>
        </w:rPr>
        <w:t xml:space="preserve"> vragen de </w:t>
      </w:r>
      <w:r w:rsidRPr="000E0F6B" w:rsidR="00B64FCA">
        <w:rPr>
          <w:rFonts w:ascii="Times New Roman" w:hAnsi="Times New Roman" w:cs="Times New Roman"/>
          <w:bCs/>
        </w:rPr>
        <w:t>bewindspersonen</w:t>
      </w:r>
      <w:r w:rsidRPr="000E0F6B">
        <w:rPr>
          <w:rFonts w:ascii="Times New Roman" w:hAnsi="Times New Roman" w:cs="Times New Roman"/>
          <w:bCs/>
        </w:rPr>
        <w:t>: hoeveel scholen verliezen in totaal ondersteuning op meerdere fronten? Hoe voorkom</w:t>
      </w:r>
      <w:r w:rsidRPr="000E0F6B" w:rsidR="00B64FCA">
        <w:rPr>
          <w:rFonts w:ascii="Times New Roman" w:hAnsi="Times New Roman" w:cs="Times New Roman"/>
          <w:bCs/>
        </w:rPr>
        <w:t xml:space="preserve">en de bewindspersonen </w:t>
      </w:r>
      <w:r w:rsidRPr="000E0F6B">
        <w:rPr>
          <w:rFonts w:ascii="Times New Roman" w:hAnsi="Times New Roman" w:cs="Times New Roman"/>
          <w:bCs/>
        </w:rPr>
        <w:t xml:space="preserve">dat de kloof tussen scholen hierdoor verder groeit? Indien de </w:t>
      </w:r>
      <w:r w:rsidRPr="000E0F6B" w:rsidR="00B64FCA">
        <w:rPr>
          <w:rFonts w:ascii="Times New Roman" w:hAnsi="Times New Roman" w:cs="Times New Roman"/>
          <w:bCs/>
        </w:rPr>
        <w:t xml:space="preserve">bewindspersonen </w:t>
      </w:r>
      <w:r w:rsidRPr="000E0F6B">
        <w:rPr>
          <w:rFonts w:ascii="Times New Roman" w:hAnsi="Times New Roman" w:cs="Times New Roman"/>
          <w:bCs/>
        </w:rPr>
        <w:t>dit overzicht niet k</w:t>
      </w:r>
      <w:r w:rsidRPr="000E0F6B" w:rsidR="00B64FCA">
        <w:rPr>
          <w:rFonts w:ascii="Times New Roman" w:hAnsi="Times New Roman" w:cs="Times New Roman"/>
          <w:bCs/>
        </w:rPr>
        <w:t>unnen</w:t>
      </w:r>
      <w:r w:rsidRPr="000E0F6B">
        <w:rPr>
          <w:rFonts w:ascii="Times New Roman" w:hAnsi="Times New Roman" w:cs="Times New Roman"/>
          <w:bCs/>
        </w:rPr>
        <w:t xml:space="preserve"> produceren, k</w:t>
      </w:r>
      <w:r w:rsidRPr="000E0F6B" w:rsidR="00B64FCA">
        <w:rPr>
          <w:rFonts w:ascii="Times New Roman" w:hAnsi="Times New Roman" w:cs="Times New Roman"/>
          <w:bCs/>
        </w:rPr>
        <w:t xml:space="preserve">unnen zij </w:t>
      </w:r>
      <w:r w:rsidRPr="000E0F6B">
        <w:rPr>
          <w:rFonts w:ascii="Times New Roman" w:hAnsi="Times New Roman" w:cs="Times New Roman"/>
          <w:bCs/>
        </w:rPr>
        <w:t xml:space="preserve">in kaart brengen hoeveel scholen hiermee te maken hebben? </w:t>
      </w:r>
    </w:p>
    <w:p w:rsidRPr="000E0F6B" w:rsidR="00DB5661" w:rsidP="000E0F6B" w:rsidRDefault="00DB5661" w14:paraId="15ED3F29" w14:textId="77777777">
      <w:pPr>
        <w:pStyle w:val="Default"/>
        <w:rPr>
          <w:rFonts w:ascii="Times New Roman" w:hAnsi="Times New Roman" w:cs="Times New Roman"/>
          <w:bCs/>
        </w:rPr>
      </w:pPr>
    </w:p>
    <w:p w:rsidRPr="000E0F6B" w:rsidR="00DB5661" w:rsidP="000E0F6B" w:rsidRDefault="00DB5661" w14:paraId="7BBD3879" w14:textId="0A2CF3F8">
      <w:pPr>
        <w:pStyle w:val="Default"/>
        <w:rPr>
          <w:rFonts w:ascii="Times New Roman" w:hAnsi="Times New Roman" w:cs="Times New Roman"/>
          <w:bCs/>
        </w:rPr>
      </w:pPr>
      <w:r w:rsidRPr="000E0F6B">
        <w:rPr>
          <w:rFonts w:ascii="Times New Roman" w:hAnsi="Times New Roman" w:cs="Times New Roman"/>
          <w:bCs/>
        </w:rPr>
        <w:t>De leden van de D66-fractie zijn geschokt door het besluit om de onderwijskansenregeling in het voortgezet onderwijs volledig af te schaffen. Deze regeling ondersteunt honderden scholen met veel leerlingen met een achterstand. Het volledig schrappen van deze regeling zonder structureel alternatief staat haaks op elk streven naar kansengelijkheid. De</w:t>
      </w:r>
      <w:r w:rsidRPr="000E0F6B" w:rsidR="00B64FCA">
        <w:rPr>
          <w:rFonts w:ascii="Times New Roman" w:hAnsi="Times New Roman" w:cs="Times New Roman"/>
          <w:bCs/>
        </w:rPr>
        <w:t>ze</w:t>
      </w:r>
      <w:r w:rsidRPr="000E0F6B">
        <w:rPr>
          <w:rFonts w:ascii="Times New Roman" w:hAnsi="Times New Roman" w:cs="Times New Roman"/>
          <w:bCs/>
        </w:rPr>
        <w:t xml:space="preserve"> leden wijzen erop dat de </w:t>
      </w:r>
      <w:r w:rsidRPr="000E0F6B" w:rsidR="00B64FCA">
        <w:rPr>
          <w:rFonts w:ascii="Times New Roman" w:hAnsi="Times New Roman" w:cs="Times New Roman"/>
          <w:bCs/>
        </w:rPr>
        <w:t>i</w:t>
      </w:r>
      <w:r w:rsidRPr="000E0F6B">
        <w:rPr>
          <w:rFonts w:ascii="Times New Roman" w:hAnsi="Times New Roman" w:cs="Times New Roman"/>
          <w:bCs/>
        </w:rPr>
        <w:t>nspectie kortgeleden nog liet zien dat twee derde van de vmbo-leerlingen het leesniveau niet haalt. Het afpakken van extra ondersteuning op scholen waar dit het hardst nodig is, vergroot de ongelijkheid en tast de sociale rechtvaardigheid aan. Hoe reflecte</w:t>
      </w:r>
      <w:r w:rsidRPr="000E0F6B" w:rsidR="00B64FCA">
        <w:rPr>
          <w:rFonts w:ascii="Times New Roman" w:hAnsi="Times New Roman" w:cs="Times New Roman"/>
          <w:bCs/>
        </w:rPr>
        <w:t>ren de bewindspersonen</w:t>
      </w:r>
      <w:r w:rsidRPr="000E0F6B">
        <w:rPr>
          <w:rFonts w:ascii="Times New Roman" w:hAnsi="Times New Roman" w:cs="Times New Roman"/>
          <w:bCs/>
        </w:rPr>
        <w:t xml:space="preserve"> hierop?</w:t>
      </w:r>
    </w:p>
    <w:p w:rsidRPr="000E0F6B" w:rsidR="00DB5661" w:rsidP="000E0F6B" w:rsidRDefault="00DB5661" w14:paraId="1C8DC008" w14:textId="77777777">
      <w:pPr>
        <w:pStyle w:val="Default"/>
        <w:rPr>
          <w:rFonts w:ascii="Times New Roman" w:hAnsi="Times New Roman" w:cs="Times New Roman"/>
          <w:bCs/>
        </w:rPr>
      </w:pPr>
    </w:p>
    <w:p w:rsidRPr="000E0F6B" w:rsidR="00DB5661" w:rsidP="000E0F6B" w:rsidRDefault="00DB5661" w14:paraId="252C86C0" w14:textId="319C320D">
      <w:pPr>
        <w:pStyle w:val="Default"/>
        <w:rPr>
          <w:rFonts w:ascii="Times New Roman" w:hAnsi="Times New Roman" w:cs="Times New Roman"/>
          <w:bCs/>
        </w:rPr>
      </w:pPr>
      <w:r w:rsidRPr="000E0F6B">
        <w:rPr>
          <w:rFonts w:ascii="Times New Roman" w:hAnsi="Times New Roman" w:cs="Times New Roman"/>
          <w:bCs/>
        </w:rPr>
        <w:t>Ook het structureel schrappen van middelen voor de aanpak van basisvaardigheden roept vragen op. De</w:t>
      </w:r>
      <w:r w:rsidRPr="000E0F6B" w:rsidR="00B64FCA">
        <w:rPr>
          <w:rFonts w:ascii="Times New Roman" w:hAnsi="Times New Roman" w:cs="Times New Roman"/>
          <w:bCs/>
        </w:rPr>
        <w:t xml:space="preserve"> leden van de D66-fractie </w:t>
      </w:r>
      <w:r w:rsidRPr="000E0F6B">
        <w:rPr>
          <w:rFonts w:ascii="Times New Roman" w:hAnsi="Times New Roman" w:cs="Times New Roman"/>
          <w:bCs/>
        </w:rPr>
        <w:t xml:space="preserve">merken op dat de </w:t>
      </w:r>
      <w:r w:rsidRPr="000E0F6B" w:rsidR="00B64FCA">
        <w:rPr>
          <w:rFonts w:ascii="Times New Roman" w:hAnsi="Times New Roman" w:cs="Times New Roman"/>
          <w:bCs/>
        </w:rPr>
        <w:t>i</w:t>
      </w:r>
      <w:r w:rsidRPr="000E0F6B">
        <w:rPr>
          <w:rFonts w:ascii="Times New Roman" w:hAnsi="Times New Roman" w:cs="Times New Roman"/>
          <w:bCs/>
        </w:rPr>
        <w:t>nspectie in de Staat van het Onderwijs aangeeft dat de leerachterstanden als gevolg van corona deels zijn ingelopen, met name in het primair onderwijs. Dat is hoopvol en vooral te danken aan de inzet van leraren en de tijdelijke investeringen via het Nationaal Programma Onderwijs. Waarom la</w:t>
      </w:r>
      <w:r w:rsidRPr="000E0F6B" w:rsidR="00B64FCA">
        <w:rPr>
          <w:rFonts w:ascii="Times New Roman" w:hAnsi="Times New Roman" w:cs="Times New Roman"/>
          <w:bCs/>
        </w:rPr>
        <w:t xml:space="preserve">ten de bewindspersonen </w:t>
      </w:r>
      <w:r w:rsidRPr="000E0F6B">
        <w:rPr>
          <w:rFonts w:ascii="Times New Roman" w:hAnsi="Times New Roman" w:cs="Times New Roman"/>
          <w:bCs/>
        </w:rPr>
        <w:t>dat herstel nu uit de handen glippen met een structurele bezuiniging op de basisvaardigheden? De</w:t>
      </w:r>
      <w:r w:rsidRPr="000E0F6B" w:rsidR="00B24C22">
        <w:rPr>
          <w:rFonts w:ascii="Times New Roman" w:hAnsi="Times New Roman" w:cs="Times New Roman"/>
          <w:bCs/>
        </w:rPr>
        <w:t>ze</w:t>
      </w:r>
      <w:r w:rsidRPr="000E0F6B">
        <w:rPr>
          <w:rFonts w:ascii="Times New Roman" w:hAnsi="Times New Roman" w:cs="Times New Roman"/>
          <w:bCs/>
        </w:rPr>
        <w:t xml:space="preserve"> leden vragen de </w:t>
      </w:r>
      <w:r w:rsidRPr="000E0F6B" w:rsidR="00B64FCA">
        <w:rPr>
          <w:rFonts w:ascii="Times New Roman" w:hAnsi="Times New Roman" w:cs="Times New Roman"/>
          <w:bCs/>
        </w:rPr>
        <w:t xml:space="preserve">bewindspersonen </w:t>
      </w:r>
      <w:r w:rsidRPr="000E0F6B">
        <w:rPr>
          <w:rFonts w:ascii="Times New Roman" w:hAnsi="Times New Roman" w:cs="Times New Roman"/>
          <w:bCs/>
        </w:rPr>
        <w:t xml:space="preserve">hoe </w:t>
      </w:r>
      <w:r w:rsidRPr="000E0F6B" w:rsidR="00B64FCA">
        <w:rPr>
          <w:rFonts w:ascii="Times New Roman" w:hAnsi="Times New Roman" w:cs="Times New Roman"/>
          <w:bCs/>
        </w:rPr>
        <w:t>zij</w:t>
      </w:r>
      <w:r w:rsidRPr="000E0F6B">
        <w:rPr>
          <w:rFonts w:ascii="Times New Roman" w:hAnsi="Times New Roman" w:cs="Times New Roman"/>
          <w:bCs/>
        </w:rPr>
        <w:t xml:space="preserve"> de structurele bezuiniging van </w:t>
      </w:r>
      <w:r w:rsidRPr="000E0F6B" w:rsidR="00B24C22">
        <w:rPr>
          <w:rFonts w:ascii="Times New Roman" w:hAnsi="Times New Roman" w:cs="Times New Roman"/>
          <w:bCs/>
        </w:rPr>
        <w:t>€</w:t>
      </w:r>
      <w:r w:rsidRPr="000E0F6B">
        <w:rPr>
          <w:rFonts w:ascii="Times New Roman" w:hAnsi="Times New Roman" w:cs="Times New Roman"/>
          <w:bCs/>
        </w:rPr>
        <w:t>48 miljoen op basisvaardigheden k</w:t>
      </w:r>
      <w:r w:rsidRPr="000E0F6B" w:rsidR="00B64FCA">
        <w:rPr>
          <w:rFonts w:ascii="Times New Roman" w:hAnsi="Times New Roman" w:cs="Times New Roman"/>
          <w:bCs/>
        </w:rPr>
        <w:t>unnen</w:t>
      </w:r>
      <w:r w:rsidRPr="000E0F6B">
        <w:rPr>
          <w:rFonts w:ascii="Times New Roman" w:hAnsi="Times New Roman" w:cs="Times New Roman"/>
          <w:bCs/>
        </w:rPr>
        <w:t xml:space="preserve"> verenigen met </w:t>
      </w:r>
      <w:r w:rsidRPr="000E0F6B" w:rsidR="00B64FCA">
        <w:rPr>
          <w:rFonts w:ascii="Times New Roman" w:hAnsi="Times New Roman" w:cs="Times New Roman"/>
          <w:bCs/>
        </w:rPr>
        <w:t>hun</w:t>
      </w:r>
      <w:r w:rsidRPr="000E0F6B">
        <w:rPr>
          <w:rFonts w:ascii="Times New Roman" w:hAnsi="Times New Roman" w:cs="Times New Roman"/>
          <w:bCs/>
        </w:rPr>
        <w:t xml:space="preserve"> ambitie om lezen, schrijven en rekenen te verbeteren</w:t>
      </w:r>
      <w:r w:rsidRPr="000E0F6B" w:rsidR="00B64FCA">
        <w:rPr>
          <w:rFonts w:ascii="Times New Roman" w:hAnsi="Times New Roman" w:cs="Times New Roman"/>
          <w:bCs/>
        </w:rPr>
        <w:t>.</w:t>
      </w:r>
      <w:r w:rsidRPr="000E0F6B">
        <w:rPr>
          <w:rFonts w:ascii="Times New Roman" w:hAnsi="Times New Roman" w:cs="Times New Roman"/>
          <w:bCs/>
        </w:rPr>
        <w:t xml:space="preserve"> Hoeveel scholen worden hierdoor getroffen? Wat betekent dit voor het Masterplan </w:t>
      </w:r>
      <w:r w:rsidRPr="000E0F6B" w:rsidR="00B64FCA">
        <w:rPr>
          <w:rFonts w:ascii="Times New Roman" w:hAnsi="Times New Roman" w:cs="Times New Roman"/>
          <w:bCs/>
        </w:rPr>
        <w:t>b</w:t>
      </w:r>
      <w:r w:rsidRPr="000E0F6B">
        <w:rPr>
          <w:rFonts w:ascii="Times New Roman" w:hAnsi="Times New Roman" w:cs="Times New Roman"/>
          <w:bCs/>
        </w:rPr>
        <w:t>asisvaardigheden?</w:t>
      </w:r>
    </w:p>
    <w:p w:rsidRPr="000E0F6B" w:rsidR="00DB5661" w:rsidP="000E0F6B" w:rsidRDefault="00DB5661" w14:paraId="535D37FE" w14:textId="77777777">
      <w:pPr>
        <w:pStyle w:val="Default"/>
        <w:rPr>
          <w:rFonts w:ascii="Times New Roman" w:hAnsi="Times New Roman" w:cs="Times New Roman"/>
          <w:bCs/>
        </w:rPr>
      </w:pPr>
    </w:p>
    <w:p w:rsidRPr="000E0F6B" w:rsidR="00DB5661" w:rsidP="000E0F6B" w:rsidRDefault="00DB5661" w14:paraId="383A32EA" w14:textId="30F0CB2C">
      <w:pPr>
        <w:pStyle w:val="Default"/>
        <w:rPr>
          <w:rFonts w:ascii="Times New Roman" w:hAnsi="Times New Roman" w:cs="Times New Roman"/>
          <w:bCs/>
        </w:rPr>
      </w:pPr>
      <w:r w:rsidRPr="000E0F6B">
        <w:rPr>
          <w:rFonts w:ascii="Times New Roman" w:hAnsi="Times New Roman" w:cs="Times New Roman"/>
          <w:bCs/>
        </w:rPr>
        <w:t xml:space="preserve">De leden </w:t>
      </w:r>
      <w:r w:rsidRPr="000E0F6B" w:rsidR="00B64FCA">
        <w:rPr>
          <w:rFonts w:ascii="Times New Roman" w:hAnsi="Times New Roman" w:cs="Times New Roman"/>
          <w:bCs/>
        </w:rPr>
        <w:t xml:space="preserve">van de D66-fractie </w:t>
      </w:r>
      <w:r w:rsidRPr="000E0F6B">
        <w:rPr>
          <w:rFonts w:ascii="Times New Roman" w:hAnsi="Times New Roman" w:cs="Times New Roman"/>
          <w:bCs/>
        </w:rPr>
        <w:t>merken op dat de minister zich in debatten vaak opstelt als beheerder van een opgelegd bezuinigingspakket. Hij noemt de keuzes “problematisch” en erkent de pijn die zij veroorzaken. Maar tegelijk ontbreekt het aan politieke regie, visie of richting. De</w:t>
      </w:r>
      <w:r w:rsidRPr="000E0F6B" w:rsidR="00B24C22">
        <w:rPr>
          <w:rFonts w:ascii="Times New Roman" w:hAnsi="Times New Roman" w:cs="Times New Roman"/>
          <w:bCs/>
        </w:rPr>
        <w:t>ze</w:t>
      </w:r>
      <w:r w:rsidRPr="000E0F6B">
        <w:rPr>
          <w:rFonts w:ascii="Times New Roman" w:hAnsi="Times New Roman" w:cs="Times New Roman"/>
          <w:bCs/>
        </w:rPr>
        <w:t xml:space="preserve"> leden vragen de minister: wie zit er eigenlijk aan het stuur? Vindt hij dat dit kabinet het onderwijs vooruithelpt of slechts beheert?</w:t>
      </w:r>
    </w:p>
    <w:p w:rsidRPr="000E0F6B" w:rsidR="00DB5661" w:rsidP="000E0F6B" w:rsidRDefault="00DB5661" w14:paraId="5DD77003" w14:textId="77777777">
      <w:pPr>
        <w:pStyle w:val="Default"/>
        <w:rPr>
          <w:rFonts w:ascii="Times New Roman" w:hAnsi="Times New Roman" w:cs="Times New Roman"/>
          <w:bCs/>
        </w:rPr>
      </w:pPr>
    </w:p>
    <w:p w:rsidRPr="000E0F6B" w:rsidR="00DB5661" w:rsidP="000E0F6B" w:rsidRDefault="00DB5661" w14:paraId="2BC01992" w14:textId="4E84E9E0">
      <w:pPr>
        <w:pStyle w:val="Default"/>
        <w:rPr>
          <w:rFonts w:ascii="Times New Roman" w:hAnsi="Times New Roman" w:cs="Times New Roman"/>
          <w:bCs/>
        </w:rPr>
      </w:pPr>
      <w:r w:rsidRPr="000E0F6B">
        <w:rPr>
          <w:rFonts w:ascii="Times New Roman" w:hAnsi="Times New Roman" w:cs="Times New Roman"/>
          <w:bCs/>
        </w:rPr>
        <w:t xml:space="preserve">De leden </w:t>
      </w:r>
      <w:r w:rsidRPr="000E0F6B" w:rsidR="00B64FCA">
        <w:rPr>
          <w:rFonts w:ascii="Times New Roman" w:hAnsi="Times New Roman" w:cs="Times New Roman"/>
          <w:bCs/>
        </w:rPr>
        <w:t xml:space="preserve">van de D66-fractie </w:t>
      </w:r>
      <w:r w:rsidRPr="000E0F6B">
        <w:rPr>
          <w:rFonts w:ascii="Times New Roman" w:hAnsi="Times New Roman" w:cs="Times New Roman"/>
          <w:bCs/>
        </w:rPr>
        <w:t>wijzen erop dat de minister zelf zei dat het onderwijs er “beter voorstaat dankzij de oppositie en andere vrienden van het onderwijs.” Deze leden herkennen zich in die woorden. Maar zij vragen: als zelfs de minister erkent dat de oorspronkelijke bezuinigingen onhoudbaar waren, waarom heeft hij ze dan verdedigd? Waarom was er zoveel druk van buiten nodig om fundamentele fouten te corrigeren?</w:t>
      </w:r>
    </w:p>
    <w:p w:rsidRPr="000E0F6B" w:rsidR="00DB5661" w:rsidP="000E0F6B" w:rsidRDefault="00DB5661" w14:paraId="34C500E4" w14:textId="77777777">
      <w:pPr>
        <w:pStyle w:val="Default"/>
        <w:rPr>
          <w:rFonts w:ascii="Times New Roman" w:hAnsi="Times New Roman" w:cs="Times New Roman"/>
          <w:bCs/>
        </w:rPr>
      </w:pPr>
    </w:p>
    <w:p w:rsidRPr="000E0F6B" w:rsidR="00DB5661" w:rsidP="000E0F6B" w:rsidRDefault="00DB5661" w14:paraId="03A1B25C" w14:textId="5987D93B">
      <w:pPr>
        <w:pStyle w:val="Default"/>
        <w:rPr>
          <w:rFonts w:ascii="Times New Roman" w:hAnsi="Times New Roman" w:cs="Times New Roman"/>
          <w:bCs/>
        </w:rPr>
      </w:pPr>
      <w:r w:rsidRPr="000E0F6B">
        <w:rPr>
          <w:rFonts w:ascii="Times New Roman" w:hAnsi="Times New Roman" w:cs="Times New Roman"/>
          <w:bCs/>
        </w:rPr>
        <w:t xml:space="preserve">De leden van de D66-fractie maken zich ook ernstige zorgen over het studentenbeleid. Het voornemen om de </w:t>
      </w:r>
      <w:proofErr w:type="spellStart"/>
      <w:r w:rsidRPr="000E0F6B">
        <w:rPr>
          <w:rFonts w:ascii="Times New Roman" w:hAnsi="Times New Roman" w:cs="Times New Roman"/>
          <w:bCs/>
        </w:rPr>
        <w:t>langstudeerboete</w:t>
      </w:r>
      <w:proofErr w:type="spellEnd"/>
      <w:r w:rsidRPr="000E0F6B">
        <w:rPr>
          <w:rFonts w:ascii="Times New Roman" w:hAnsi="Times New Roman" w:cs="Times New Roman"/>
          <w:bCs/>
        </w:rPr>
        <w:t xml:space="preserve"> opnieuw in te voeren heeft terecht geleid tot massale protesten. Studentenorganisaties, hogescholen, universiteiten en zelfs werkgevers hebben gewaarschuwd voor de schade van een dergelijk instrument. Deze leden zijn opgelucht dat de maatregel uiteindelijk is geschrapt. Tegelijk stellen zij vast dat het kabinet de boete alleen liet vallen onder druk van de oppositie. </w:t>
      </w:r>
      <w:r w:rsidRPr="000E0F6B" w:rsidR="00B64FCA">
        <w:rPr>
          <w:rFonts w:ascii="Times New Roman" w:hAnsi="Times New Roman" w:cs="Times New Roman"/>
          <w:bCs/>
        </w:rPr>
        <w:t xml:space="preserve">Zij vragen </w:t>
      </w:r>
      <w:r w:rsidRPr="000E0F6B">
        <w:rPr>
          <w:rFonts w:ascii="Times New Roman" w:hAnsi="Times New Roman" w:cs="Times New Roman"/>
          <w:bCs/>
        </w:rPr>
        <w:t>de minister</w:t>
      </w:r>
      <w:r w:rsidRPr="000E0F6B" w:rsidR="00B64FCA">
        <w:rPr>
          <w:rFonts w:ascii="Times New Roman" w:hAnsi="Times New Roman" w:cs="Times New Roman"/>
          <w:bCs/>
        </w:rPr>
        <w:t xml:space="preserve"> daarom</w:t>
      </w:r>
      <w:r w:rsidRPr="000E0F6B">
        <w:rPr>
          <w:rFonts w:ascii="Times New Roman" w:hAnsi="Times New Roman" w:cs="Times New Roman"/>
          <w:bCs/>
        </w:rPr>
        <w:t>: wat doet hij om de financiële positie van studenten daadwerkelijk te versterken? Hoeveel studentenwoningen komen erbij? Hoe borgt hij de kwaliteit van het hoger onderwijs nu de bekostiging per student opnieuw wordt verlaagd?</w:t>
      </w:r>
    </w:p>
    <w:p w:rsidRPr="000E0F6B" w:rsidR="00DB5661" w:rsidP="000E0F6B" w:rsidRDefault="00DB5661" w14:paraId="5557A79A" w14:textId="77777777">
      <w:pPr>
        <w:pStyle w:val="Default"/>
        <w:rPr>
          <w:rFonts w:ascii="Times New Roman" w:hAnsi="Times New Roman" w:cs="Times New Roman"/>
          <w:bCs/>
        </w:rPr>
      </w:pPr>
    </w:p>
    <w:p w:rsidRPr="000E0F6B" w:rsidR="00DB5661" w:rsidP="000E0F6B" w:rsidRDefault="00DB5661" w14:paraId="6D442F5D" w14:textId="20AF1F11">
      <w:pPr>
        <w:pStyle w:val="Default"/>
        <w:rPr>
          <w:rFonts w:ascii="Times New Roman" w:hAnsi="Times New Roman" w:cs="Times New Roman"/>
          <w:bCs/>
        </w:rPr>
      </w:pPr>
      <w:r w:rsidRPr="000E0F6B">
        <w:rPr>
          <w:rFonts w:ascii="Times New Roman" w:hAnsi="Times New Roman" w:cs="Times New Roman"/>
          <w:bCs/>
        </w:rPr>
        <w:t xml:space="preserve">De leden van de D66-fractie zien dat er in de Voorjaarsnota extra bezuinigingen zijn doorgevoerd, ook op </w:t>
      </w:r>
      <w:r w:rsidRPr="000E0F6B" w:rsidR="00BE2DFA">
        <w:rPr>
          <w:rFonts w:ascii="Times New Roman" w:hAnsi="Times New Roman" w:cs="Times New Roman"/>
          <w:bCs/>
        </w:rPr>
        <w:t>mbo</w:t>
      </w:r>
      <w:r w:rsidRPr="000E0F6B">
        <w:rPr>
          <w:rFonts w:ascii="Times New Roman" w:hAnsi="Times New Roman" w:cs="Times New Roman"/>
          <w:bCs/>
        </w:rPr>
        <w:t xml:space="preserve">- en </w:t>
      </w:r>
      <w:r w:rsidRPr="000E0F6B" w:rsidR="00BE2DFA">
        <w:rPr>
          <w:rFonts w:ascii="Times New Roman" w:hAnsi="Times New Roman" w:cs="Times New Roman"/>
          <w:bCs/>
        </w:rPr>
        <w:t>hbo</w:t>
      </w:r>
      <w:r w:rsidRPr="000E0F6B">
        <w:rPr>
          <w:rFonts w:ascii="Times New Roman" w:hAnsi="Times New Roman" w:cs="Times New Roman"/>
          <w:bCs/>
        </w:rPr>
        <w:t xml:space="preserve">-instellingen en universiteiten. Kan de minister een overzicht maken van de bezuinigingen die nu in totaal bij deze instellingen terechtkomen? Kan de minister een overzicht maken van de financiële positie van deze instellingen en welke instellingen hierdoor kwetsbaar worden? Kan de minister een overzicht geven bij welke instellingen in 2024 en 2025 ontslagen zijn gevallen en om welke vakgroepen en opleidingen dat precies ging? </w:t>
      </w:r>
    </w:p>
    <w:p w:rsidRPr="000E0F6B" w:rsidR="00DB5661" w:rsidP="000E0F6B" w:rsidRDefault="00DB5661" w14:paraId="2057881A" w14:textId="77777777">
      <w:pPr>
        <w:pStyle w:val="Default"/>
        <w:rPr>
          <w:rFonts w:ascii="Times New Roman" w:hAnsi="Times New Roman" w:cs="Times New Roman"/>
          <w:bCs/>
        </w:rPr>
      </w:pPr>
    </w:p>
    <w:p w:rsidRPr="000E0F6B" w:rsidR="00DB5661" w:rsidP="000E0F6B" w:rsidRDefault="00DB5661" w14:paraId="6BD9E89C" w14:textId="40FF508A">
      <w:pPr>
        <w:pStyle w:val="Default"/>
        <w:rPr>
          <w:rFonts w:ascii="Times New Roman" w:hAnsi="Times New Roman" w:cs="Times New Roman"/>
          <w:bCs/>
        </w:rPr>
      </w:pPr>
      <w:r w:rsidRPr="000E0F6B">
        <w:rPr>
          <w:rFonts w:ascii="Times New Roman" w:hAnsi="Times New Roman" w:cs="Times New Roman"/>
          <w:bCs/>
        </w:rPr>
        <w:t xml:space="preserve">De leden van de D66-fractie blijven zich onverminderd inzetten voor goed, toegankelijk en toekomstgericht onderwijs. </w:t>
      </w:r>
      <w:r w:rsidRPr="000E0F6B" w:rsidR="00BE2DFA">
        <w:rPr>
          <w:rFonts w:ascii="Times New Roman" w:hAnsi="Times New Roman" w:cs="Times New Roman"/>
          <w:bCs/>
        </w:rPr>
        <w:t xml:space="preserve">Deze leden </w:t>
      </w:r>
      <w:r w:rsidRPr="000E0F6B">
        <w:rPr>
          <w:rFonts w:ascii="Times New Roman" w:hAnsi="Times New Roman" w:cs="Times New Roman"/>
          <w:bCs/>
        </w:rPr>
        <w:t xml:space="preserve">vinden dat investeren in mensen, kennis en ontwikkeling de verstandigste investering is die een land kan doen. In plaats van stelselmatige afbouw vraagt het onderwijs om structurele versterking. Daarom zullen </w:t>
      </w:r>
      <w:r w:rsidRPr="000E0F6B" w:rsidR="00BE2DFA">
        <w:rPr>
          <w:rFonts w:ascii="Times New Roman" w:hAnsi="Times New Roman" w:cs="Times New Roman"/>
          <w:bCs/>
        </w:rPr>
        <w:t xml:space="preserve">zij </w:t>
      </w:r>
      <w:r w:rsidRPr="000E0F6B">
        <w:rPr>
          <w:rFonts w:ascii="Times New Roman" w:hAnsi="Times New Roman" w:cs="Times New Roman"/>
          <w:bCs/>
        </w:rPr>
        <w:t>blijven strijden tegen kortzichtig begrotingsbeleid dat ten koste gaat van de volgende generatie.</w:t>
      </w:r>
    </w:p>
    <w:p w:rsidRPr="000E0F6B" w:rsidR="00DB5661" w:rsidP="000E0F6B" w:rsidRDefault="00DB5661" w14:paraId="4E134B86" w14:textId="77777777">
      <w:pPr>
        <w:pStyle w:val="Default"/>
        <w:rPr>
          <w:rFonts w:ascii="Times New Roman" w:hAnsi="Times New Roman" w:cs="Times New Roman"/>
          <w:b/>
        </w:rPr>
      </w:pPr>
    </w:p>
    <w:p w:rsidRPr="000E0F6B" w:rsidR="00D32557" w:rsidP="000E0F6B" w:rsidRDefault="00D32557" w14:paraId="151C4520" w14:textId="0EF7EF4B">
      <w:pPr>
        <w:pStyle w:val="Default"/>
        <w:rPr>
          <w:rFonts w:ascii="Times New Roman" w:hAnsi="Times New Roman" w:cs="Times New Roman"/>
          <w:b/>
        </w:rPr>
      </w:pPr>
      <w:r w:rsidRPr="000E0F6B">
        <w:rPr>
          <w:rFonts w:ascii="Times New Roman" w:hAnsi="Times New Roman" w:cs="Times New Roman"/>
          <w:b/>
        </w:rPr>
        <w:t>Inbreng van de leden van de BBB-fractie</w:t>
      </w:r>
    </w:p>
    <w:p w:rsidRPr="000E0F6B" w:rsidR="00876B49" w:rsidP="000E0F6B" w:rsidRDefault="00876B49" w14:paraId="05860CA7" w14:textId="4374D9E5">
      <w:pPr>
        <w:pStyle w:val="Default"/>
        <w:rPr>
          <w:rFonts w:ascii="Times New Roman" w:hAnsi="Times New Roman" w:cs="Times New Roman"/>
          <w:bCs/>
        </w:rPr>
      </w:pPr>
      <w:r w:rsidRPr="000E0F6B">
        <w:rPr>
          <w:rFonts w:ascii="Times New Roman" w:hAnsi="Times New Roman" w:cs="Times New Roman"/>
          <w:bCs/>
        </w:rPr>
        <w:t xml:space="preserve">De leden van de BBB-fractie hebben kennisgenomen van het Jaarverslag 2024 van de </w:t>
      </w:r>
      <w:r w:rsidRPr="000E0F6B" w:rsidR="00AF3064">
        <w:rPr>
          <w:rFonts w:ascii="Times New Roman" w:hAnsi="Times New Roman" w:cs="Times New Roman"/>
          <w:bCs/>
        </w:rPr>
        <w:t>inspectie</w:t>
      </w:r>
      <w:r w:rsidRPr="000E0F6B">
        <w:rPr>
          <w:rFonts w:ascii="Times New Roman" w:hAnsi="Times New Roman" w:cs="Times New Roman"/>
          <w:bCs/>
        </w:rPr>
        <w:t>. Het is goed om te zien dat er stappen zijn gezet richting versterking van het toezicht, maar deze leden hebben nog wel een aantal zorgen en vragen. Zij willen vooral weten waar het geld en de capaciteit precies blijven, wat het oplevert in de klas en of er wel genoeg wordt gekeken naar de praktijk op de werkvloer.</w:t>
      </w:r>
    </w:p>
    <w:p w:rsidRPr="000E0F6B" w:rsidR="00876B49" w:rsidP="000E0F6B" w:rsidRDefault="00876B49" w14:paraId="02A020F0" w14:textId="77777777">
      <w:pPr>
        <w:pStyle w:val="Default"/>
        <w:rPr>
          <w:rFonts w:ascii="Times New Roman" w:hAnsi="Times New Roman" w:cs="Times New Roman"/>
          <w:bCs/>
        </w:rPr>
      </w:pPr>
    </w:p>
    <w:p w:rsidRPr="000E0F6B" w:rsidR="00876B49" w:rsidP="000E0F6B" w:rsidRDefault="00876B49" w14:paraId="541C487D" w14:textId="0BD01AE7">
      <w:pPr>
        <w:pStyle w:val="Default"/>
        <w:rPr>
          <w:rFonts w:ascii="Times New Roman" w:hAnsi="Times New Roman" w:cs="Times New Roman"/>
          <w:bCs/>
        </w:rPr>
      </w:pPr>
      <w:r w:rsidRPr="000E0F6B">
        <w:rPr>
          <w:rFonts w:ascii="Times New Roman" w:hAnsi="Times New Roman" w:cs="Times New Roman"/>
          <w:bCs/>
        </w:rPr>
        <w:t>Allereerst: ondanks dat de inspectie gegroeid is en er extra geld is gestoken in het versterken van toezicht, blijkt uit het verslag dat er nog steeds veel keuzes gemaakt moeten worden door personeelsverloop, inwerken van nieuwe collega’s en werkdruk. Tegelijkertijd lezen de leden van de BBB-fractie dat er minder onderzoeken bij besturen zijn uitgevoerd. Hoe kan dat? Waar blijven die extra miljoenen dan precies? Hoeveel onderzoeken zijn er minder gedaan dan oorspronkelijk beoogd en wat betekent dat voor de informatiepositie van de Kamer over de staat van het onderwijs?</w:t>
      </w:r>
    </w:p>
    <w:p w:rsidRPr="000E0F6B" w:rsidR="00876B49" w:rsidP="000E0F6B" w:rsidRDefault="00876B49" w14:paraId="5C15D12E" w14:textId="77777777">
      <w:pPr>
        <w:pStyle w:val="Default"/>
        <w:rPr>
          <w:rFonts w:ascii="Times New Roman" w:hAnsi="Times New Roman" w:cs="Times New Roman"/>
          <w:bCs/>
        </w:rPr>
      </w:pPr>
    </w:p>
    <w:p w:rsidRPr="000E0F6B" w:rsidR="00876B49" w:rsidP="000E0F6B" w:rsidRDefault="00876B49" w14:paraId="4C06C686" w14:textId="52748A68">
      <w:pPr>
        <w:pStyle w:val="Default"/>
        <w:rPr>
          <w:rFonts w:ascii="Times New Roman" w:hAnsi="Times New Roman" w:cs="Times New Roman"/>
          <w:bCs/>
        </w:rPr>
      </w:pPr>
      <w:r w:rsidRPr="000E0F6B">
        <w:rPr>
          <w:rFonts w:ascii="Times New Roman" w:hAnsi="Times New Roman" w:cs="Times New Roman"/>
          <w:bCs/>
        </w:rPr>
        <w:t>Daarnaast lezen de leden van de BBB-fractie dat het aantal meldingen over veiligheid op school inmiddels 60</w:t>
      </w:r>
      <w:r w:rsidRPr="000E0F6B" w:rsidR="00DB71F2">
        <w:rPr>
          <w:rFonts w:ascii="Times New Roman" w:hAnsi="Times New Roman" w:cs="Times New Roman"/>
          <w:bCs/>
        </w:rPr>
        <w:t>%</w:t>
      </w:r>
      <w:r w:rsidRPr="000E0F6B">
        <w:rPr>
          <w:rFonts w:ascii="Times New Roman" w:hAnsi="Times New Roman" w:cs="Times New Roman"/>
          <w:bCs/>
        </w:rPr>
        <w:t xml:space="preserve"> van alle signalen is. Dat vinden deze leden schokkend. K</w:t>
      </w:r>
      <w:r w:rsidRPr="000E0F6B" w:rsidR="00CB254D">
        <w:rPr>
          <w:rFonts w:ascii="Times New Roman" w:hAnsi="Times New Roman" w:cs="Times New Roman"/>
          <w:bCs/>
        </w:rPr>
        <w:t xml:space="preserve">an de </w:t>
      </w:r>
      <w:r w:rsidRPr="000E0F6B">
        <w:rPr>
          <w:rFonts w:ascii="Times New Roman" w:hAnsi="Times New Roman" w:cs="Times New Roman"/>
          <w:bCs/>
        </w:rPr>
        <w:t>staatssecretaris toelichten wat hier precies achter zit? Zijn dit meldingen van ouders, leerlingen, docenten? Gaat het over fysieke veiligheid, sociale veiligheid of iets anders? En vooral: wat wordt er met deze signalen gedaan? Zijn deze meldingen aanleiding geweest voor extra toezicht of aanpassing van beleid?</w:t>
      </w:r>
    </w:p>
    <w:p w:rsidRPr="000E0F6B" w:rsidR="00876B49" w:rsidP="000E0F6B" w:rsidRDefault="00876B49" w14:paraId="3AFAE356" w14:textId="77777777">
      <w:pPr>
        <w:pStyle w:val="Default"/>
        <w:rPr>
          <w:rFonts w:ascii="Times New Roman" w:hAnsi="Times New Roman" w:cs="Times New Roman"/>
          <w:bCs/>
        </w:rPr>
      </w:pPr>
    </w:p>
    <w:p w:rsidRPr="000E0F6B" w:rsidR="00876B49" w:rsidP="000E0F6B" w:rsidRDefault="00876B49" w14:paraId="45F04038" w14:textId="5A274E3D">
      <w:pPr>
        <w:pStyle w:val="Default"/>
        <w:rPr>
          <w:rFonts w:ascii="Times New Roman" w:hAnsi="Times New Roman" w:cs="Times New Roman"/>
          <w:bCs/>
        </w:rPr>
      </w:pPr>
      <w:r w:rsidRPr="000E0F6B">
        <w:rPr>
          <w:rFonts w:ascii="Times New Roman" w:hAnsi="Times New Roman" w:cs="Times New Roman"/>
          <w:bCs/>
        </w:rPr>
        <w:t xml:space="preserve">Dan het fysieke schoolbezoek. Het is inmiddels breed bekend, ook dankzij media als </w:t>
      </w:r>
      <w:proofErr w:type="spellStart"/>
      <w:r w:rsidRPr="000E0F6B">
        <w:rPr>
          <w:rFonts w:ascii="Times New Roman" w:hAnsi="Times New Roman" w:cs="Times New Roman"/>
          <w:bCs/>
        </w:rPr>
        <w:t>Nieuwsuur</w:t>
      </w:r>
      <w:proofErr w:type="spellEnd"/>
      <w:r w:rsidRPr="000E0F6B">
        <w:rPr>
          <w:rStyle w:val="Voetnootmarkering"/>
          <w:rFonts w:ascii="Times New Roman" w:hAnsi="Times New Roman" w:cs="Times New Roman"/>
          <w:bCs/>
        </w:rPr>
        <w:footnoteReference w:id="51"/>
      </w:r>
      <w:r w:rsidRPr="000E0F6B">
        <w:rPr>
          <w:rFonts w:ascii="Times New Roman" w:hAnsi="Times New Roman" w:cs="Times New Roman"/>
          <w:bCs/>
        </w:rPr>
        <w:t>, dat scholen lang niet altijd fysiek bezocht worden. K</w:t>
      </w:r>
      <w:r w:rsidRPr="000E0F6B" w:rsidR="00CB254D">
        <w:rPr>
          <w:rFonts w:ascii="Times New Roman" w:hAnsi="Times New Roman" w:cs="Times New Roman"/>
          <w:bCs/>
        </w:rPr>
        <w:t xml:space="preserve">an </w:t>
      </w:r>
      <w:r w:rsidRPr="000E0F6B">
        <w:rPr>
          <w:rFonts w:ascii="Times New Roman" w:hAnsi="Times New Roman" w:cs="Times New Roman"/>
          <w:bCs/>
        </w:rPr>
        <w:t xml:space="preserve">de </w:t>
      </w:r>
      <w:r w:rsidRPr="000E0F6B" w:rsidR="00CB254D">
        <w:rPr>
          <w:rFonts w:ascii="Times New Roman" w:hAnsi="Times New Roman" w:cs="Times New Roman"/>
          <w:bCs/>
        </w:rPr>
        <w:t>staatssecretaris</w:t>
      </w:r>
      <w:r w:rsidRPr="000E0F6B">
        <w:rPr>
          <w:rFonts w:ascii="Times New Roman" w:hAnsi="Times New Roman" w:cs="Times New Roman"/>
          <w:bCs/>
        </w:rPr>
        <w:t xml:space="preserve"> zwart op wit zetten hoeveel scholen in het primair en voortgezet onderwijs in 2024 daadwerkelijk bezoek hebben gehad? Graag uitgesplitst per sector en liefst op een manier die vergelijkbaar is met wat </w:t>
      </w:r>
      <w:proofErr w:type="spellStart"/>
      <w:r w:rsidRPr="000E0F6B">
        <w:rPr>
          <w:rFonts w:ascii="Times New Roman" w:hAnsi="Times New Roman" w:cs="Times New Roman"/>
          <w:bCs/>
        </w:rPr>
        <w:t>Nieuwsuur</w:t>
      </w:r>
      <w:proofErr w:type="spellEnd"/>
      <w:r w:rsidRPr="000E0F6B">
        <w:rPr>
          <w:rFonts w:ascii="Times New Roman" w:hAnsi="Times New Roman" w:cs="Times New Roman"/>
          <w:bCs/>
        </w:rPr>
        <w:t xml:space="preserve"> heeft gedaan, zodat appels met appels kunnen worden vergeleken.</w:t>
      </w:r>
    </w:p>
    <w:p w:rsidRPr="000E0F6B" w:rsidR="00876B49" w:rsidP="000E0F6B" w:rsidRDefault="00876B49" w14:paraId="2CDC865A" w14:textId="77777777">
      <w:pPr>
        <w:pStyle w:val="Default"/>
        <w:rPr>
          <w:rFonts w:ascii="Times New Roman" w:hAnsi="Times New Roman" w:cs="Times New Roman"/>
          <w:bCs/>
        </w:rPr>
      </w:pPr>
    </w:p>
    <w:p w:rsidRPr="000E0F6B" w:rsidR="00876B49" w:rsidP="000E0F6B" w:rsidRDefault="00876B49" w14:paraId="231AF4A7" w14:textId="694A0B9E">
      <w:pPr>
        <w:pStyle w:val="Default"/>
        <w:rPr>
          <w:rFonts w:ascii="Times New Roman" w:hAnsi="Times New Roman" w:cs="Times New Roman"/>
          <w:bCs/>
        </w:rPr>
      </w:pPr>
      <w:r w:rsidRPr="000E0F6B">
        <w:rPr>
          <w:rFonts w:ascii="Times New Roman" w:hAnsi="Times New Roman" w:cs="Times New Roman"/>
          <w:bCs/>
        </w:rPr>
        <w:t xml:space="preserve">De leden van de BBB-fractie zijn benieuwd waarom de inspectie in 2024 nog geen oordeel gaf op de standaard over basisvaardigheden (OP0), terwijl deze sinds 2023 onderdeel is van het </w:t>
      </w:r>
      <w:proofErr w:type="spellStart"/>
      <w:r w:rsidRPr="000E0F6B">
        <w:rPr>
          <w:rFonts w:ascii="Times New Roman" w:hAnsi="Times New Roman" w:cs="Times New Roman"/>
          <w:bCs/>
        </w:rPr>
        <w:t>onderzoekskader</w:t>
      </w:r>
      <w:proofErr w:type="spellEnd"/>
      <w:r w:rsidRPr="000E0F6B">
        <w:rPr>
          <w:rFonts w:ascii="Times New Roman" w:hAnsi="Times New Roman" w:cs="Times New Roman"/>
          <w:bCs/>
        </w:rPr>
        <w:t>. Is er vertraging, zijn er twijfels over de inhoud of ontbreekt het simpelweg aan capaciteit? Wat heeft dit concreet betekend voor de feedback aan scholen en voor het toezicht op cruciale vaardigheden als rekenen, taal en burgerschap?</w:t>
      </w:r>
    </w:p>
    <w:p w:rsidRPr="000E0F6B" w:rsidR="00876B49" w:rsidP="000E0F6B" w:rsidRDefault="00876B49" w14:paraId="5C2868DB" w14:textId="77777777">
      <w:pPr>
        <w:pStyle w:val="Default"/>
        <w:rPr>
          <w:rFonts w:ascii="Times New Roman" w:hAnsi="Times New Roman" w:cs="Times New Roman"/>
          <w:bCs/>
        </w:rPr>
      </w:pPr>
    </w:p>
    <w:p w:rsidRPr="000E0F6B" w:rsidR="00876B49" w:rsidP="000E0F6B" w:rsidRDefault="00876B49" w14:paraId="4C5D2408" w14:textId="7B273AB0">
      <w:pPr>
        <w:pStyle w:val="Default"/>
        <w:rPr>
          <w:rFonts w:ascii="Times New Roman" w:hAnsi="Times New Roman" w:cs="Times New Roman"/>
          <w:bCs/>
        </w:rPr>
      </w:pPr>
      <w:r w:rsidRPr="000E0F6B">
        <w:rPr>
          <w:rFonts w:ascii="Times New Roman" w:hAnsi="Times New Roman" w:cs="Times New Roman"/>
          <w:bCs/>
        </w:rPr>
        <w:t xml:space="preserve">Verder valt het de leden van de BBB-fractie op dat er een stijging is in het aantal meldingen bij de vertrouwensinspecteurs én bij vertrouwenspersonen binnen de inspectie zelf. Wat is hier aan de hand? Betekent dit dat er intern problemen zijn op het gebied van sociale veiligheid of werkcultuur? En wat wordt er gedaan om dit op te lossen? Ook willen deze leden van </w:t>
      </w:r>
      <w:r w:rsidRPr="000E0F6B" w:rsidR="00CB254D">
        <w:rPr>
          <w:rFonts w:ascii="Times New Roman" w:hAnsi="Times New Roman" w:cs="Times New Roman"/>
          <w:bCs/>
        </w:rPr>
        <w:t xml:space="preserve">de bewindspersonen </w:t>
      </w:r>
      <w:r w:rsidRPr="000E0F6B">
        <w:rPr>
          <w:rFonts w:ascii="Times New Roman" w:hAnsi="Times New Roman" w:cs="Times New Roman"/>
          <w:bCs/>
        </w:rPr>
        <w:t xml:space="preserve">weten wat er precies geleerd is van de uitzendingen van </w:t>
      </w:r>
      <w:proofErr w:type="spellStart"/>
      <w:r w:rsidRPr="000E0F6B">
        <w:rPr>
          <w:rFonts w:ascii="Times New Roman" w:hAnsi="Times New Roman" w:cs="Times New Roman"/>
          <w:bCs/>
        </w:rPr>
        <w:t>Nieuwsuur</w:t>
      </w:r>
      <w:proofErr w:type="spellEnd"/>
      <w:r w:rsidRPr="000E0F6B">
        <w:rPr>
          <w:rFonts w:ascii="Times New Roman" w:hAnsi="Times New Roman" w:cs="Times New Roman"/>
          <w:bCs/>
        </w:rPr>
        <w:t>, waarin voormalig inspecteurs zich kritisch uitlieten over het functioneren van de inspectie. Is er gesproken met deze oud-inspecteurs? En zo ja, wat heeft dat opgeleverd?</w:t>
      </w:r>
    </w:p>
    <w:p w:rsidRPr="000E0F6B" w:rsidR="00D32557" w:rsidP="000E0F6B" w:rsidRDefault="00D32557" w14:paraId="7894A1A1" w14:textId="77777777">
      <w:pPr>
        <w:pStyle w:val="Default"/>
        <w:rPr>
          <w:rFonts w:ascii="Times New Roman" w:hAnsi="Times New Roman" w:cs="Times New Roman"/>
          <w:b/>
        </w:rPr>
      </w:pPr>
      <w:r w:rsidRPr="000E0F6B">
        <w:rPr>
          <w:rFonts w:ascii="Times New Roman" w:hAnsi="Times New Roman" w:cs="Times New Roman"/>
          <w:b/>
        </w:rPr>
        <w:t>Inbreng van de leden van de CDA-fractie</w:t>
      </w:r>
    </w:p>
    <w:p w:rsidRPr="000E0F6B" w:rsidR="00E64478" w:rsidP="000E0F6B" w:rsidRDefault="00E64478" w14:paraId="011FDAB3" w14:textId="663F2BF2">
      <w:pPr>
        <w:pStyle w:val="Default"/>
        <w:rPr>
          <w:rFonts w:ascii="Times New Roman" w:hAnsi="Times New Roman" w:cs="Times New Roman"/>
          <w:bCs/>
        </w:rPr>
      </w:pPr>
      <w:r w:rsidRPr="000E0F6B">
        <w:rPr>
          <w:rFonts w:ascii="Times New Roman" w:hAnsi="Times New Roman" w:cs="Times New Roman"/>
          <w:bCs/>
        </w:rPr>
        <w:t xml:space="preserve">De leden van de CDA-fractie hebben kennisgenomen van de Staat van het Onderwijs 2025 en het Jaarverslag 2024 en maken graag van de gelegenheid gebruik om enkele aanvullende en verduidelijkende vragen te stellen. </w:t>
      </w:r>
    </w:p>
    <w:p w:rsidRPr="000E0F6B" w:rsidR="00E64478" w:rsidP="000E0F6B" w:rsidRDefault="00E64478" w14:paraId="4A613357" w14:textId="77777777">
      <w:pPr>
        <w:pStyle w:val="Default"/>
        <w:rPr>
          <w:rFonts w:ascii="Times New Roman" w:hAnsi="Times New Roman" w:cs="Times New Roman"/>
          <w:bCs/>
        </w:rPr>
      </w:pPr>
    </w:p>
    <w:p w:rsidRPr="000E0F6B" w:rsidR="00E64478" w:rsidP="000E0F6B" w:rsidRDefault="00E64478" w14:paraId="3E15C731" w14:textId="5247FA21">
      <w:pPr>
        <w:pStyle w:val="Default"/>
        <w:rPr>
          <w:rFonts w:ascii="Times New Roman" w:hAnsi="Times New Roman" w:cs="Times New Roman"/>
          <w:bCs/>
        </w:rPr>
      </w:pPr>
      <w:r w:rsidRPr="000E0F6B">
        <w:rPr>
          <w:rFonts w:ascii="Times New Roman" w:hAnsi="Times New Roman" w:cs="Times New Roman"/>
          <w:bCs/>
        </w:rPr>
        <w:t xml:space="preserve">Dit jaar </w:t>
      </w:r>
      <w:r w:rsidRPr="000E0F6B" w:rsidR="00DB71F2">
        <w:rPr>
          <w:rFonts w:ascii="Times New Roman" w:hAnsi="Times New Roman" w:cs="Times New Roman"/>
          <w:bCs/>
        </w:rPr>
        <w:t>is in</w:t>
      </w:r>
      <w:r w:rsidRPr="000E0F6B">
        <w:rPr>
          <w:rFonts w:ascii="Times New Roman" w:hAnsi="Times New Roman" w:cs="Times New Roman"/>
          <w:bCs/>
        </w:rPr>
        <w:t xml:space="preserve"> de </w:t>
      </w:r>
      <w:r w:rsidRPr="000E0F6B" w:rsidR="00DB71F2">
        <w:rPr>
          <w:rFonts w:ascii="Times New Roman" w:hAnsi="Times New Roman" w:cs="Times New Roman"/>
          <w:bCs/>
        </w:rPr>
        <w:t>S</w:t>
      </w:r>
      <w:r w:rsidRPr="000E0F6B">
        <w:rPr>
          <w:rFonts w:ascii="Times New Roman" w:hAnsi="Times New Roman" w:cs="Times New Roman"/>
          <w:bCs/>
        </w:rPr>
        <w:t xml:space="preserve">taat </w:t>
      </w:r>
      <w:r w:rsidRPr="000E0F6B" w:rsidR="00DB71F2">
        <w:rPr>
          <w:rFonts w:ascii="Times New Roman" w:hAnsi="Times New Roman" w:cs="Times New Roman"/>
          <w:bCs/>
        </w:rPr>
        <w:t>van het Onderwijs</w:t>
      </w:r>
      <w:r w:rsidRPr="000E0F6B">
        <w:rPr>
          <w:rFonts w:ascii="Times New Roman" w:hAnsi="Times New Roman" w:cs="Times New Roman"/>
          <w:bCs/>
        </w:rPr>
        <w:t xml:space="preserve"> de nadruk gelegd op het onbenut talent in de samenleving. Kansen van jong tot oud worden onvoldoende verzilverd. Dit raakt vooral kinderen met een </w:t>
      </w:r>
      <w:r w:rsidRPr="000E0F6B" w:rsidR="0072368E">
        <w:rPr>
          <w:rFonts w:ascii="Times New Roman" w:hAnsi="Times New Roman" w:cs="Times New Roman"/>
          <w:bCs/>
        </w:rPr>
        <w:t>t</w:t>
      </w:r>
      <w:r w:rsidRPr="000E0F6B">
        <w:rPr>
          <w:rFonts w:ascii="Times New Roman" w:hAnsi="Times New Roman" w:cs="Times New Roman"/>
          <w:bCs/>
        </w:rPr>
        <w:t xml:space="preserve">aalachterstand, kinderen met extra ondersteuningsbehoeften, </w:t>
      </w:r>
      <w:proofErr w:type="spellStart"/>
      <w:r w:rsidRPr="000E0F6B">
        <w:rPr>
          <w:rFonts w:ascii="Times New Roman" w:hAnsi="Times New Roman" w:cs="Times New Roman"/>
          <w:bCs/>
        </w:rPr>
        <w:t>laaggecijferde</w:t>
      </w:r>
      <w:proofErr w:type="spellEnd"/>
      <w:r w:rsidRPr="000E0F6B">
        <w:rPr>
          <w:rFonts w:ascii="Times New Roman" w:hAnsi="Times New Roman" w:cs="Times New Roman"/>
          <w:bCs/>
        </w:rPr>
        <w:t xml:space="preserve"> of laaggeletterde volwassenen en talentvolle nieuwkomers. In dit verband vind</w:t>
      </w:r>
      <w:r w:rsidRPr="000E0F6B" w:rsidR="0072368E">
        <w:rPr>
          <w:rFonts w:ascii="Times New Roman" w:hAnsi="Times New Roman" w:cs="Times New Roman"/>
          <w:bCs/>
        </w:rPr>
        <w:t xml:space="preserve">en de leden van de CDA-fractie </w:t>
      </w:r>
      <w:r w:rsidRPr="000E0F6B">
        <w:rPr>
          <w:rFonts w:ascii="Times New Roman" w:hAnsi="Times New Roman" w:cs="Times New Roman"/>
          <w:bCs/>
        </w:rPr>
        <w:t xml:space="preserve">het zeer zorgelijk dat de onderwijskansenregeling in de </w:t>
      </w:r>
      <w:r w:rsidRPr="000E0F6B" w:rsidR="0072368E">
        <w:rPr>
          <w:rFonts w:ascii="Times New Roman" w:hAnsi="Times New Roman" w:cs="Times New Roman"/>
          <w:bCs/>
        </w:rPr>
        <w:t>V</w:t>
      </w:r>
      <w:r w:rsidRPr="000E0F6B">
        <w:rPr>
          <w:rFonts w:ascii="Times New Roman" w:hAnsi="Times New Roman" w:cs="Times New Roman"/>
          <w:bCs/>
        </w:rPr>
        <w:t xml:space="preserve">oorjaarsnota 2025 op termijn wegbezuinigd wordt. Graag een reflectie van de </w:t>
      </w:r>
      <w:r w:rsidRPr="000E0F6B" w:rsidR="0072368E">
        <w:rPr>
          <w:rFonts w:ascii="Times New Roman" w:hAnsi="Times New Roman" w:cs="Times New Roman"/>
          <w:bCs/>
        </w:rPr>
        <w:t>bewindspersonen</w:t>
      </w:r>
      <w:r w:rsidRPr="000E0F6B">
        <w:rPr>
          <w:rFonts w:ascii="Times New Roman" w:hAnsi="Times New Roman" w:cs="Times New Roman"/>
          <w:bCs/>
        </w:rPr>
        <w:t xml:space="preserve"> op dit specifieke punt in relatie tot talentontwikkeling. De</w:t>
      </w:r>
      <w:r w:rsidRPr="000E0F6B" w:rsidR="0072368E">
        <w:rPr>
          <w:rFonts w:ascii="Times New Roman" w:hAnsi="Times New Roman" w:cs="Times New Roman"/>
          <w:bCs/>
        </w:rPr>
        <w:t>len zij de mening van de deze leden da</w:t>
      </w:r>
      <w:r w:rsidRPr="000E0F6B">
        <w:rPr>
          <w:rFonts w:ascii="Times New Roman" w:hAnsi="Times New Roman" w:cs="Times New Roman"/>
          <w:bCs/>
        </w:rPr>
        <w:t>t dit vooral de meest kwetsbare kinderen raakt? Zo ja, wat betekent dit voor de voor de ontwikkeling van juist die kinderen</w:t>
      </w:r>
      <w:r w:rsidRPr="000E0F6B" w:rsidR="0072368E">
        <w:rPr>
          <w:rFonts w:ascii="Times New Roman" w:hAnsi="Times New Roman" w:cs="Times New Roman"/>
          <w:bCs/>
        </w:rPr>
        <w:t>?</w:t>
      </w:r>
    </w:p>
    <w:p w:rsidRPr="000E0F6B" w:rsidR="0072368E" w:rsidP="000E0F6B" w:rsidRDefault="0072368E" w14:paraId="663BFCA4" w14:textId="77777777">
      <w:pPr>
        <w:pStyle w:val="Default"/>
        <w:rPr>
          <w:rFonts w:ascii="Times New Roman" w:hAnsi="Times New Roman" w:cs="Times New Roman"/>
          <w:bCs/>
        </w:rPr>
      </w:pPr>
    </w:p>
    <w:p w:rsidRPr="000E0F6B" w:rsidR="00E64478" w:rsidP="000E0F6B" w:rsidRDefault="00E64478" w14:paraId="64876530" w14:textId="3E1E8884">
      <w:pPr>
        <w:pStyle w:val="Default"/>
        <w:rPr>
          <w:rFonts w:ascii="Times New Roman" w:hAnsi="Times New Roman" w:cs="Times New Roman"/>
          <w:bCs/>
        </w:rPr>
      </w:pPr>
      <w:r w:rsidRPr="000E0F6B">
        <w:rPr>
          <w:rFonts w:ascii="Times New Roman" w:hAnsi="Times New Roman" w:cs="Times New Roman"/>
          <w:bCs/>
        </w:rPr>
        <w:t>Vervolgens stel</w:t>
      </w:r>
      <w:r w:rsidRPr="000E0F6B" w:rsidR="0072368E">
        <w:rPr>
          <w:rFonts w:ascii="Times New Roman" w:hAnsi="Times New Roman" w:cs="Times New Roman"/>
          <w:bCs/>
        </w:rPr>
        <w:t xml:space="preserve">len de bewindspersonen </w:t>
      </w:r>
      <w:r w:rsidRPr="000E0F6B">
        <w:rPr>
          <w:rFonts w:ascii="Times New Roman" w:hAnsi="Times New Roman" w:cs="Times New Roman"/>
          <w:bCs/>
        </w:rPr>
        <w:t>dat de overheid samen met scholen zich de afgelopen jaren he</w:t>
      </w:r>
      <w:r w:rsidRPr="000E0F6B" w:rsidR="00DB71F2">
        <w:rPr>
          <w:rFonts w:ascii="Times New Roman" w:hAnsi="Times New Roman" w:cs="Times New Roman"/>
          <w:bCs/>
        </w:rPr>
        <w:t>eft</w:t>
      </w:r>
      <w:r w:rsidRPr="000E0F6B">
        <w:rPr>
          <w:rFonts w:ascii="Times New Roman" w:hAnsi="Times New Roman" w:cs="Times New Roman"/>
          <w:bCs/>
        </w:rPr>
        <w:t xml:space="preserve"> ingezet o</w:t>
      </w:r>
      <w:r w:rsidRPr="000E0F6B" w:rsidR="0072368E">
        <w:rPr>
          <w:rFonts w:ascii="Times New Roman" w:hAnsi="Times New Roman" w:cs="Times New Roman"/>
          <w:bCs/>
        </w:rPr>
        <w:t>m</w:t>
      </w:r>
      <w:r w:rsidRPr="000E0F6B">
        <w:rPr>
          <w:rFonts w:ascii="Times New Roman" w:hAnsi="Times New Roman" w:cs="Times New Roman"/>
          <w:bCs/>
        </w:rPr>
        <w:t xml:space="preserve"> de basisvaardigheden meer orde te brengen</w:t>
      </w:r>
      <w:r w:rsidRPr="000E0F6B" w:rsidR="0072368E">
        <w:rPr>
          <w:rFonts w:ascii="Times New Roman" w:hAnsi="Times New Roman" w:cs="Times New Roman"/>
          <w:bCs/>
        </w:rPr>
        <w:t xml:space="preserve">, onder ander </w:t>
      </w:r>
      <w:r w:rsidRPr="000E0F6B">
        <w:rPr>
          <w:rFonts w:ascii="Times New Roman" w:hAnsi="Times New Roman" w:cs="Times New Roman"/>
          <w:bCs/>
        </w:rPr>
        <w:t xml:space="preserve">via het Masterplan basisvaardigheden. Deze leden willen graag weten hoe het staat met het </w:t>
      </w:r>
      <w:r w:rsidRPr="000E0F6B" w:rsidR="00DB71F2">
        <w:rPr>
          <w:rFonts w:ascii="Times New Roman" w:hAnsi="Times New Roman" w:cs="Times New Roman"/>
          <w:bCs/>
        </w:rPr>
        <w:t>H</w:t>
      </w:r>
      <w:r w:rsidRPr="000E0F6B">
        <w:rPr>
          <w:rFonts w:ascii="Times New Roman" w:hAnsi="Times New Roman" w:cs="Times New Roman"/>
          <w:bCs/>
        </w:rPr>
        <w:t>erstelplan kwaliteit funderend onderwijs</w:t>
      </w:r>
      <w:r w:rsidRPr="000E0F6B" w:rsidR="0072368E">
        <w:rPr>
          <w:rFonts w:ascii="Times New Roman" w:hAnsi="Times New Roman" w:cs="Times New Roman"/>
          <w:bCs/>
        </w:rPr>
        <w:t>.</w:t>
      </w:r>
      <w:r w:rsidRPr="000E0F6B">
        <w:rPr>
          <w:rFonts w:ascii="Times New Roman" w:hAnsi="Times New Roman" w:cs="Times New Roman"/>
          <w:bCs/>
        </w:rPr>
        <w:t xml:space="preserve"> Kan de </w:t>
      </w:r>
      <w:r w:rsidRPr="000E0F6B" w:rsidR="0072368E">
        <w:rPr>
          <w:rFonts w:ascii="Times New Roman" w:hAnsi="Times New Roman" w:cs="Times New Roman"/>
          <w:bCs/>
        </w:rPr>
        <w:t>staatssecretaris</w:t>
      </w:r>
      <w:r w:rsidRPr="000E0F6B">
        <w:rPr>
          <w:rFonts w:ascii="Times New Roman" w:hAnsi="Times New Roman" w:cs="Times New Roman"/>
          <w:bCs/>
        </w:rPr>
        <w:t xml:space="preserve"> schetsen wat de huidige stand van zaken is?</w:t>
      </w:r>
    </w:p>
    <w:p w:rsidRPr="000E0F6B" w:rsidR="0072368E" w:rsidP="000E0F6B" w:rsidRDefault="0072368E" w14:paraId="30F59666" w14:textId="77777777">
      <w:pPr>
        <w:pStyle w:val="Default"/>
        <w:rPr>
          <w:rFonts w:ascii="Times New Roman" w:hAnsi="Times New Roman" w:cs="Times New Roman"/>
          <w:bCs/>
        </w:rPr>
      </w:pPr>
    </w:p>
    <w:p w:rsidRPr="000E0F6B" w:rsidR="00E64478" w:rsidP="000E0F6B" w:rsidRDefault="00E64478" w14:paraId="3941C532" w14:textId="6A9BD1C3">
      <w:pPr>
        <w:pStyle w:val="Default"/>
        <w:rPr>
          <w:rFonts w:ascii="Times New Roman" w:hAnsi="Times New Roman" w:cs="Times New Roman"/>
          <w:bCs/>
        </w:rPr>
      </w:pPr>
      <w:r w:rsidRPr="000E0F6B">
        <w:rPr>
          <w:rFonts w:ascii="Times New Roman" w:hAnsi="Times New Roman" w:cs="Times New Roman"/>
          <w:bCs/>
        </w:rPr>
        <w:t xml:space="preserve">Bij </w:t>
      </w:r>
      <w:r w:rsidRPr="000E0F6B" w:rsidR="0072368E">
        <w:rPr>
          <w:rFonts w:ascii="Times New Roman" w:hAnsi="Times New Roman" w:cs="Times New Roman"/>
          <w:bCs/>
        </w:rPr>
        <w:t>negen</w:t>
      </w:r>
      <w:r w:rsidRPr="000E0F6B">
        <w:rPr>
          <w:rFonts w:ascii="Times New Roman" w:hAnsi="Times New Roman" w:cs="Times New Roman"/>
          <w:bCs/>
        </w:rPr>
        <w:t xml:space="preserve"> onderzochte samenwerkingsverbanden (</w:t>
      </w:r>
      <w:r w:rsidRPr="000E0F6B" w:rsidR="0072368E">
        <w:rPr>
          <w:rFonts w:ascii="Times New Roman" w:hAnsi="Times New Roman" w:cs="Times New Roman"/>
          <w:bCs/>
        </w:rPr>
        <w:t>voortgezet onderwijs en primair onderwijs</w:t>
      </w:r>
      <w:r w:rsidRPr="000E0F6B">
        <w:rPr>
          <w:rFonts w:ascii="Times New Roman" w:hAnsi="Times New Roman" w:cs="Times New Roman"/>
          <w:bCs/>
        </w:rPr>
        <w:t>)</w:t>
      </w:r>
      <w:r w:rsidRPr="000E0F6B" w:rsidR="0072368E">
        <w:rPr>
          <w:rFonts w:ascii="Times New Roman" w:hAnsi="Times New Roman" w:cs="Times New Roman"/>
          <w:bCs/>
        </w:rPr>
        <w:t xml:space="preserve"> </w:t>
      </w:r>
      <w:r w:rsidRPr="000E0F6B">
        <w:rPr>
          <w:rFonts w:ascii="Times New Roman" w:hAnsi="Times New Roman" w:cs="Times New Roman"/>
          <w:bCs/>
        </w:rPr>
        <w:t xml:space="preserve">werden in 2023 en 2024 tekortkomingen vastgesteld in het realiseren van een dekkend netwerk van voorzieningen voor leerlingen met extra ondersteuningsbehoeften. Dit lag meestal aan een tekort aan plaatsen in het gespecialiseerd onderwijs. Is bekend hoe groot het </w:t>
      </w:r>
      <w:r w:rsidRPr="000E0F6B" w:rsidR="0072368E">
        <w:rPr>
          <w:rFonts w:ascii="Times New Roman" w:hAnsi="Times New Roman" w:cs="Times New Roman"/>
          <w:bCs/>
        </w:rPr>
        <w:t>te</w:t>
      </w:r>
      <w:r w:rsidRPr="000E0F6B">
        <w:rPr>
          <w:rFonts w:ascii="Times New Roman" w:hAnsi="Times New Roman" w:cs="Times New Roman"/>
          <w:bCs/>
        </w:rPr>
        <w:t>kort aan plaatsen is op het speciaal onderwijs bij deze samenwerkingsverbanden? Is er bekend hoeveel kinderen er op de wachtlijst staan? D</w:t>
      </w:r>
      <w:r w:rsidRPr="000E0F6B" w:rsidR="0072368E">
        <w:rPr>
          <w:rFonts w:ascii="Times New Roman" w:hAnsi="Times New Roman" w:cs="Times New Roman"/>
          <w:bCs/>
        </w:rPr>
        <w:t>e wachtlijsten beteken</w:t>
      </w:r>
      <w:r w:rsidRPr="000E0F6B" w:rsidR="00DB71F2">
        <w:rPr>
          <w:rFonts w:ascii="Times New Roman" w:hAnsi="Times New Roman" w:cs="Times New Roman"/>
          <w:bCs/>
        </w:rPr>
        <w:t>en</w:t>
      </w:r>
      <w:r w:rsidRPr="000E0F6B" w:rsidR="0072368E">
        <w:rPr>
          <w:rFonts w:ascii="Times New Roman" w:hAnsi="Times New Roman" w:cs="Times New Roman"/>
          <w:bCs/>
        </w:rPr>
        <w:t xml:space="preserve"> </w:t>
      </w:r>
      <w:r w:rsidRPr="000E0F6B">
        <w:rPr>
          <w:rFonts w:ascii="Times New Roman" w:hAnsi="Times New Roman" w:cs="Times New Roman"/>
          <w:bCs/>
        </w:rPr>
        <w:t>dat er kinderen thuis kwamen te zitten</w:t>
      </w:r>
      <w:r w:rsidRPr="000E0F6B" w:rsidR="0072368E">
        <w:rPr>
          <w:rFonts w:ascii="Times New Roman" w:hAnsi="Times New Roman" w:cs="Times New Roman"/>
          <w:bCs/>
        </w:rPr>
        <w:t>. I</w:t>
      </w:r>
      <w:r w:rsidRPr="000E0F6B">
        <w:rPr>
          <w:rFonts w:ascii="Times New Roman" w:hAnsi="Times New Roman" w:cs="Times New Roman"/>
          <w:bCs/>
        </w:rPr>
        <w:t>s bekend hoeveel en hoe</w:t>
      </w:r>
      <w:r w:rsidRPr="000E0F6B" w:rsidR="00DB71F2">
        <w:rPr>
          <w:rFonts w:ascii="Times New Roman" w:hAnsi="Times New Roman" w:cs="Times New Roman"/>
          <w:bCs/>
        </w:rPr>
        <w:t xml:space="preserve"> </w:t>
      </w:r>
      <w:r w:rsidRPr="000E0F6B">
        <w:rPr>
          <w:rFonts w:ascii="Times New Roman" w:hAnsi="Times New Roman" w:cs="Times New Roman"/>
          <w:bCs/>
        </w:rPr>
        <w:t>lang kinderen gemiddeld thuiszitten totdat er plaat is? Wat wordt er ondernomen om deze samenwerkingsverbanden te ondersteunen om de vastgestelde tekortkomingen weg te werken</w:t>
      </w:r>
      <w:r w:rsidRPr="000E0F6B" w:rsidR="0072368E">
        <w:rPr>
          <w:rFonts w:ascii="Times New Roman" w:hAnsi="Times New Roman" w:cs="Times New Roman"/>
          <w:bCs/>
        </w:rPr>
        <w:t>?</w:t>
      </w:r>
    </w:p>
    <w:p w:rsidRPr="000E0F6B" w:rsidR="0072368E" w:rsidP="000E0F6B" w:rsidRDefault="0072368E" w14:paraId="478F1635" w14:textId="77777777">
      <w:pPr>
        <w:pStyle w:val="Default"/>
        <w:rPr>
          <w:rFonts w:ascii="Times New Roman" w:hAnsi="Times New Roman" w:cs="Times New Roman"/>
          <w:bCs/>
        </w:rPr>
      </w:pPr>
    </w:p>
    <w:p w:rsidRPr="000E0F6B" w:rsidR="00E64478" w:rsidP="000E0F6B" w:rsidRDefault="00E64478" w14:paraId="2B36D214" w14:textId="49F2DD74">
      <w:pPr>
        <w:pStyle w:val="Default"/>
        <w:rPr>
          <w:rFonts w:ascii="Times New Roman" w:hAnsi="Times New Roman" w:cs="Times New Roman"/>
          <w:bCs/>
        </w:rPr>
      </w:pPr>
      <w:r w:rsidRPr="000E0F6B">
        <w:rPr>
          <w:rFonts w:ascii="Times New Roman" w:hAnsi="Times New Roman" w:cs="Times New Roman"/>
          <w:bCs/>
        </w:rPr>
        <w:t>De leden van de CDA</w:t>
      </w:r>
      <w:r w:rsidRPr="000E0F6B" w:rsidR="0072368E">
        <w:rPr>
          <w:rFonts w:ascii="Times New Roman" w:hAnsi="Times New Roman" w:cs="Times New Roman"/>
          <w:bCs/>
        </w:rPr>
        <w:t>-</w:t>
      </w:r>
      <w:r w:rsidRPr="000E0F6B">
        <w:rPr>
          <w:rFonts w:ascii="Times New Roman" w:hAnsi="Times New Roman" w:cs="Times New Roman"/>
          <w:bCs/>
        </w:rPr>
        <w:t xml:space="preserve">fractie maken zich </w:t>
      </w:r>
      <w:r w:rsidRPr="000E0F6B" w:rsidR="0072368E">
        <w:rPr>
          <w:rFonts w:ascii="Times New Roman" w:hAnsi="Times New Roman" w:cs="Times New Roman"/>
          <w:bCs/>
        </w:rPr>
        <w:t xml:space="preserve">- </w:t>
      </w:r>
      <w:r w:rsidRPr="000E0F6B">
        <w:rPr>
          <w:rFonts w:ascii="Times New Roman" w:hAnsi="Times New Roman" w:cs="Times New Roman"/>
          <w:bCs/>
        </w:rPr>
        <w:t xml:space="preserve">gezien de </w:t>
      </w:r>
      <w:r w:rsidRPr="000E0F6B" w:rsidR="00323E25">
        <w:rPr>
          <w:rFonts w:ascii="Times New Roman" w:hAnsi="Times New Roman" w:cs="Times New Roman"/>
          <w:bCs/>
        </w:rPr>
        <w:t>S</w:t>
      </w:r>
      <w:r w:rsidRPr="000E0F6B">
        <w:rPr>
          <w:rFonts w:ascii="Times New Roman" w:hAnsi="Times New Roman" w:cs="Times New Roman"/>
          <w:bCs/>
        </w:rPr>
        <w:t xml:space="preserve">taat van het </w:t>
      </w:r>
      <w:r w:rsidRPr="000E0F6B" w:rsidR="00323E25">
        <w:rPr>
          <w:rFonts w:ascii="Times New Roman" w:hAnsi="Times New Roman" w:cs="Times New Roman"/>
          <w:bCs/>
        </w:rPr>
        <w:t>O</w:t>
      </w:r>
      <w:r w:rsidRPr="000E0F6B">
        <w:rPr>
          <w:rFonts w:ascii="Times New Roman" w:hAnsi="Times New Roman" w:cs="Times New Roman"/>
          <w:bCs/>
        </w:rPr>
        <w:t>nderwijs</w:t>
      </w:r>
      <w:r w:rsidRPr="000E0F6B" w:rsidR="0072368E">
        <w:rPr>
          <w:rFonts w:ascii="Times New Roman" w:hAnsi="Times New Roman" w:cs="Times New Roman"/>
          <w:bCs/>
        </w:rPr>
        <w:t xml:space="preserve"> -</w:t>
      </w:r>
      <w:r w:rsidRPr="000E0F6B">
        <w:rPr>
          <w:rFonts w:ascii="Times New Roman" w:hAnsi="Times New Roman" w:cs="Times New Roman"/>
          <w:bCs/>
        </w:rPr>
        <w:t xml:space="preserve"> zorgen over de toekomst van het inclusieve onderwijs. Begrijp</w:t>
      </w:r>
      <w:r w:rsidRPr="000E0F6B" w:rsidR="0072368E">
        <w:rPr>
          <w:rFonts w:ascii="Times New Roman" w:hAnsi="Times New Roman" w:cs="Times New Roman"/>
          <w:bCs/>
        </w:rPr>
        <w:t xml:space="preserve">en de bewindspersonen de zorg van deze leden </w:t>
      </w:r>
      <w:r w:rsidRPr="000E0F6B">
        <w:rPr>
          <w:rFonts w:ascii="Times New Roman" w:hAnsi="Times New Roman" w:cs="Times New Roman"/>
          <w:bCs/>
        </w:rPr>
        <w:t>en wat k</w:t>
      </w:r>
      <w:r w:rsidRPr="000E0F6B" w:rsidR="0072368E">
        <w:rPr>
          <w:rFonts w:ascii="Times New Roman" w:hAnsi="Times New Roman" w:cs="Times New Roman"/>
          <w:bCs/>
        </w:rPr>
        <w:t xml:space="preserve">unnen zij doen </w:t>
      </w:r>
      <w:r w:rsidRPr="000E0F6B">
        <w:rPr>
          <w:rFonts w:ascii="Times New Roman" w:hAnsi="Times New Roman" w:cs="Times New Roman"/>
          <w:bCs/>
        </w:rPr>
        <w:t>om inclusief onderwijs te bevorderen?</w:t>
      </w:r>
    </w:p>
    <w:p w:rsidRPr="000E0F6B" w:rsidR="007974B5" w:rsidP="000E0F6B" w:rsidRDefault="007974B5" w14:paraId="76DC4868" w14:textId="77777777">
      <w:pPr>
        <w:pStyle w:val="Default"/>
        <w:rPr>
          <w:rFonts w:ascii="Times New Roman" w:hAnsi="Times New Roman" w:cs="Times New Roman"/>
          <w:b/>
        </w:rPr>
      </w:pPr>
    </w:p>
    <w:p w:rsidRPr="000E0F6B" w:rsidR="00D32557" w:rsidP="000E0F6B" w:rsidRDefault="00D32557" w14:paraId="44A2A76D" w14:textId="4CF890EA">
      <w:pPr>
        <w:pStyle w:val="Default"/>
        <w:rPr>
          <w:rFonts w:ascii="Times New Roman" w:hAnsi="Times New Roman" w:cs="Times New Roman"/>
          <w:b/>
        </w:rPr>
      </w:pPr>
      <w:r w:rsidRPr="000E0F6B">
        <w:rPr>
          <w:rFonts w:ascii="Times New Roman" w:hAnsi="Times New Roman" w:cs="Times New Roman"/>
          <w:b/>
        </w:rPr>
        <w:t>Inbreng van de leden van de ChristenUnie-fractie</w:t>
      </w:r>
    </w:p>
    <w:p w:rsidRPr="000E0F6B" w:rsidR="007974B5" w:rsidP="000E0F6B" w:rsidRDefault="007974B5" w14:paraId="2D8F375B" w14:textId="77777777">
      <w:pPr>
        <w:rPr>
          <w:bCs/>
        </w:rPr>
      </w:pPr>
      <w:r w:rsidRPr="000E0F6B">
        <w:rPr>
          <w:bCs/>
        </w:rPr>
        <w:t xml:space="preserve">De leden van de ChristenUnie-fractie hebben kennisgenomen van het Jaarverslag 2025, de Staat van het Onderwijs 2025 en de overige onderhavige stukken. </w:t>
      </w:r>
    </w:p>
    <w:p w:rsidRPr="000E0F6B" w:rsidR="00B37F1A" w:rsidP="000E0F6B" w:rsidRDefault="00B37F1A" w14:paraId="50C5955D" w14:textId="77777777">
      <w:pPr>
        <w:rPr>
          <w:bCs/>
        </w:rPr>
      </w:pPr>
    </w:p>
    <w:p w:rsidRPr="000E0F6B" w:rsidR="007974B5" w:rsidP="000E0F6B" w:rsidRDefault="007974B5" w14:paraId="6A4B6A09" w14:textId="033C8A5C">
      <w:pPr>
        <w:rPr>
          <w:bCs/>
        </w:rPr>
      </w:pPr>
      <w:r w:rsidRPr="000E0F6B">
        <w:rPr>
          <w:bCs/>
        </w:rPr>
        <w:t xml:space="preserve">De leden van de ChristenUnie-fractie vragen de minister naar de stand van zaken van de uitvoering van </w:t>
      </w:r>
      <w:r w:rsidRPr="000E0F6B" w:rsidR="00B37F1A">
        <w:rPr>
          <w:bCs/>
        </w:rPr>
        <w:t xml:space="preserve">de </w:t>
      </w:r>
      <w:r w:rsidRPr="000E0F6B">
        <w:rPr>
          <w:bCs/>
        </w:rPr>
        <w:t>motie</w:t>
      </w:r>
      <w:r w:rsidRPr="000E0F6B" w:rsidR="00B37F1A">
        <w:rPr>
          <w:bCs/>
        </w:rPr>
        <w:t xml:space="preserve"> van het lid </w:t>
      </w:r>
      <w:r w:rsidRPr="000E0F6B">
        <w:rPr>
          <w:bCs/>
        </w:rPr>
        <w:t>Ceder</w:t>
      </w:r>
      <w:r w:rsidRPr="000E0F6B" w:rsidR="00B37F1A">
        <w:rPr>
          <w:rStyle w:val="Voetnootmarkering"/>
          <w:bCs/>
        </w:rPr>
        <w:footnoteReference w:id="52"/>
      </w:r>
      <w:r w:rsidRPr="000E0F6B">
        <w:rPr>
          <w:bCs/>
        </w:rPr>
        <w:t xml:space="preserve"> over de Europese toegankelijkheidsakte ook verwerken in relevante wet- en regelgeving voor zorg en onderwijs als het gaat om het domein onderwijs</w:t>
      </w:r>
      <w:r w:rsidRPr="000E0F6B" w:rsidR="00B37F1A">
        <w:rPr>
          <w:bCs/>
        </w:rPr>
        <w:t>.</w:t>
      </w:r>
    </w:p>
    <w:p w:rsidRPr="000E0F6B" w:rsidR="00323E25" w:rsidP="000E0F6B" w:rsidRDefault="00323E25" w14:paraId="31020BC8" w14:textId="77777777">
      <w:pPr>
        <w:rPr>
          <w:bCs/>
        </w:rPr>
      </w:pPr>
    </w:p>
    <w:p w:rsidRPr="000E0F6B" w:rsidR="00D32557" w:rsidP="000E0F6B" w:rsidRDefault="007974B5" w14:paraId="1F2F494B" w14:textId="750B0E03">
      <w:pPr>
        <w:rPr>
          <w:bCs/>
        </w:rPr>
      </w:pPr>
      <w:r w:rsidRPr="000E0F6B">
        <w:rPr>
          <w:bCs/>
        </w:rPr>
        <w:t>De leden van de ChristenUnie-fractie merken op dat het O</w:t>
      </w:r>
      <w:r w:rsidRPr="000E0F6B" w:rsidR="00B37F1A">
        <w:rPr>
          <w:bCs/>
        </w:rPr>
        <w:t xml:space="preserve">penbaar </w:t>
      </w:r>
      <w:r w:rsidRPr="000E0F6B">
        <w:rPr>
          <w:bCs/>
        </w:rPr>
        <w:t>M</w:t>
      </w:r>
      <w:r w:rsidRPr="000E0F6B" w:rsidR="00B37F1A">
        <w:rPr>
          <w:bCs/>
        </w:rPr>
        <w:t>inisterie</w:t>
      </w:r>
      <w:r w:rsidRPr="000E0F6B">
        <w:rPr>
          <w:bCs/>
        </w:rPr>
        <w:t xml:space="preserve"> in maart </w:t>
      </w:r>
      <w:r w:rsidRPr="000E0F6B" w:rsidR="00323E25">
        <w:rPr>
          <w:bCs/>
        </w:rPr>
        <w:t>2025</w:t>
      </w:r>
      <w:r w:rsidRPr="000E0F6B">
        <w:rPr>
          <w:bCs/>
        </w:rPr>
        <w:t xml:space="preserve"> heeft besloten om geen nieuwe zaken rondom artikel 5b van de Leerplichtwet in behandeling te nemen. De staatssecretaris antwoordde in reactie op Kamervragen</w:t>
      </w:r>
      <w:r w:rsidRPr="000E0F6B" w:rsidR="00B37F1A">
        <w:rPr>
          <w:rStyle w:val="Voetnootmarkering"/>
          <w:bCs/>
        </w:rPr>
        <w:footnoteReference w:id="53"/>
      </w:r>
      <w:r w:rsidRPr="000E0F6B">
        <w:rPr>
          <w:bCs/>
        </w:rPr>
        <w:t xml:space="preserve"> naar aanleiding van deze nieuwe situatie dat ze zich zou beraden op de mogelijkheden, waaronder de mogelijkheid om de vrijstelling wegens richtingsbezwaren te schrappen. Kan de staatssecretaris hier een update over geven? Is de staatssecretaris het met de</w:t>
      </w:r>
      <w:r w:rsidRPr="000E0F6B" w:rsidR="00B37F1A">
        <w:rPr>
          <w:bCs/>
        </w:rPr>
        <w:t>ze</w:t>
      </w:r>
      <w:r w:rsidRPr="000E0F6B">
        <w:rPr>
          <w:bCs/>
        </w:rPr>
        <w:t xml:space="preserve"> leden eens dat het geven van thuisonderwijs door ouders</w:t>
      </w:r>
      <w:r w:rsidRPr="000E0F6B" w:rsidR="00B37F1A">
        <w:rPr>
          <w:bCs/>
        </w:rPr>
        <w:t xml:space="preserve"> mogelijk</w:t>
      </w:r>
      <w:r w:rsidRPr="000E0F6B">
        <w:rPr>
          <w:bCs/>
        </w:rPr>
        <w:t xml:space="preserve"> moet blijven als er geen school van hun levensbeschouwelijke richting in de buurt is? Zo nee, waarom niet? </w:t>
      </w:r>
      <w:r w:rsidRPr="000E0F6B" w:rsidR="007E3051">
        <w:rPr>
          <w:bCs/>
        </w:rPr>
        <w:br/>
      </w:r>
    </w:p>
    <w:p w:rsidRPr="000E0F6B" w:rsidR="00876181" w:rsidP="000E0F6B" w:rsidRDefault="00E60997" w14:paraId="56DA9747" w14:textId="2CB61FDF">
      <w:pPr>
        <w:rPr>
          <w:b/>
        </w:rPr>
      </w:pPr>
      <w:r w:rsidRPr="000E0F6B">
        <w:rPr>
          <w:b/>
        </w:rPr>
        <w:t xml:space="preserve">II </w:t>
      </w:r>
      <w:r w:rsidRPr="000E0F6B" w:rsidR="00876181">
        <w:rPr>
          <w:b/>
        </w:rPr>
        <w:t xml:space="preserve">Reactie van de </w:t>
      </w:r>
      <w:r w:rsidRPr="000E0F6B" w:rsidR="00500DDA">
        <w:rPr>
          <w:b/>
        </w:rPr>
        <w:t xml:space="preserve">minister en </w:t>
      </w:r>
      <w:r w:rsidRPr="000E0F6B" w:rsidR="003E3DB9">
        <w:rPr>
          <w:b/>
        </w:rPr>
        <w:t>staatssecretaris</w:t>
      </w:r>
      <w:r w:rsidRPr="000E0F6B" w:rsidR="00876181">
        <w:rPr>
          <w:b/>
        </w:rPr>
        <w:t xml:space="preserve"> </w:t>
      </w:r>
      <w:r w:rsidRPr="000E0F6B" w:rsidR="002947C1">
        <w:rPr>
          <w:b/>
        </w:rPr>
        <w:t>van Onderwijs, Cultuur en Wetenschap</w:t>
      </w:r>
    </w:p>
    <w:p w:rsidRPr="000E0F6B" w:rsidR="00804A1A" w:rsidP="000E0F6B" w:rsidRDefault="00804A1A" w14:paraId="1AEA5351" w14:textId="77777777">
      <w:pPr>
        <w:rPr>
          <w:b/>
        </w:rPr>
      </w:pPr>
    </w:p>
    <w:p w:rsidRPr="000E0F6B" w:rsidR="00804A1A" w:rsidP="000E0F6B" w:rsidRDefault="00804A1A" w14:paraId="2A8AF9B5" w14:textId="77777777"/>
    <w:sectPr w:rsidRPr="000E0F6B"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0D92" w14:textId="77777777" w:rsidR="002B5BB3" w:rsidRDefault="002B5BB3" w:rsidP="001A0B98">
      <w:r>
        <w:separator/>
      </w:r>
    </w:p>
  </w:endnote>
  <w:endnote w:type="continuationSeparator" w:id="0">
    <w:p w14:paraId="56503FBE" w14:textId="77777777" w:rsidR="002B5BB3" w:rsidRDefault="002B5BB3" w:rsidP="001A0B98">
      <w:r>
        <w:continuationSeparator/>
      </w:r>
    </w:p>
  </w:endnote>
  <w:endnote w:type="continuationNotice" w:id="1">
    <w:p w14:paraId="21A19CC9" w14:textId="77777777" w:rsidR="002B5BB3" w:rsidRDefault="002B5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FC61" w14:textId="77777777" w:rsidR="002B5BB3" w:rsidRDefault="002B5BB3" w:rsidP="001A0B98">
      <w:r>
        <w:separator/>
      </w:r>
    </w:p>
  </w:footnote>
  <w:footnote w:type="continuationSeparator" w:id="0">
    <w:p w14:paraId="6EE3F8E3" w14:textId="77777777" w:rsidR="002B5BB3" w:rsidRDefault="002B5BB3" w:rsidP="001A0B98">
      <w:r>
        <w:continuationSeparator/>
      </w:r>
    </w:p>
  </w:footnote>
  <w:footnote w:type="continuationNotice" w:id="1">
    <w:p w14:paraId="5967C637" w14:textId="77777777" w:rsidR="002B5BB3" w:rsidRDefault="002B5BB3"/>
  </w:footnote>
  <w:footnote w:id="2">
    <w:p w14:paraId="54D5C672" w14:textId="39516D9F" w:rsidR="00D32557" w:rsidRDefault="00D32557" w:rsidP="00D32557">
      <w:pPr>
        <w:pStyle w:val="Voetnoottekst"/>
      </w:pPr>
      <w:r>
        <w:rPr>
          <w:rStyle w:val="Voetnootmarkering"/>
        </w:rPr>
        <w:footnoteRef/>
      </w:r>
      <w:r>
        <w:t xml:space="preserve"> Besluitenlijst </w:t>
      </w:r>
      <w:hyperlink r:id="rId1" w:history="1">
        <w:r>
          <w:rPr>
            <w:rStyle w:val="Hyperlink"/>
          </w:rPr>
          <w:t>Strategische Procedurevergadering 6 februari 2025</w:t>
        </w:r>
      </w:hyperlink>
      <w:r>
        <w:t>.</w:t>
      </w:r>
    </w:p>
  </w:footnote>
  <w:footnote w:id="3">
    <w:p w14:paraId="282AD610" w14:textId="77777777" w:rsidR="00D32557" w:rsidRDefault="00D32557" w:rsidP="00D32557">
      <w:pPr>
        <w:pStyle w:val="Voetnoottekst"/>
      </w:pPr>
      <w:r>
        <w:rPr>
          <w:rStyle w:val="Voetnootmarkering"/>
        </w:rPr>
        <w:footnoteRef/>
      </w:r>
      <w:r>
        <w:t xml:space="preserve"> Kamerstuk </w:t>
      </w:r>
      <w:hyperlink r:id="rId2" w:history="1">
        <w:r>
          <w:rPr>
            <w:rStyle w:val="Hyperlink"/>
          </w:rPr>
          <w:t>36740-VIII-2</w:t>
        </w:r>
      </w:hyperlink>
    </w:p>
  </w:footnote>
  <w:footnote w:id="4">
    <w:p w14:paraId="0E62E4B4" w14:textId="77777777" w:rsidR="00D32557" w:rsidRDefault="00D32557" w:rsidP="00D32557">
      <w:pPr>
        <w:pStyle w:val="Voetnoottekst"/>
      </w:pPr>
      <w:r>
        <w:rPr>
          <w:rStyle w:val="Voetnootmarkering"/>
        </w:rPr>
        <w:footnoteRef/>
      </w:r>
      <w:r>
        <w:t xml:space="preserve"> Kamerstuk </w:t>
      </w:r>
      <w:hyperlink r:id="rId3" w:history="1">
        <w:r>
          <w:rPr>
            <w:rStyle w:val="Hyperlink"/>
          </w:rPr>
          <w:t>36740-VIII-2</w:t>
        </w:r>
      </w:hyperlink>
      <w:r>
        <w:t>, p. 39</w:t>
      </w:r>
    </w:p>
  </w:footnote>
  <w:footnote w:id="5">
    <w:p w14:paraId="02EC8C69" w14:textId="77777777" w:rsidR="00D32557" w:rsidRDefault="00D32557" w:rsidP="00D32557">
      <w:pPr>
        <w:pStyle w:val="Voetnoottekst"/>
      </w:pPr>
      <w:r>
        <w:rPr>
          <w:rStyle w:val="Voetnootmarkering"/>
        </w:rPr>
        <w:footnoteRef/>
      </w:r>
      <w:r>
        <w:t xml:space="preserve"> Kamerstuk </w:t>
      </w:r>
      <w:hyperlink r:id="rId4" w:history="1">
        <w:r>
          <w:rPr>
            <w:rStyle w:val="Hyperlink"/>
          </w:rPr>
          <w:t>36740-VIII-2</w:t>
        </w:r>
      </w:hyperlink>
      <w:r>
        <w:t>, p. 42-43</w:t>
      </w:r>
    </w:p>
  </w:footnote>
  <w:footnote w:id="6">
    <w:p w14:paraId="47D34267" w14:textId="77777777" w:rsidR="00D32557" w:rsidRDefault="00D32557" w:rsidP="00D32557">
      <w:pPr>
        <w:pStyle w:val="Voetnoottekst"/>
      </w:pPr>
      <w:r>
        <w:rPr>
          <w:rStyle w:val="Voetnootmarkering"/>
        </w:rPr>
        <w:footnoteRef/>
      </w:r>
      <w:r>
        <w:t xml:space="preserve"> Kamerstuk II 2024/25, 36740-VIII, nr. 1, p. 109</w:t>
      </w:r>
    </w:p>
  </w:footnote>
  <w:footnote w:id="7">
    <w:p w14:paraId="0EA75459" w14:textId="77777777" w:rsidR="00D32557" w:rsidRDefault="00D32557" w:rsidP="00D32557">
      <w:pPr>
        <w:pStyle w:val="Voetnoottekst"/>
      </w:pPr>
      <w:r>
        <w:rPr>
          <w:rStyle w:val="Voetnootmarkering"/>
        </w:rPr>
        <w:footnoteRef/>
      </w:r>
      <w:r>
        <w:t xml:space="preserve"> Kamerstuk II 2023/24, </w:t>
      </w:r>
      <w:hyperlink r:id="rId5" w:history="1">
        <w:r>
          <w:rPr>
            <w:rStyle w:val="Hyperlink"/>
          </w:rPr>
          <w:t>31865, nr. 254</w:t>
        </w:r>
      </w:hyperlink>
      <w:r>
        <w:t>.</w:t>
      </w:r>
    </w:p>
  </w:footnote>
  <w:footnote w:id="8">
    <w:p w14:paraId="445B862A" w14:textId="77777777" w:rsidR="00D32557" w:rsidRDefault="00D32557" w:rsidP="00D32557">
      <w:pPr>
        <w:pStyle w:val="Voetnoottekst"/>
      </w:pPr>
      <w:r>
        <w:rPr>
          <w:rStyle w:val="Voetnootmarkering"/>
        </w:rPr>
        <w:footnoteRef/>
      </w:r>
      <w:r>
        <w:t xml:space="preserve"> Kamerstuk II 2024/25, 36740-VIII, nr.1, p. 43.</w:t>
      </w:r>
    </w:p>
  </w:footnote>
  <w:footnote w:id="9">
    <w:p w14:paraId="0636DD11" w14:textId="77777777" w:rsidR="00D32557" w:rsidRDefault="00D32557" w:rsidP="00D32557">
      <w:pPr>
        <w:pStyle w:val="Voetnoottekst"/>
      </w:pPr>
      <w:r>
        <w:rPr>
          <w:rStyle w:val="Voetnootmarkering"/>
        </w:rPr>
        <w:footnoteRef/>
      </w:r>
      <w:r>
        <w:t xml:space="preserve"> Kamerstuk II 2024/25, 36740-VIII, nr.1, p. 41.</w:t>
      </w:r>
    </w:p>
  </w:footnote>
  <w:footnote w:id="10">
    <w:p w14:paraId="01CB868F" w14:textId="77777777" w:rsidR="00D32557" w:rsidRDefault="00D32557" w:rsidP="00D32557">
      <w:pPr>
        <w:pStyle w:val="Voetnoottekst"/>
      </w:pPr>
      <w:r>
        <w:rPr>
          <w:rStyle w:val="Voetnootmarkering"/>
        </w:rPr>
        <w:footnoteRef/>
      </w:r>
      <w:r>
        <w:t xml:space="preserve"> Kamerstuk </w:t>
      </w:r>
      <w:hyperlink r:id="rId6" w:history="1">
        <w:r>
          <w:rPr>
            <w:rStyle w:val="Hyperlink"/>
          </w:rPr>
          <w:t>36740-VIII-2</w:t>
        </w:r>
      </w:hyperlink>
      <w:r>
        <w:t>, p. 27-28</w:t>
      </w:r>
    </w:p>
  </w:footnote>
  <w:footnote w:id="11">
    <w:p w14:paraId="77F5C3F5" w14:textId="77777777" w:rsidR="00D32557" w:rsidRDefault="00D32557" w:rsidP="00D32557">
      <w:pPr>
        <w:pStyle w:val="Voetnoottekst"/>
      </w:pPr>
      <w:r>
        <w:rPr>
          <w:rStyle w:val="Voetnootmarkering"/>
        </w:rPr>
        <w:footnoteRef/>
      </w:r>
      <w:r>
        <w:t xml:space="preserve"> Kamerstuk </w:t>
      </w:r>
      <w:hyperlink r:id="rId7" w:history="1">
        <w:r>
          <w:rPr>
            <w:rStyle w:val="Hyperlink"/>
          </w:rPr>
          <w:t>36740-VIII-2</w:t>
        </w:r>
      </w:hyperlink>
      <w:r>
        <w:t>, p. 20-21</w:t>
      </w:r>
    </w:p>
  </w:footnote>
  <w:footnote w:id="12">
    <w:p w14:paraId="2A6B8E0F" w14:textId="77777777" w:rsidR="00D32557" w:rsidRDefault="00D32557" w:rsidP="00D32557">
      <w:pPr>
        <w:pStyle w:val="Voetnoottekst"/>
      </w:pPr>
      <w:r>
        <w:rPr>
          <w:rStyle w:val="Voetnootmarkering"/>
        </w:rPr>
        <w:footnoteRef/>
      </w:r>
      <w:r>
        <w:t xml:space="preserve"> Kamerstuk </w:t>
      </w:r>
      <w:hyperlink r:id="rId8" w:history="1">
        <w:r>
          <w:rPr>
            <w:rStyle w:val="Hyperlink"/>
          </w:rPr>
          <w:t>31511-66</w:t>
        </w:r>
      </w:hyperlink>
      <w:r>
        <w:t>, bijlage 1</w:t>
      </w:r>
    </w:p>
  </w:footnote>
  <w:footnote w:id="13">
    <w:p w14:paraId="7B35B02F" w14:textId="77777777" w:rsidR="00D32557" w:rsidRDefault="00D32557" w:rsidP="00D32557">
      <w:pPr>
        <w:pStyle w:val="Voetnoottekst"/>
      </w:pPr>
      <w:r>
        <w:rPr>
          <w:rStyle w:val="Voetnootmarkering"/>
        </w:rPr>
        <w:footnoteRef/>
      </w:r>
      <w:r>
        <w:t xml:space="preserve"> Kamerstuk </w:t>
      </w:r>
      <w:hyperlink r:id="rId9" w:history="1">
        <w:r>
          <w:rPr>
            <w:rStyle w:val="Hyperlink"/>
          </w:rPr>
          <w:t>36740-VIII-2</w:t>
        </w:r>
      </w:hyperlink>
      <w:r>
        <w:t>, p. 15-16</w:t>
      </w:r>
    </w:p>
  </w:footnote>
  <w:footnote w:id="14">
    <w:p w14:paraId="55B4FA00" w14:textId="77777777" w:rsidR="00D32557" w:rsidRDefault="00D32557" w:rsidP="00D32557">
      <w:pPr>
        <w:pStyle w:val="Voetnoottekst"/>
      </w:pPr>
      <w:r>
        <w:rPr>
          <w:rStyle w:val="Voetnootmarkering"/>
        </w:rPr>
        <w:footnoteRef/>
      </w:r>
      <w:r>
        <w:t xml:space="preserve"> KPI: </w:t>
      </w:r>
      <w:proofErr w:type="spellStart"/>
      <w:r>
        <w:t>Key</w:t>
      </w:r>
      <w:proofErr w:type="spellEnd"/>
      <w:r>
        <w:t xml:space="preserve"> Performance Indicator (een meetbare waarde die aangeeft hoe wordt gepresteerd ten opzichte van gestelde</w:t>
      </w:r>
    </w:p>
    <w:p w14:paraId="1AE7C6D1" w14:textId="77777777" w:rsidR="00D32557" w:rsidRDefault="00D32557" w:rsidP="00D32557">
      <w:pPr>
        <w:pStyle w:val="Voetnoottekst"/>
      </w:pPr>
      <w:r>
        <w:t>doelen).</w:t>
      </w:r>
    </w:p>
  </w:footnote>
  <w:footnote w:id="15">
    <w:p w14:paraId="48C2FA38" w14:textId="77777777" w:rsidR="00D32557" w:rsidRDefault="00D32557" w:rsidP="00D32557">
      <w:pPr>
        <w:pStyle w:val="Voetnoottekst"/>
      </w:pPr>
      <w:r>
        <w:rPr>
          <w:rStyle w:val="Voetnootmarkering"/>
        </w:rPr>
        <w:footnoteRef/>
      </w:r>
      <w:r>
        <w:t xml:space="preserve"> Kamerstuk </w:t>
      </w:r>
      <w:hyperlink r:id="rId10" w:history="1">
        <w:r>
          <w:rPr>
            <w:rStyle w:val="Hyperlink"/>
          </w:rPr>
          <w:t>36740-VIII-8</w:t>
        </w:r>
      </w:hyperlink>
    </w:p>
  </w:footnote>
  <w:footnote w:id="16">
    <w:p w14:paraId="7B061C51" w14:textId="77777777" w:rsidR="00D32557" w:rsidRDefault="00D32557" w:rsidP="00D32557">
      <w:pPr>
        <w:pStyle w:val="Voetnoottekst"/>
      </w:pPr>
      <w:r>
        <w:rPr>
          <w:rStyle w:val="Voetnootmarkering"/>
        </w:rPr>
        <w:footnoteRef/>
      </w:r>
      <w:r>
        <w:t xml:space="preserve"> Zie het stenogram van het </w:t>
      </w:r>
      <w:hyperlink r:id="rId11" w:history="1">
        <w:r>
          <w:rPr>
            <w:rStyle w:val="Hyperlink"/>
          </w:rPr>
          <w:t xml:space="preserve">WGO </w:t>
        </w:r>
        <w:proofErr w:type="spellStart"/>
        <w:r>
          <w:rPr>
            <w:rStyle w:val="Hyperlink"/>
          </w:rPr>
          <w:t>Slotwet</w:t>
        </w:r>
        <w:proofErr w:type="spellEnd"/>
        <w:r>
          <w:rPr>
            <w:rStyle w:val="Hyperlink"/>
          </w:rPr>
          <w:t>, Jaarverslag 2023 en Staat van het Onderwijs</w:t>
        </w:r>
      </w:hyperlink>
      <w:r>
        <w:t xml:space="preserve"> van 10 juni 2024, p. 6-7</w:t>
      </w:r>
    </w:p>
  </w:footnote>
  <w:footnote w:id="17">
    <w:p w14:paraId="347957CC" w14:textId="77777777" w:rsidR="00D32557" w:rsidRDefault="00D32557" w:rsidP="00D32557">
      <w:pPr>
        <w:pStyle w:val="Voetnoottekst"/>
      </w:pPr>
      <w:r>
        <w:rPr>
          <w:rStyle w:val="Voetnootmarkering"/>
        </w:rPr>
        <w:footnoteRef/>
      </w:r>
      <w:r>
        <w:t xml:space="preserve"> Kamerstuk </w:t>
      </w:r>
      <w:hyperlink r:id="rId12" w:history="1">
        <w:r>
          <w:rPr>
            <w:rStyle w:val="Hyperlink"/>
          </w:rPr>
          <w:t>31511-66</w:t>
        </w:r>
      </w:hyperlink>
    </w:p>
  </w:footnote>
  <w:footnote w:id="18">
    <w:p w14:paraId="2E29F711" w14:textId="77777777" w:rsidR="00D32557" w:rsidRDefault="00D32557" w:rsidP="00D32557">
      <w:pPr>
        <w:pStyle w:val="Voetnoottekst"/>
      </w:pPr>
      <w:r>
        <w:rPr>
          <w:rStyle w:val="Voetnootmarkering"/>
        </w:rPr>
        <w:footnoteRef/>
      </w:r>
      <w:r>
        <w:t xml:space="preserve"> </w:t>
      </w:r>
      <w:proofErr w:type="spellStart"/>
      <w:r>
        <w:t>Kruiter</w:t>
      </w:r>
      <w:proofErr w:type="spellEnd"/>
      <w:r>
        <w:t xml:space="preserve">, J., </w:t>
      </w:r>
      <w:proofErr w:type="spellStart"/>
      <w:r>
        <w:t>Wierdsma</w:t>
      </w:r>
      <w:proofErr w:type="spellEnd"/>
      <w:r>
        <w:t xml:space="preserve">, I., Willems, M., Gölpinar, C., Berg, E. van den &amp; </w:t>
      </w:r>
      <w:proofErr w:type="spellStart"/>
      <w:r>
        <w:t>Pritsch</w:t>
      </w:r>
      <w:proofErr w:type="spellEnd"/>
      <w:r>
        <w:t xml:space="preserve">, D. (2025). </w:t>
      </w:r>
      <w:hyperlink r:id="rId13" w:history="1">
        <w:r>
          <w:rPr>
            <w:rStyle w:val="Hyperlink"/>
            <w:i/>
            <w:iCs/>
          </w:rPr>
          <w:t>Meerjarige landelijke monitor School en Omgeving. Terugblik op schooljaar 2023-2024. Tweede tussenrapportage, januari 2025</w:t>
        </w:r>
      </w:hyperlink>
      <w:r>
        <w:rPr>
          <w:i/>
          <w:iCs/>
        </w:rPr>
        <w:t xml:space="preserve">. </w:t>
      </w:r>
      <w:r>
        <w:t xml:space="preserve">Utrecht: </w:t>
      </w:r>
      <w:proofErr w:type="spellStart"/>
      <w:r>
        <w:t>Sardes</w:t>
      </w:r>
      <w:proofErr w:type="spellEnd"/>
      <w:r>
        <w:t xml:space="preserve"> en SEO. Bijlage bij Kamerstuk </w:t>
      </w:r>
      <w:hyperlink r:id="rId14" w:history="1">
        <w:r>
          <w:rPr>
            <w:rStyle w:val="Hyperlink"/>
          </w:rPr>
          <w:t>31293-786</w:t>
        </w:r>
      </w:hyperlink>
      <w:r>
        <w:t>.</w:t>
      </w:r>
    </w:p>
  </w:footnote>
  <w:footnote w:id="19">
    <w:p w14:paraId="1AF8055E" w14:textId="77777777" w:rsidR="00D32557" w:rsidRDefault="00D32557" w:rsidP="00D32557">
      <w:pPr>
        <w:pStyle w:val="Voetnoottekst"/>
      </w:pPr>
      <w:r>
        <w:rPr>
          <w:rStyle w:val="Voetnootmarkering"/>
        </w:rPr>
        <w:footnoteRef/>
      </w:r>
      <w:r>
        <w:t xml:space="preserve"> Berg, E. van den, </w:t>
      </w:r>
      <w:proofErr w:type="spellStart"/>
      <w:r>
        <w:t>Bussink</w:t>
      </w:r>
      <w:proofErr w:type="spellEnd"/>
      <w:r>
        <w:t xml:space="preserve">, H., </w:t>
      </w:r>
      <w:proofErr w:type="spellStart"/>
      <w:r>
        <w:t>Eijkern</w:t>
      </w:r>
      <w:proofErr w:type="spellEnd"/>
      <w:r>
        <w:t xml:space="preserve">, I. van, Knol, J., Grinten, M. van der, Kamphuis, E. (2024). </w:t>
      </w:r>
      <w:hyperlink r:id="rId15" w:history="1">
        <w:r>
          <w:rPr>
            <w:rStyle w:val="Hyperlink"/>
            <w:i/>
            <w:iCs/>
          </w:rPr>
          <w:t>Resultaten van 10 jaar cultuureducatiebeleid. Periodieke rapportage cultuureducatiebeleid 2013-2022. Eindrapport.</w:t>
        </w:r>
      </w:hyperlink>
      <w:r>
        <w:t xml:space="preserve"> Amsterdam: SEO economisch onderzoek &amp; Oberon. Bijlage bij Kamerstuk </w:t>
      </w:r>
      <w:hyperlink r:id="rId16" w:history="1">
        <w:r>
          <w:rPr>
            <w:rStyle w:val="Hyperlink"/>
          </w:rPr>
          <w:t>32820-538</w:t>
        </w:r>
      </w:hyperlink>
    </w:p>
  </w:footnote>
  <w:footnote w:id="20">
    <w:p w14:paraId="37F2B7D9" w14:textId="77777777" w:rsidR="00D32557" w:rsidRDefault="00D32557" w:rsidP="00D32557">
      <w:pPr>
        <w:pStyle w:val="Voetnoottekst"/>
      </w:pPr>
      <w:r>
        <w:rPr>
          <w:rStyle w:val="Voetnootmarkering"/>
        </w:rPr>
        <w:footnoteRef/>
      </w:r>
      <w:r>
        <w:t xml:space="preserve"> Kort gezegd gaat het hier om de volgende aanbevelingen: 1) definieer en operationaliseer de doelen; 2) stel vooraf een beleidstheorie op; 3) definieer outputindicatoren en streefwaarden daarvoor; 4) richt onderzoek op de specifieke doelen van de beleidsmaatregelen; 5) betrek de kosten van het beleid in onderzoek, bv. door een kosten-batenanalyse te maken; 6) evalueer integraal door de diverse maatregelen ook in samenhang te onderzoeken.</w:t>
      </w:r>
    </w:p>
  </w:footnote>
  <w:footnote w:id="21">
    <w:p w14:paraId="7583CB5B" w14:textId="77777777" w:rsidR="00D32557" w:rsidRDefault="00D32557" w:rsidP="00D32557">
      <w:pPr>
        <w:pStyle w:val="Voetnoottekst"/>
      </w:pPr>
      <w:r>
        <w:rPr>
          <w:rStyle w:val="Voetnootmarkering"/>
        </w:rPr>
        <w:footnoteRef/>
      </w:r>
      <w:r>
        <w:t xml:space="preserve"> Toegezegd in Kamerstuk. </w:t>
      </w:r>
      <w:hyperlink r:id="rId17" w:history="1">
        <w:r>
          <w:rPr>
            <w:rStyle w:val="Hyperlink"/>
          </w:rPr>
          <w:t>36740-VIII-8</w:t>
        </w:r>
      </w:hyperlink>
    </w:p>
  </w:footnote>
  <w:footnote w:id="22">
    <w:p w14:paraId="5C1D65DB" w14:textId="77777777" w:rsidR="00D32557" w:rsidRDefault="00D32557" w:rsidP="00D32557">
      <w:pPr>
        <w:pStyle w:val="Voetnoottekst"/>
      </w:pPr>
      <w:r>
        <w:rPr>
          <w:rStyle w:val="Voetnootmarkering"/>
        </w:rPr>
        <w:footnoteRef/>
      </w:r>
      <w:r>
        <w:t xml:space="preserve"> Kamerstuk </w:t>
      </w:r>
      <w:hyperlink r:id="rId18" w:history="1">
        <w:r>
          <w:rPr>
            <w:rStyle w:val="Hyperlink"/>
          </w:rPr>
          <w:t>36740-VIII-1</w:t>
        </w:r>
      </w:hyperlink>
      <w:r>
        <w:t>, p. 20</w:t>
      </w:r>
    </w:p>
  </w:footnote>
  <w:footnote w:id="23">
    <w:p w14:paraId="6ED96FE0" w14:textId="77777777" w:rsidR="00D32557" w:rsidRDefault="00D32557" w:rsidP="00D32557">
      <w:pPr>
        <w:pStyle w:val="Voetnoottekst"/>
      </w:pPr>
      <w:r>
        <w:rPr>
          <w:rStyle w:val="Voetnootmarkering"/>
        </w:rPr>
        <w:footnoteRef/>
      </w:r>
      <w:r>
        <w:t xml:space="preserve"> R&amp;D: research </w:t>
      </w:r>
      <w:proofErr w:type="spellStart"/>
      <w:r>
        <w:t>and</w:t>
      </w:r>
      <w:proofErr w:type="spellEnd"/>
      <w:r>
        <w:t xml:space="preserve"> development</w:t>
      </w:r>
    </w:p>
  </w:footnote>
  <w:footnote w:id="24">
    <w:p w14:paraId="26A5E51B" w14:textId="77777777" w:rsidR="00D32557" w:rsidRDefault="00D32557" w:rsidP="00D32557">
      <w:pPr>
        <w:pStyle w:val="Voetnoottekst"/>
      </w:pPr>
      <w:r>
        <w:rPr>
          <w:rStyle w:val="Voetnootmarkering"/>
        </w:rPr>
        <w:footnoteRef/>
      </w:r>
      <w:r>
        <w:t xml:space="preserve"> </w:t>
      </w:r>
      <w:hyperlink r:id="rId19" w:history="1">
        <w:r>
          <w:rPr>
            <w:rStyle w:val="Hyperlink"/>
          </w:rPr>
          <w:t>SDG 9.3 Kennis en innovatie | CBS</w:t>
        </w:r>
      </w:hyperlink>
      <w:r>
        <w:t>, geraadpleegd 16-6-2025</w:t>
      </w:r>
    </w:p>
  </w:footnote>
  <w:footnote w:id="25">
    <w:p w14:paraId="4552F2AF" w14:textId="77777777" w:rsidR="00D32557" w:rsidRDefault="00D32557" w:rsidP="00D32557">
      <w:pPr>
        <w:pStyle w:val="Voetnoottekst"/>
      </w:pPr>
      <w:r>
        <w:rPr>
          <w:rStyle w:val="Voetnootmarkering"/>
        </w:rPr>
        <w:footnoteRef/>
      </w:r>
      <w:r>
        <w:t xml:space="preserve"> Bruto Binnenlands Product</w:t>
      </w:r>
    </w:p>
  </w:footnote>
  <w:footnote w:id="26">
    <w:p w14:paraId="1A34EE0E" w14:textId="77777777" w:rsidR="00D32557" w:rsidRDefault="00D32557" w:rsidP="00D32557">
      <w:pPr>
        <w:pStyle w:val="Voetnoottekst"/>
      </w:pPr>
      <w:r>
        <w:rPr>
          <w:rStyle w:val="Voetnootmarkering"/>
        </w:rPr>
        <w:footnoteRef/>
      </w:r>
      <w:r>
        <w:t xml:space="preserve"> Zie het stenogram van het </w:t>
      </w:r>
      <w:hyperlink r:id="rId20" w:history="1">
        <w:r>
          <w:rPr>
            <w:rStyle w:val="Hyperlink"/>
          </w:rPr>
          <w:t xml:space="preserve">WGO </w:t>
        </w:r>
        <w:proofErr w:type="spellStart"/>
        <w:r>
          <w:rPr>
            <w:rStyle w:val="Hyperlink"/>
          </w:rPr>
          <w:t>Slotwet</w:t>
        </w:r>
        <w:proofErr w:type="spellEnd"/>
        <w:r>
          <w:rPr>
            <w:rStyle w:val="Hyperlink"/>
          </w:rPr>
          <w:t>, Jaarverslag 2023 en Staat van het Onderwijs</w:t>
        </w:r>
      </w:hyperlink>
      <w:r>
        <w:t xml:space="preserve"> van 10 juni 2024, p. 3-5</w:t>
      </w:r>
    </w:p>
  </w:footnote>
  <w:footnote w:id="27">
    <w:p w14:paraId="7B9D57B0" w14:textId="77777777" w:rsidR="00D32557" w:rsidRDefault="00D32557" w:rsidP="00D32557">
      <w:pPr>
        <w:pStyle w:val="Voetnoottekst"/>
      </w:pPr>
      <w:r>
        <w:rPr>
          <w:rStyle w:val="Voetnootmarkering"/>
        </w:rPr>
        <w:footnoteRef/>
      </w:r>
      <w:r>
        <w:t xml:space="preserve"> </w:t>
      </w:r>
      <w:hyperlink r:id="rId21" w:history="1">
        <w:r>
          <w:rPr>
            <w:rStyle w:val="Hyperlink"/>
          </w:rPr>
          <w:t>Verdeling: Stapeling | CBS</w:t>
        </w:r>
      </w:hyperlink>
      <w:r>
        <w:t>, geraadpleegd 24-6-2025</w:t>
      </w:r>
    </w:p>
  </w:footnote>
  <w:footnote w:id="28">
    <w:p w14:paraId="7B4283EF" w14:textId="5724CAC5" w:rsidR="006B54EF" w:rsidRPr="005722D4" w:rsidRDefault="006B54EF">
      <w:pPr>
        <w:pStyle w:val="Voetnoottekst"/>
      </w:pPr>
      <w:r>
        <w:rPr>
          <w:rStyle w:val="Voetnootmarkering"/>
        </w:rPr>
        <w:footnoteRef/>
      </w:r>
      <w:r w:rsidRPr="005722D4">
        <w:t xml:space="preserve"> PISA: </w:t>
      </w:r>
      <w:proofErr w:type="spellStart"/>
      <w:r w:rsidRPr="005722D4">
        <w:t>Programme</w:t>
      </w:r>
      <w:proofErr w:type="spellEnd"/>
      <w:r w:rsidRPr="005722D4">
        <w:t xml:space="preserve"> </w:t>
      </w:r>
      <w:proofErr w:type="spellStart"/>
      <w:r w:rsidRPr="005722D4">
        <w:t>for</w:t>
      </w:r>
      <w:proofErr w:type="spellEnd"/>
      <w:r w:rsidRPr="005722D4">
        <w:t xml:space="preserve"> International Student Assessment</w:t>
      </w:r>
    </w:p>
  </w:footnote>
  <w:footnote w:id="29">
    <w:p w14:paraId="410C9424" w14:textId="3307AD58" w:rsidR="00435659" w:rsidRPr="00103F20" w:rsidRDefault="00435659" w:rsidP="00435659">
      <w:pPr>
        <w:pStyle w:val="Voetnoottekst"/>
      </w:pPr>
      <w:r w:rsidRPr="00103F20">
        <w:rPr>
          <w:rStyle w:val="Voetnootmarkering"/>
          <w:rFonts w:eastAsia="Arial"/>
        </w:rPr>
        <w:footnoteRef/>
      </w:r>
      <w:r w:rsidRPr="00103F20">
        <w:rPr>
          <w:rFonts w:eastAsia="Arial"/>
        </w:rPr>
        <w:t xml:space="preserve"> Kamerstuk </w:t>
      </w:r>
      <w:hyperlink r:id="rId22" w:history="1">
        <w:r w:rsidRPr="00103F20">
          <w:rPr>
            <w:rStyle w:val="Hyperlink"/>
            <w:rFonts w:eastAsia="Arial"/>
          </w:rPr>
          <w:t>36410</w:t>
        </w:r>
        <w:r w:rsidR="00103F20" w:rsidRPr="00103F20">
          <w:rPr>
            <w:rStyle w:val="Hyperlink"/>
            <w:rFonts w:eastAsia="Arial"/>
          </w:rPr>
          <w:t>-</w:t>
        </w:r>
        <w:r w:rsidRPr="00103F20">
          <w:rPr>
            <w:rStyle w:val="Hyperlink"/>
            <w:rFonts w:eastAsia="Arial"/>
          </w:rPr>
          <w:t>VIII</w:t>
        </w:r>
        <w:r w:rsidR="00103F20" w:rsidRPr="00103F20">
          <w:rPr>
            <w:rStyle w:val="Hyperlink"/>
            <w:rFonts w:eastAsia="Arial"/>
          </w:rPr>
          <w:t>-</w:t>
        </w:r>
        <w:r w:rsidRPr="00103F20">
          <w:rPr>
            <w:rStyle w:val="Hyperlink"/>
            <w:rFonts w:eastAsia="Arial"/>
          </w:rPr>
          <w:t>60</w:t>
        </w:r>
      </w:hyperlink>
    </w:p>
  </w:footnote>
  <w:footnote w:id="30">
    <w:p w14:paraId="1A9BF38F" w14:textId="18D4D83E" w:rsidR="00435659" w:rsidRPr="00103F20" w:rsidRDefault="00435659" w:rsidP="00435659">
      <w:pPr>
        <w:pStyle w:val="Voetnoottekst"/>
      </w:pPr>
      <w:r w:rsidRPr="00103F20">
        <w:rPr>
          <w:rStyle w:val="Voetnootmarkering"/>
          <w:rFonts w:eastAsia="Arial"/>
        </w:rPr>
        <w:footnoteRef/>
      </w:r>
      <w:r w:rsidRPr="00103F20">
        <w:rPr>
          <w:rFonts w:eastAsia="Arial"/>
        </w:rPr>
        <w:t xml:space="preserve"> Kamerstuk </w:t>
      </w:r>
      <w:hyperlink r:id="rId23" w:history="1">
        <w:r w:rsidRPr="00103F20">
          <w:rPr>
            <w:rStyle w:val="Hyperlink"/>
            <w:rFonts w:eastAsia="Arial"/>
          </w:rPr>
          <w:t>36560</w:t>
        </w:r>
        <w:r w:rsidR="00103F20" w:rsidRPr="00103F20">
          <w:rPr>
            <w:rStyle w:val="Hyperlink"/>
            <w:rFonts w:eastAsia="Arial"/>
          </w:rPr>
          <w:t>-</w:t>
        </w:r>
        <w:r w:rsidRPr="00103F20">
          <w:rPr>
            <w:rStyle w:val="Hyperlink"/>
            <w:rFonts w:eastAsia="Arial"/>
          </w:rPr>
          <w:t>VIII</w:t>
        </w:r>
        <w:r w:rsidR="00103F20" w:rsidRPr="00103F20">
          <w:rPr>
            <w:rStyle w:val="Hyperlink"/>
            <w:rFonts w:eastAsia="Arial"/>
          </w:rPr>
          <w:t>-</w:t>
        </w:r>
        <w:r w:rsidRPr="00103F20">
          <w:rPr>
            <w:rStyle w:val="Hyperlink"/>
            <w:rFonts w:eastAsia="Arial"/>
          </w:rPr>
          <w:t>8</w:t>
        </w:r>
      </w:hyperlink>
    </w:p>
  </w:footnote>
  <w:footnote w:id="31">
    <w:p w14:paraId="5E6C8ACC" w14:textId="73E9F928" w:rsidR="00435659" w:rsidRPr="00103F20" w:rsidRDefault="00435659" w:rsidP="00435659">
      <w:pPr>
        <w:pStyle w:val="Voetnoottekst"/>
        <w:rPr>
          <w:rFonts w:eastAsia="Arial"/>
        </w:rPr>
      </w:pPr>
      <w:r w:rsidRPr="00103F20">
        <w:rPr>
          <w:rStyle w:val="Voetnootmarkering"/>
          <w:rFonts w:eastAsia="Arial"/>
        </w:rPr>
        <w:footnoteRef/>
      </w:r>
      <w:r w:rsidRPr="00103F20">
        <w:rPr>
          <w:rFonts w:eastAsia="Arial"/>
        </w:rPr>
        <w:t xml:space="preserve"> ERK</w:t>
      </w:r>
      <w:r w:rsidR="00374075">
        <w:rPr>
          <w:rFonts w:eastAsia="Arial"/>
        </w:rPr>
        <w:t xml:space="preserve">: </w:t>
      </w:r>
      <w:r w:rsidRPr="00103F20">
        <w:rPr>
          <w:rFonts w:eastAsia="Arial"/>
        </w:rPr>
        <w:t>Europees Referentiekader voor de Talen.</w:t>
      </w:r>
    </w:p>
  </w:footnote>
  <w:footnote w:id="32">
    <w:p w14:paraId="2AF2C6E9" w14:textId="52D7D538" w:rsidR="00435659" w:rsidRPr="00103F20" w:rsidRDefault="00435659" w:rsidP="00435659">
      <w:pPr>
        <w:pStyle w:val="Voetnoottekst"/>
        <w:rPr>
          <w:rFonts w:eastAsia="Arial"/>
        </w:rPr>
      </w:pPr>
      <w:r w:rsidRPr="00103F20">
        <w:rPr>
          <w:rStyle w:val="Voetnootmarkering"/>
          <w:rFonts w:eastAsia="Arial"/>
        </w:rPr>
        <w:footnoteRef/>
      </w:r>
      <w:r w:rsidRPr="00103F20">
        <w:rPr>
          <w:rFonts w:eastAsia="Arial"/>
        </w:rPr>
        <w:t xml:space="preserve"> Kamerstuk </w:t>
      </w:r>
      <w:hyperlink r:id="rId24" w:history="1">
        <w:r w:rsidRPr="00374075">
          <w:rPr>
            <w:rStyle w:val="Hyperlink"/>
            <w:rFonts w:eastAsia="Arial"/>
          </w:rPr>
          <w:t>36740</w:t>
        </w:r>
        <w:r w:rsidR="00374075" w:rsidRPr="00374075">
          <w:rPr>
            <w:rStyle w:val="Hyperlink"/>
            <w:rFonts w:eastAsia="Arial"/>
          </w:rPr>
          <w:t>-</w:t>
        </w:r>
        <w:r w:rsidRPr="00374075">
          <w:rPr>
            <w:rStyle w:val="Hyperlink"/>
            <w:rFonts w:eastAsia="Arial"/>
          </w:rPr>
          <w:t>VIII</w:t>
        </w:r>
        <w:r w:rsidR="00374075" w:rsidRPr="00374075">
          <w:rPr>
            <w:rStyle w:val="Hyperlink"/>
            <w:rFonts w:eastAsia="Arial"/>
          </w:rPr>
          <w:t>-</w:t>
        </w:r>
        <w:r w:rsidRPr="00374075">
          <w:rPr>
            <w:rStyle w:val="Hyperlink"/>
            <w:rFonts w:eastAsia="Arial"/>
          </w:rPr>
          <w:t>6</w:t>
        </w:r>
      </w:hyperlink>
    </w:p>
  </w:footnote>
  <w:footnote w:id="33">
    <w:p w14:paraId="3FE76188" w14:textId="2250E5EF" w:rsidR="00435659" w:rsidRDefault="00435659" w:rsidP="00435659">
      <w:pPr>
        <w:pStyle w:val="Voetnoottekst"/>
      </w:pPr>
      <w:r w:rsidRPr="00103F20">
        <w:rPr>
          <w:rStyle w:val="Voetnootmarkering"/>
        </w:rPr>
        <w:footnoteRef/>
      </w:r>
      <w:r w:rsidRPr="00103F20">
        <w:t xml:space="preserve"> Bijlage </w:t>
      </w:r>
      <w:hyperlink r:id="rId25" w:history="1">
        <w:r w:rsidRPr="00374075">
          <w:rPr>
            <w:rStyle w:val="Hyperlink"/>
          </w:rPr>
          <w:t>2025D22743</w:t>
        </w:r>
      </w:hyperlink>
      <w:r w:rsidRPr="00103F20">
        <w:t xml:space="preserve"> bij Kamerstuk </w:t>
      </w:r>
      <w:hyperlink r:id="rId26" w:history="1">
        <w:r w:rsidRPr="0024690E">
          <w:rPr>
            <w:rStyle w:val="Hyperlink"/>
          </w:rPr>
          <w:t>36740</w:t>
        </w:r>
        <w:r w:rsidR="00374075" w:rsidRPr="0024690E">
          <w:rPr>
            <w:rStyle w:val="Hyperlink"/>
          </w:rPr>
          <w:t>-</w:t>
        </w:r>
        <w:r w:rsidRPr="0024690E">
          <w:rPr>
            <w:rStyle w:val="Hyperlink"/>
          </w:rPr>
          <w:t>VIII</w:t>
        </w:r>
        <w:r w:rsidR="00374075" w:rsidRPr="0024690E">
          <w:rPr>
            <w:rStyle w:val="Hyperlink"/>
          </w:rPr>
          <w:t>-</w:t>
        </w:r>
        <w:r w:rsidRPr="0024690E">
          <w:rPr>
            <w:rStyle w:val="Hyperlink"/>
          </w:rPr>
          <w:t>2</w:t>
        </w:r>
      </w:hyperlink>
      <w:r w:rsidRPr="00103F20">
        <w:t>, blz. 20</w:t>
      </w:r>
    </w:p>
  </w:footnote>
  <w:footnote w:id="34">
    <w:p w14:paraId="2A957673" w14:textId="411112CF" w:rsidR="00435659" w:rsidRPr="0024690E" w:rsidRDefault="00435659" w:rsidP="00435659">
      <w:pPr>
        <w:pStyle w:val="Voetnoottekst"/>
      </w:pPr>
      <w:r w:rsidRPr="0024690E">
        <w:rPr>
          <w:rStyle w:val="Voetnootmarkering"/>
        </w:rPr>
        <w:footnoteRef/>
      </w:r>
      <w:r w:rsidRPr="0024690E">
        <w:t xml:space="preserve"> </w:t>
      </w:r>
      <w:r w:rsidR="0024690E" w:rsidRPr="0024690E">
        <w:t>Staat van het Onderwijs 2025, b</w:t>
      </w:r>
      <w:r w:rsidRPr="0024690E">
        <w:t>lz. 5</w:t>
      </w:r>
    </w:p>
  </w:footnote>
  <w:footnote w:id="35">
    <w:p w14:paraId="42EDDDAA" w14:textId="3CE0AFA6" w:rsidR="00435659" w:rsidRPr="0024690E" w:rsidRDefault="00435659" w:rsidP="00435659">
      <w:pPr>
        <w:pStyle w:val="Voetnoottekst"/>
      </w:pPr>
      <w:r w:rsidRPr="0024690E">
        <w:rPr>
          <w:rStyle w:val="Voetnootmarkering"/>
        </w:rPr>
        <w:footnoteRef/>
      </w:r>
      <w:r w:rsidRPr="0024690E">
        <w:t xml:space="preserve"> </w:t>
      </w:r>
      <w:r w:rsidR="0024690E" w:rsidRPr="0024690E">
        <w:t xml:space="preserve">Kamerstuk </w:t>
      </w:r>
      <w:hyperlink r:id="rId27" w:history="1">
        <w:r w:rsidR="0024690E" w:rsidRPr="0024690E">
          <w:rPr>
            <w:rStyle w:val="Hyperlink"/>
          </w:rPr>
          <w:t>2025D27548</w:t>
        </w:r>
      </w:hyperlink>
    </w:p>
  </w:footnote>
  <w:footnote w:id="36">
    <w:p w14:paraId="3FB98567" w14:textId="77777777" w:rsidR="00736845" w:rsidRDefault="00736845" w:rsidP="00736845">
      <w:pPr>
        <w:pStyle w:val="Voetnoottekst"/>
        <w:rPr>
          <w:rFonts w:ascii="Arial" w:eastAsia="Arial" w:hAnsi="Arial" w:cs="Arial"/>
        </w:rPr>
      </w:pPr>
      <w:r w:rsidRPr="0024690E">
        <w:rPr>
          <w:rStyle w:val="Voetnootmarkering"/>
          <w:rFonts w:eastAsia="Arial"/>
        </w:rPr>
        <w:footnoteRef/>
      </w:r>
      <w:r w:rsidRPr="0024690E">
        <w:rPr>
          <w:rFonts w:eastAsia="Arial"/>
        </w:rPr>
        <w:t xml:space="preserve"> Kamerstuk 31007</w:t>
      </w:r>
      <w:r>
        <w:rPr>
          <w:rFonts w:eastAsia="Arial"/>
        </w:rPr>
        <w:t>-</w:t>
      </w:r>
      <w:r w:rsidRPr="0024690E">
        <w:rPr>
          <w:rFonts w:eastAsia="Arial"/>
        </w:rPr>
        <w:t>6, blz. 137</w:t>
      </w:r>
    </w:p>
  </w:footnote>
  <w:footnote w:id="37">
    <w:p w14:paraId="0710AF70" w14:textId="785996C2" w:rsidR="00D3528A" w:rsidRDefault="00D3528A">
      <w:pPr>
        <w:pStyle w:val="Voetnoottekst"/>
      </w:pPr>
      <w:r>
        <w:rPr>
          <w:rStyle w:val="Voetnootmarkering"/>
        </w:rPr>
        <w:footnoteRef/>
      </w:r>
      <w:r>
        <w:t xml:space="preserve"> Kamerstuk </w:t>
      </w:r>
      <w:hyperlink r:id="rId28" w:history="1">
        <w:r w:rsidRPr="00D3528A">
          <w:rPr>
            <w:rStyle w:val="Hyperlink"/>
          </w:rPr>
          <w:t>32761-277</w:t>
        </w:r>
      </w:hyperlink>
    </w:p>
  </w:footnote>
  <w:footnote w:id="38">
    <w:p w14:paraId="030BDC7D" w14:textId="0EAEDE5A" w:rsidR="000B14B4" w:rsidRDefault="000B14B4">
      <w:pPr>
        <w:pStyle w:val="Voetnoottekst"/>
      </w:pPr>
      <w:r>
        <w:rPr>
          <w:rStyle w:val="Voetnootmarkering"/>
        </w:rPr>
        <w:footnoteRef/>
      </w:r>
      <w:r>
        <w:t xml:space="preserve"> Vve: voor- en vroegschoolse educatie</w:t>
      </w:r>
    </w:p>
  </w:footnote>
  <w:footnote w:id="39">
    <w:p w14:paraId="64A10895" w14:textId="77777777" w:rsidR="005722D4" w:rsidRPr="00143A7A" w:rsidRDefault="005722D4" w:rsidP="005722D4">
      <w:pPr>
        <w:pStyle w:val="Voetnoottekst"/>
      </w:pPr>
      <w:r w:rsidRPr="00143A7A">
        <w:rPr>
          <w:rStyle w:val="Voetnootmarkering"/>
        </w:rPr>
        <w:footnoteRef/>
      </w:r>
      <w:r w:rsidRPr="00143A7A">
        <w:t xml:space="preserve"> NPO: Nationaal Programma Onderwijs</w:t>
      </w:r>
    </w:p>
  </w:footnote>
  <w:footnote w:id="40">
    <w:p w14:paraId="10D3355E" w14:textId="77777777" w:rsidR="005722D4" w:rsidRPr="006130D0" w:rsidRDefault="005722D4" w:rsidP="005722D4">
      <w:pPr>
        <w:pStyle w:val="Voetnoottekst"/>
      </w:pPr>
      <w:r w:rsidRPr="00143A7A">
        <w:rPr>
          <w:rStyle w:val="Voetnootmarkering"/>
        </w:rPr>
        <w:footnoteRef/>
      </w:r>
      <w:r w:rsidRPr="00143A7A">
        <w:t xml:space="preserve"> Follow </w:t>
      </w:r>
      <w:proofErr w:type="spellStart"/>
      <w:r w:rsidRPr="00143A7A">
        <w:t>the</w:t>
      </w:r>
      <w:proofErr w:type="spellEnd"/>
      <w:r w:rsidRPr="00143A7A">
        <w:t xml:space="preserve"> Money, 29 januari 2024, Niemand weet waar de coronamiljarden voor het onderwijs zijn gebleven (</w:t>
      </w:r>
      <w:hyperlink r:id="rId29" w:history="1">
        <w:r w:rsidRPr="00143A7A">
          <w:rPr>
            <w:rStyle w:val="Hyperlink"/>
          </w:rPr>
          <w:t>https://www.ftm.nl/artikelen/waar-is-het-npo-geld-gebleven</w:t>
        </w:r>
      </w:hyperlink>
      <w:r w:rsidRPr="00143A7A">
        <w:t>)</w:t>
      </w:r>
    </w:p>
  </w:footnote>
  <w:footnote w:id="41">
    <w:p w14:paraId="11B30695" w14:textId="77777777" w:rsidR="005722D4" w:rsidRPr="006372C9" w:rsidRDefault="005722D4" w:rsidP="005722D4">
      <w:pPr>
        <w:pStyle w:val="Voetnoottekst"/>
      </w:pPr>
      <w:r w:rsidRPr="006372C9">
        <w:rPr>
          <w:rStyle w:val="Voetnootmarkering"/>
        </w:rPr>
        <w:footnoteRef/>
      </w:r>
      <w:r w:rsidRPr="006372C9">
        <w:t xml:space="preserve"> Kamerstuk </w:t>
      </w:r>
      <w:hyperlink r:id="rId30" w:history="1">
        <w:r w:rsidRPr="006372C9">
          <w:rPr>
            <w:rStyle w:val="Hyperlink"/>
          </w:rPr>
          <w:t>2023Z20170</w:t>
        </w:r>
      </w:hyperlink>
    </w:p>
  </w:footnote>
  <w:footnote w:id="42">
    <w:p w14:paraId="1C1034C8" w14:textId="77777777" w:rsidR="005722D4" w:rsidRPr="00143A7A" w:rsidRDefault="005722D4" w:rsidP="005722D4">
      <w:pPr>
        <w:pStyle w:val="Voetnoottekst"/>
      </w:pPr>
      <w:r w:rsidRPr="00143A7A">
        <w:rPr>
          <w:rStyle w:val="Voetnootmarkering"/>
        </w:rPr>
        <w:footnoteRef/>
      </w:r>
      <w:r w:rsidRPr="00143A7A">
        <w:t xml:space="preserve"> </w:t>
      </w:r>
      <w:r>
        <w:t xml:space="preserve">Kamerstuk </w:t>
      </w:r>
      <w:hyperlink r:id="rId31" w:history="1">
        <w:r w:rsidRPr="00143A7A">
          <w:rPr>
            <w:rStyle w:val="Hyperlink"/>
          </w:rPr>
          <w:t>2024D41055</w:t>
        </w:r>
      </w:hyperlink>
    </w:p>
  </w:footnote>
  <w:footnote w:id="43">
    <w:p w14:paraId="34C5AE67" w14:textId="77777777" w:rsidR="005722D4" w:rsidRDefault="005722D4" w:rsidP="005722D4">
      <w:pPr>
        <w:pStyle w:val="Voetnoottekst"/>
      </w:pPr>
      <w:r>
        <w:rPr>
          <w:rStyle w:val="Voetnootmarkering"/>
        </w:rPr>
        <w:footnoteRef/>
      </w:r>
      <w:r>
        <w:t xml:space="preserve"> Kamerstuk </w:t>
      </w:r>
      <w:hyperlink r:id="rId32" w:history="1">
        <w:r w:rsidRPr="00E26CAD">
          <w:rPr>
            <w:rStyle w:val="Hyperlink"/>
          </w:rPr>
          <w:t>36600-VIII-91</w:t>
        </w:r>
      </w:hyperlink>
    </w:p>
  </w:footnote>
  <w:footnote w:id="44">
    <w:p w14:paraId="1EC085C7" w14:textId="77777777" w:rsidR="005722D4" w:rsidRDefault="005722D4" w:rsidP="005722D4">
      <w:pPr>
        <w:pStyle w:val="Voetnoottekst"/>
      </w:pPr>
      <w:r>
        <w:rPr>
          <w:rStyle w:val="Voetnootmarkering"/>
        </w:rPr>
        <w:footnoteRef/>
      </w:r>
      <w:r>
        <w:t xml:space="preserve"> </w:t>
      </w:r>
      <w:hyperlink r:id="rId33" w:anchor="956802d6" w:history="1">
        <w:r w:rsidRPr="00547B8F">
          <w:rPr>
            <w:rStyle w:val="Hyperlink"/>
          </w:rPr>
          <w:t>Handelingen II, 2024/2025, 57</w:t>
        </w:r>
        <w:r w:rsidRPr="00547B8F">
          <w:rPr>
            <w:rStyle w:val="Hyperlink"/>
            <w:vertAlign w:val="superscript"/>
          </w:rPr>
          <w:t>e</w:t>
        </w:r>
        <w:r w:rsidRPr="00547B8F">
          <w:rPr>
            <w:rStyle w:val="Hyperlink"/>
          </w:rPr>
          <w:t xml:space="preserve"> vergadering</w:t>
        </w:r>
      </w:hyperlink>
    </w:p>
  </w:footnote>
  <w:footnote w:id="45">
    <w:p w14:paraId="5AD8ED65" w14:textId="77777777" w:rsidR="005722D4" w:rsidRDefault="005722D4" w:rsidP="005722D4">
      <w:pPr>
        <w:pStyle w:val="Voetnoottekst"/>
      </w:pPr>
      <w:r>
        <w:rPr>
          <w:rStyle w:val="Voetnootmarkering"/>
        </w:rPr>
        <w:footnoteRef/>
      </w:r>
      <w:r>
        <w:t xml:space="preserve"> Kamerstuk </w:t>
      </w:r>
      <w:hyperlink r:id="rId34" w:history="1">
        <w:r w:rsidRPr="00547B8F">
          <w:rPr>
            <w:rStyle w:val="Hyperlink"/>
          </w:rPr>
          <w:t>31293-804</w:t>
        </w:r>
      </w:hyperlink>
    </w:p>
  </w:footnote>
  <w:footnote w:id="46">
    <w:p w14:paraId="4F182E2E" w14:textId="77777777" w:rsidR="005722D4" w:rsidRDefault="005722D4" w:rsidP="005722D4">
      <w:pPr>
        <w:pStyle w:val="Voetnoottekst"/>
      </w:pPr>
      <w:r>
        <w:rPr>
          <w:rStyle w:val="Voetnootmarkering"/>
        </w:rPr>
        <w:footnoteRef/>
      </w:r>
      <w:r>
        <w:t xml:space="preserve"> Kamerstuk </w:t>
      </w:r>
      <w:hyperlink r:id="rId35" w:history="1">
        <w:r w:rsidRPr="006372C9">
          <w:rPr>
            <w:rStyle w:val="Hyperlink"/>
          </w:rPr>
          <w:t>27923-506</w:t>
        </w:r>
      </w:hyperlink>
    </w:p>
  </w:footnote>
  <w:footnote w:id="47">
    <w:p w14:paraId="6DB08987" w14:textId="77777777" w:rsidR="005722D4" w:rsidRPr="00F61934" w:rsidRDefault="005722D4" w:rsidP="005722D4">
      <w:pPr>
        <w:pStyle w:val="Voetnoottekst"/>
      </w:pPr>
      <w:r w:rsidRPr="00F61934">
        <w:rPr>
          <w:rStyle w:val="Voetnootmarkering"/>
        </w:rPr>
        <w:footnoteRef/>
      </w:r>
      <w:r w:rsidRPr="00F61934">
        <w:t xml:space="preserve"> Kamerstuk </w:t>
      </w:r>
      <w:hyperlink r:id="rId36" w:history="1">
        <w:r w:rsidRPr="00F61934">
          <w:rPr>
            <w:rStyle w:val="Hyperlink"/>
          </w:rPr>
          <w:t>36670-3</w:t>
        </w:r>
      </w:hyperlink>
      <w:r w:rsidRPr="00F61934">
        <w:t>, p. 6</w:t>
      </w:r>
    </w:p>
  </w:footnote>
  <w:footnote w:id="48">
    <w:p w14:paraId="2898F2AF" w14:textId="77777777" w:rsidR="005722D4" w:rsidRPr="004573E2" w:rsidRDefault="005722D4" w:rsidP="005722D4">
      <w:pPr>
        <w:pStyle w:val="Voetnoottekst"/>
      </w:pPr>
      <w:r w:rsidRPr="004573E2">
        <w:rPr>
          <w:rStyle w:val="Voetnootmarkering"/>
        </w:rPr>
        <w:footnoteRef/>
      </w:r>
      <w:r w:rsidRPr="004573E2">
        <w:t xml:space="preserve"> EER: Europese Economische Ruimte</w:t>
      </w:r>
    </w:p>
  </w:footnote>
  <w:footnote w:id="49">
    <w:p w14:paraId="0EA2FA1F" w14:textId="77777777" w:rsidR="005722D4" w:rsidRDefault="005722D4" w:rsidP="005722D4">
      <w:pPr>
        <w:pStyle w:val="Voetnoottekst"/>
      </w:pPr>
      <w:r w:rsidRPr="004573E2">
        <w:rPr>
          <w:rStyle w:val="Voetnootmarkering"/>
        </w:rPr>
        <w:footnoteRef/>
      </w:r>
      <w:r w:rsidRPr="004573E2">
        <w:t xml:space="preserve"> Kamerstuk </w:t>
      </w:r>
      <w:hyperlink r:id="rId37" w:history="1">
        <w:r w:rsidRPr="004573E2">
          <w:rPr>
            <w:rStyle w:val="Hyperlink"/>
          </w:rPr>
          <w:t>31288-1190</w:t>
        </w:r>
      </w:hyperlink>
    </w:p>
  </w:footnote>
  <w:footnote w:id="50">
    <w:p w14:paraId="1D6222DF" w14:textId="77777777" w:rsidR="005722D4" w:rsidRPr="00ED0B86" w:rsidRDefault="005722D4" w:rsidP="005722D4">
      <w:pPr>
        <w:pStyle w:val="Voetnoottekst"/>
      </w:pPr>
      <w:r w:rsidRPr="00ED0B86">
        <w:rPr>
          <w:rStyle w:val="Voetnootmarkering"/>
        </w:rPr>
        <w:footnoteRef/>
      </w:r>
      <w:r w:rsidRPr="00ED0B86">
        <w:t xml:space="preserve"> Kamerstuk 2024D07890</w:t>
      </w:r>
    </w:p>
  </w:footnote>
  <w:footnote w:id="51">
    <w:p w14:paraId="5D658DEB" w14:textId="4A0BB2FA" w:rsidR="00876B49" w:rsidRDefault="00876B49">
      <w:pPr>
        <w:pStyle w:val="Voetnoottekst"/>
      </w:pPr>
      <w:r>
        <w:rPr>
          <w:rStyle w:val="Voetnootmarkering"/>
        </w:rPr>
        <w:footnoteRef/>
      </w:r>
      <w:r>
        <w:t xml:space="preserve"> </w:t>
      </w:r>
      <w:proofErr w:type="spellStart"/>
      <w:r>
        <w:t>Nieuwuur</w:t>
      </w:r>
      <w:proofErr w:type="spellEnd"/>
      <w:r>
        <w:t xml:space="preserve">, 26 november 2024, </w:t>
      </w:r>
      <w:r w:rsidRPr="00876B49">
        <w:t xml:space="preserve">Reconstructie: Hoe de praktijk van de onderwijsinspectie botst met politieke beloftes </w:t>
      </w:r>
      <w:r>
        <w:t>(</w:t>
      </w:r>
      <w:hyperlink r:id="rId38" w:history="1">
        <w:r w:rsidRPr="00C5116D">
          <w:rPr>
            <w:rStyle w:val="Hyperlink"/>
          </w:rPr>
          <w:t>https://nos.nl/nieuwsuur/artikel/2546019-reconstructie-hoe-de-praktijk-van-de-onderwijsinspectie-botst-met-politieke-beloftes</w:t>
        </w:r>
      </w:hyperlink>
      <w:r>
        <w:t xml:space="preserve">) </w:t>
      </w:r>
    </w:p>
  </w:footnote>
  <w:footnote w:id="52">
    <w:p w14:paraId="191C42EB" w14:textId="5EFBDC09" w:rsidR="00B37F1A" w:rsidRDefault="00B37F1A">
      <w:pPr>
        <w:pStyle w:val="Voetnoottekst"/>
      </w:pPr>
      <w:r>
        <w:rPr>
          <w:rStyle w:val="Voetnootmarkering"/>
        </w:rPr>
        <w:footnoteRef/>
      </w:r>
      <w:r>
        <w:t xml:space="preserve"> Kamerstuk </w:t>
      </w:r>
      <w:hyperlink r:id="rId39" w:history="1">
        <w:r w:rsidRPr="00B37F1A">
          <w:rPr>
            <w:rStyle w:val="Hyperlink"/>
          </w:rPr>
          <w:t>36600-VII-62</w:t>
        </w:r>
      </w:hyperlink>
    </w:p>
  </w:footnote>
  <w:footnote w:id="53">
    <w:p w14:paraId="5E3C453F" w14:textId="1DA6A140" w:rsidR="00B37F1A" w:rsidRDefault="00B37F1A">
      <w:pPr>
        <w:pStyle w:val="Voetnoottekst"/>
      </w:pPr>
      <w:r>
        <w:rPr>
          <w:rStyle w:val="Voetnootmarkering"/>
        </w:rPr>
        <w:footnoteRef/>
      </w:r>
      <w:r>
        <w:t xml:space="preserve"> Kamerstuk </w:t>
      </w:r>
      <w:hyperlink r:id="rId40" w:history="1">
        <w:r w:rsidRPr="00B37F1A">
          <w:rPr>
            <w:rStyle w:val="Hyperlink"/>
          </w:rPr>
          <w:t>2025Z07050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FB"/>
    <w:multiLevelType w:val="hybridMultilevel"/>
    <w:tmpl w:val="954AE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D26BD0"/>
    <w:multiLevelType w:val="hybridMultilevel"/>
    <w:tmpl w:val="39664F60"/>
    <w:lvl w:ilvl="0" w:tplc="76C605A4">
      <w:start w:val="1"/>
      <w:numFmt w:val="bullet"/>
      <w:lvlText w:val="-"/>
      <w:lvlJc w:val="left"/>
      <w:pPr>
        <w:ind w:left="720" w:hanging="360"/>
      </w:pPr>
      <w:rPr>
        <w:rFonts w:ascii="Aptos" w:hAnsi="Aptos" w:hint="default"/>
      </w:rPr>
    </w:lvl>
    <w:lvl w:ilvl="1" w:tplc="D7A2E48A">
      <w:start w:val="1"/>
      <w:numFmt w:val="bullet"/>
      <w:lvlText w:val="o"/>
      <w:lvlJc w:val="left"/>
      <w:pPr>
        <w:ind w:left="1440" w:hanging="360"/>
      </w:pPr>
      <w:rPr>
        <w:rFonts w:ascii="Courier New" w:hAnsi="Courier New" w:hint="default"/>
      </w:rPr>
    </w:lvl>
    <w:lvl w:ilvl="2" w:tplc="1256E602">
      <w:start w:val="1"/>
      <w:numFmt w:val="bullet"/>
      <w:lvlText w:val=""/>
      <w:lvlJc w:val="left"/>
      <w:pPr>
        <w:ind w:left="2160" w:hanging="360"/>
      </w:pPr>
      <w:rPr>
        <w:rFonts w:ascii="Wingdings" w:hAnsi="Wingdings" w:hint="default"/>
      </w:rPr>
    </w:lvl>
    <w:lvl w:ilvl="3" w:tplc="5A6EC6F2">
      <w:start w:val="1"/>
      <w:numFmt w:val="bullet"/>
      <w:lvlText w:val=""/>
      <w:lvlJc w:val="left"/>
      <w:pPr>
        <w:ind w:left="2880" w:hanging="360"/>
      </w:pPr>
      <w:rPr>
        <w:rFonts w:ascii="Symbol" w:hAnsi="Symbol" w:hint="default"/>
      </w:rPr>
    </w:lvl>
    <w:lvl w:ilvl="4" w:tplc="E778A88A">
      <w:start w:val="1"/>
      <w:numFmt w:val="bullet"/>
      <w:lvlText w:val="o"/>
      <w:lvlJc w:val="left"/>
      <w:pPr>
        <w:ind w:left="3600" w:hanging="360"/>
      </w:pPr>
      <w:rPr>
        <w:rFonts w:ascii="Courier New" w:hAnsi="Courier New" w:hint="default"/>
      </w:rPr>
    </w:lvl>
    <w:lvl w:ilvl="5" w:tplc="48A0A286">
      <w:start w:val="1"/>
      <w:numFmt w:val="bullet"/>
      <w:lvlText w:val=""/>
      <w:lvlJc w:val="left"/>
      <w:pPr>
        <w:ind w:left="4320" w:hanging="360"/>
      </w:pPr>
      <w:rPr>
        <w:rFonts w:ascii="Wingdings" w:hAnsi="Wingdings" w:hint="default"/>
      </w:rPr>
    </w:lvl>
    <w:lvl w:ilvl="6" w:tplc="9D48810E">
      <w:start w:val="1"/>
      <w:numFmt w:val="bullet"/>
      <w:lvlText w:val=""/>
      <w:lvlJc w:val="left"/>
      <w:pPr>
        <w:ind w:left="5040" w:hanging="360"/>
      </w:pPr>
      <w:rPr>
        <w:rFonts w:ascii="Symbol" w:hAnsi="Symbol" w:hint="default"/>
      </w:rPr>
    </w:lvl>
    <w:lvl w:ilvl="7" w:tplc="85A6A5C8">
      <w:start w:val="1"/>
      <w:numFmt w:val="bullet"/>
      <w:lvlText w:val="o"/>
      <w:lvlJc w:val="left"/>
      <w:pPr>
        <w:ind w:left="5760" w:hanging="360"/>
      </w:pPr>
      <w:rPr>
        <w:rFonts w:ascii="Courier New" w:hAnsi="Courier New" w:hint="default"/>
      </w:rPr>
    </w:lvl>
    <w:lvl w:ilvl="8" w:tplc="998624FC">
      <w:start w:val="1"/>
      <w:numFmt w:val="bullet"/>
      <w:lvlText w:val=""/>
      <w:lvlJc w:val="left"/>
      <w:pPr>
        <w:ind w:left="6480" w:hanging="360"/>
      </w:pPr>
      <w:rPr>
        <w:rFonts w:ascii="Wingdings" w:hAnsi="Wingdings" w:hint="default"/>
      </w:rPr>
    </w:lvl>
  </w:abstractNum>
  <w:abstractNum w:abstractNumId="2" w15:restartNumberingAfterBreak="0">
    <w:nsid w:val="171B5EC0"/>
    <w:multiLevelType w:val="hybridMultilevel"/>
    <w:tmpl w:val="E7B0CFDE"/>
    <w:lvl w:ilvl="0" w:tplc="F784121E">
      <w:start w:val="1"/>
      <w:numFmt w:val="bullet"/>
      <w:lvlText w:val="-"/>
      <w:lvlJc w:val="left"/>
      <w:pPr>
        <w:ind w:left="720" w:hanging="360"/>
      </w:pPr>
      <w:rPr>
        <w:rFonts w:ascii="Aptos" w:hAnsi="Aptos" w:hint="default"/>
      </w:rPr>
    </w:lvl>
    <w:lvl w:ilvl="1" w:tplc="796C86A4">
      <w:start w:val="1"/>
      <w:numFmt w:val="bullet"/>
      <w:lvlText w:val="o"/>
      <w:lvlJc w:val="left"/>
      <w:pPr>
        <w:ind w:left="1440" w:hanging="360"/>
      </w:pPr>
      <w:rPr>
        <w:rFonts w:ascii="Courier New" w:hAnsi="Courier New" w:hint="default"/>
      </w:rPr>
    </w:lvl>
    <w:lvl w:ilvl="2" w:tplc="CDD641BE">
      <w:start w:val="1"/>
      <w:numFmt w:val="bullet"/>
      <w:lvlText w:val=""/>
      <w:lvlJc w:val="left"/>
      <w:pPr>
        <w:ind w:left="2160" w:hanging="360"/>
      </w:pPr>
      <w:rPr>
        <w:rFonts w:ascii="Wingdings" w:hAnsi="Wingdings" w:hint="default"/>
      </w:rPr>
    </w:lvl>
    <w:lvl w:ilvl="3" w:tplc="80D03680">
      <w:start w:val="1"/>
      <w:numFmt w:val="bullet"/>
      <w:lvlText w:val=""/>
      <w:lvlJc w:val="left"/>
      <w:pPr>
        <w:ind w:left="2880" w:hanging="360"/>
      </w:pPr>
      <w:rPr>
        <w:rFonts w:ascii="Symbol" w:hAnsi="Symbol" w:hint="default"/>
      </w:rPr>
    </w:lvl>
    <w:lvl w:ilvl="4" w:tplc="3004701E">
      <w:start w:val="1"/>
      <w:numFmt w:val="bullet"/>
      <w:lvlText w:val="o"/>
      <w:lvlJc w:val="left"/>
      <w:pPr>
        <w:ind w:left="3600" w:hanging="360"/>
      </w:pPr>
      <w:rPr>
        <w:rFonts w:ascii="Courier New" w:hAnsi="Courier New" w:hint="default"/>
      </w:rPr>
    </w:lvl>
    <w:lvl w:ilvl="5" w:tplc="B648878A">
      <w:start w:val="1"/>
      <w:numFmt w:val="bullet"/>
      <w:lvlText w:val=""/>
      <w:lvlJc w:val="left"/>
      <w:pPr>
        <w:ind w:left="4320" w:hanging="360"/>
      </w:pPr>
      <w:rPr>
        <w:rFonts w:ascii="Wingdings" w:hAnsi="Wingdings" w:hint="default"/>
      </w:rPr>
    </w:lvl>
    <w:lvl w:ilvl="6" w:tplc="617AEDAA">
      <w:start w:val="1"/>
      <w:numFmt w:val="bullet"/>
      <w:lvlText w:val=""/>
      <w:lvlJc w:val="left"/>
      <w:pPr>
        <w:ind w:left="5040" w:hanging="360"/>
      </w:pPr>
      <w:rPr>
        <w:rFonts w:ascii="Symbol" w:hAnsi="Symbol" w:hint="default"/>
      </w:rPr>
    </w:lvl>
    <w:lvl w:ilvl="7" w:tplc="3C2A9B76">
      <w:start w:val="1"/>
      <w:numFmt w:val="bullet"/>
      <w:lvlText w:val="o"/>
      <w:lvlJc w:val="left"/>
      <w:pPr>
        <w:ind w:left="5760" w:hanging="360"/>
      </w:pPr>
      <w:rPr>
        <w:rFonts w:ascii="Courier New" w:hAnsi="Courier New" w:hint="default"/>
      </w:rPr>
    </w:lvl>
    <w:lvl w:ilvl="8" w:tplc="78583B68">
      <w:start w:val="1"/>
      <w:numFmt w:val="bullet"/>
      <w:lvlText w:val=""/>
      <w:lvlJc w:val="left"/>
      <w:pPr>
        <w:ind w:left="6480" w:hanging="360"/>
      </w:pPr>
      <w:rPr>
        <w:rFonts w:ascii="Wingdings" w:hAnsi="Wingdings" w:hint="default"/>
      </w:rPr>
    </w:lvl>
  </w:abstractNum>
  <w:abstractNum w:abstractNumId="3" w15:restartNumberingAfterBreak="0">
    <w:nsid w:val="1C5A546E"/>
    <w:multiLevelType w:val="hybridMultilevel"/>
    <w:tmpl w:val="0CA21A12"/>
    <w:lvl w:ilvl="0" w:tplc="A3186A78">
      <w:start w:val="1"/>
      <w:numFmt w:val="bullet"/>
      <w:lvlText w:val="-"/>
      <w:lvlJc w:val="left"/>
      <w:pPr>
        <w:ind w:left="720" w:hanging="360"/>
      </w:pPr>
      <w:rPr>
        <w:rFonts w:ascii="Aptos" w:hAnsi="Aptos" w:hint="default"/>
      </w:rPr>
    </w:lvl>
    <w:lvl w:ilvl="1" w:tplc="E130B1D4">
      <w:start w:val="1"/>
      <w:numFmt w:val="bullet"/>
      <w:lvlText w:val="o"/>
      <w:lvlJc w:val="left"/>
      <w:pPr>
        <w:ind w:left="1440" w:hanging="360"/>
      </w:pPr>
      <w:rPr>
        <w:rFonts w:ascii="Courier New" w:hAnsi="Courier New" w:hint="default"/>
      </w:rPr>
    </w:lvl>
    <w:lvl w:ilvl="2" w:tplc="8876766C">
      <w:start w:val="1"/>
      <w:numFmt w:val="bullet"/>
      <w:lvlText w:val=""/>
      <w:lvlJc w:val="left"/>
      <w:pPr>
        <w:ind w:left="2160" w:hanging="360"/>
      </w:pPr>
      <w:rPr>
        <w:rFonts w:ascii="Wingdings" w:hAnsi="Wingdings" w:hint="default"/>
      </w:rPr>
    </w:lvl>
    <w:lvl w:ilvl="3" w:tplc="8710FA00">
      <w:start w:val="1"/>
      <w:numFmt w:val="bullet"/>
      <w:lvlText w:val=""/>
      <w:lvlJc w:val="left"/>
      <w:pPr>
        <w:ind w:left="2880" w:hanging="360"/>
      </w:pPr>
      <w:rPr>
        <w:rFonts w:ascii="Symbol" w:hAnsi="Symbol" w:hint="default"/>
      </w:rPr>
    </w:lvl>
    <w:lvl w:ilvl="4" w:tplc="6EECE702">
      <w:start w:val="1"/>
      <w:numFmt w:val="bullet"/>
      <w:lvlText w:val="o"/>
      <w:lvlJc w:val="left"/>
      <w:pPr>
        <w:ind w:left="3600" w:hanging="360"/>
      </w:pPr>
      <w:rPr>
        <w:rFonts w:ascii="Courier New" w:hAnsi="Courier New" w:hint="default"/>
      </w:rPr>
    </w:lvl>
    <w:lvl w:ilvl="5" w:tplc="EFB0B38E">
      <w:start w:val="1"/>
      <w:numFmt w:val="bullet"/>
      <w:lvlText w:val=""/>
      <w:lvlJc w:val="left"/>
      <w:pPr>
        <w:ind w:left="4320" w:hanging="360"/>
      </w:pPr>
      <w:rPr>
        <w:rFonts w:ascii="Wingdings" w:hAnsi="Wingdings" w:hint="default"/>
      </w:rPr>
    </w:lvl>
    <w:lvl w:ilvl="6" w:tplc="FCF854D6">
      <w:start w:val="1"/>
      <w:numFmt w:val="bullet"/>
      <w:lvlText w:val=""/>
      <w:lvlJc w:val="left"/>
      <w:pPr>
        <w:ind w:left="5040" w:hanging="360"/>
      </w:pPr>
      <w:rPr>
        <w:rFonts w:ascii="Symbol" w:hAnsi="Symbol" w:hint="default"/>
      </w:rPr>
    </w:lvl>
    <w:lvl w:ilvl="7" w:tplc="E58A6FB0">
      <w:start w:val="1"/>
      <w:numFmt w:val="bullet"/>
      <w:lvlText w:val="o"/>
      <w:lvlJc w:val="left"/>
      <w:pPr>
        <w:ind w:left="5760" w:hanging="360"/>
      </w:pPr>
      <w:rPr>
        <w:rFonts w:ascii="Courier New" w:hAnsi="Courier New" w:hint="default"/>
      </w:rPr>
    </w:lvl>
    <w:lvl w:ilvl="8" w:tplc="24D6745A">
      <w:start w:val="1"/>
      <w:numFmt w:val="bullet"/>
      <w:lvlText w:val=""/>
      <w:lvlJc w:val="left"/>
      <w:pPr>
        <w:ind w:left="6480" w:hanging="360"/>
      </w:pPr>
      <w:rPr>
        <w:rFonts w:ascii="Wingdings" w:hAnsi="Wingdings" w:hint="default"/>
      </w:rPr>
    </w:lvl>
  </w:abstractNum>
  <w:abstractNum w:abstractNumId="4" w15:restartNumberingAfterBreak="0">
    <w:nsid w:val="2617DFDC"/>
    <w:multiLevelType w:val="hybridMultilevel"/>
    <w:tmpl w:val="0F34B5B2"/>
    <w:lvl w:ilvl="0" w:tplc="18AAAA06">
      <w:start w:val="1"/>
      <w:numFmt w:val="bullet"/>
      <w:lvlText w:val="-"/>
      <w:lvlJc w:val="left"/>
      <w:pPr>
        <w:ind w:left="720" w:hanging="360"/>
      </w:pPr>
      <w:rPr>
        <w:rFonts w:ascii="Aptos" w:hAnsi="Aptos" w:hint="default"/>
      </w:rPr>
    </w:lvl>
    <w:lvl w:ilvl="1" w:tplc="38EC082E">
      <w:start w:val="1"/>
      <w:numFmt w:val="bullet"/>
      <w:lvlText w:val="o"/>
      <w:lvlJc w:val="left"/>
      <w:pPr>
        <w:ind w:left="1440" w:hanging="360"/>
      </w:pPr>
      <w:rPr>
        <w:rFonts w:ascii="Courier New" w:hAnsi="Courier New" w:hint="default"/>
      </w:rPr>
    </w:lvl>
    <w:lvl w:ilvl="2" w:tplc="44366020">
      <w:start w:val="1"/>
      <w:numFmt w:val="bullet"/>
      <w:lvlText w:val=""/>
      <w:lvlJc w:val="left"/>
      <w:pPr>
        <w:ind w:left="2160" w:hanging="360"/>
      </w:pPr>
      <w:rPr>
        <w:rFonts w:ascii="Wingdings" w:hAnsi="Wingdings" w:hint="default"/>
      </w:rPr>
    </w:lvl>
    <w:lvl w:ilvl="3" w:tplc="1FA8F616">
      <w:start w:val="1"/>
      <w:numFmt w:val="bullet"/>
      <w:lvlText w:val=""/>
      <w:lvlJc w:val="left"/>
      <w:pPr>
        <w:ind w:left="2880" w:hanging="360"/>
      </w:pPr>
      <w:rPr>
        <w:rFonts w:ascii="Symbol" w:hAnsi="Symbol" w:hint="default"/>
      </w:rPr>
    </w:lvl>
    <w:lvl w:ilvl="4" w:tplc="3E04AED8">
      <w:start w:val="1"/>
      <w:numFmt w:val="bullet"/>
      <w:lvlText w:val="o"/>
      <w:lvlJc w:val="left"/>
      <w:pPr>
        <w:ind w:left="3600" w:hanging="360"/>
      </w:pPr>
      <w:rPr>
        <w:rFonts w:ascii="Courier New" w:hAnsi="Courier New" w:hint="default"/>
      </w:rPr>
    </w:lvl>
    <w:lvl w:ilvl="5" w:tplc="09069F38">
      <w:start w:val="1"/>
      <w:numFmt w:val="bullet"/>
      <w:lvlText w:val=""/>
      <w:lvlJc w:val="left"/>
      <w:pPr>
        <w:ind w:left="4320" w:hanging="360"/>
      </w:pPr>
      <w:rPr>
        <w:rFonts w:ascii="Wingdings" w:hAnsi="Wingdings" w:hint="default"/>
      </w:rPr>
    </w:lvl>
    <w:lvl w:ilvl="6" w:tplc="BC688DB2">
      <w:start w:val="1"/>
      <w:numFmt w:val="bullet"/>
      <w:lvlText w:val=""/>
      <w:lvlJc w:val="left"/>
      <w:pPr>
        <w:ind w:left="5040" w:hanging="360"/>
      </w:pPr>
      <w:rPr>
        <w:rFonts w:ascii="Symbol" w:hAnsi="Symbol" w:hint="default"/>
      </w:rPr>
    </w:lvl>
    <w:lvl w:ilvl="7" w:tplc="5E16D700">
      <w:start w:val="1"/>
      <w:numFmt w:val="bullet"/>
      <w:lvlText w:val="o"/>
      <w:lvlJc w:val="left"/>
      <w:pPr>
        <w:ind w:left="5760" w:hanging="360"/>
      </w:pPr>
      <w:rPr>
        <w:rFonts w:ascii="Courier New" w:hAnsi="Courier New" w:hint="default"/>
      </w:rPr>
    </w:lvl>
    <w:lvl w:ilvl="8" w:tplc="D4288852">
      <w:start w:val="1"/>
      <w:numFmt w:val="bullet"/>
      <w:lvlText w:val=""/>
      <w:lvlJc w:val="left"/>
      <w:pPr>
        <w:ind w:left="6480" w:hanging="360"/>
      </w:pPr>
      <w:rPr>
        <w:rFonts w:ascii="Wingdings" w:hAnsi="Wingdings" w:hint="default"/>
      </w:rPr>
    </w:lvl>
  </w:abstractNum>
  <w:abstractNum w:abstractNumId="5" w15:restartNumberingAfterBreak="0">
    <w:nsid w:val="39B52A18"/>
    <w:multiLevelType w:val="hybridMultilevel"/>
    <w:tmpl w:val="DDCEA796"/>
    <w:lvl w:ilvl="0" w:tplc="CBF0692E">
      <w:start w:val="1"/>
      <w:numFmt w:val="bullet"/>
      <w:lvlText w:val="-"/>
      <w:lvlJc w:val="left"/>
      <w:pPr>
        <w:ind w:left="720" w:hanging="360"/>
      </w:pPr>
      <w:rPr>
        <w:rFonts w:ascii="Aptos" w:hAnsi="Aptos" w:hint="default"/>
      </w:rPr>
    </w:lvl>
    <w:lvl w:ilvl="1" w:tplc="8BD01B82">
      <w:start w:val="1"/>
      <w:numFmt w:val="bullet"/>
      <w:lvlText w:val="o"/>
      <w:lvlJc w:val="left"/>
      <w:pPr>
        <w:ind w:left="1440" w:hanging="360"/>
      </w:pPr>
      <w:rPr>
        <w:rFonts w:ascii="Courier New" w:hAnsi="Courier New" w:hint="default"/>
      </w:rPr>
    </w:lvl>
    <w:lvl w:ilvl="2" w:tplc="AB08C7B6">
      <w:start w:val="1"/>
      <w:numFmt w:val="bullet"/>
      <w:lvlText w:val=""/>
      <w:lvlJc w:val="left"/>
      <w:pPr>
        <w:ind w:left="2160" w:hanging="360"/>
      </w:pPr>
      <w:rPr>
        <w:rFonts w:ascii="Wingdings" w:hAnsi="Wingdings" w:hint="default"/>
      </w:rPr>
    </w:lvl>
    <w:lvl w:ilvl="3" w:tplc="31CE0E00">
      <w:start w:val="1"/>
      <w:numFmt w:val="bullet"/>
      <w:lvlText w:val=""/>
      <w:lvlJc w:val="left"/>
      <w:pPr>
        <w:ind w:left="2880" w:hanging="360"/>
      </w:pPr>
      <w:rPr>
        <w:rFonts w:ascii="Symbol" w:hAnsi="Symbol" w:hint="default"/>
      </w:rPr>
    </w:lvl>
    <w:lvl w:ilvl="4" w:tplc="551EC980">
      <w:start w:val="1"/>
      <w:numFmt w:val="bullet"/>
      <w:lvlText w:val="o"/>
      <w:lvlJc w:val="left"/>
      <w:pPr>
        <w:ind w:left="3600" w:hanging="360"/>
      </w:pPr>
      <w:rPr>
        <w:rFonts w:ascii="Courier New" w:hAnsi="Courier New" w:hint="default"/>
      </w:rPr>
    </w:lvl>
    <w:lvl w:ilvl="5" w:tplc="E89C5B04">
      <w:start w:val="1"/>
      <w:numFmt w:val="bullet"/>
      <w:lvlText w:val=""/>
      <w:lvlJc w:val="left"/>
      <w:pPr>
        <w:ind w:left="4320" w:hanging="360"/>
      </w:pPr>
      <w:rPr>
        <w:rFonts w:ascii="Wingdings" w:hAnsi="Wingdings" w:hint="default"/>
      </w:rPr>
    </w:lvl>
    <w:lvl w:ilvl="6" w:tplc="30080AFC">
      <w:start w:val="1"/>
      <w:numFmt w:val="bullet"/>
      <w:lvlText w:val=""/>
      <w:lvlJc w:val="left"/>
      <w:pPr>
        <w:ind w:left="5040" w:hanging="360"/>
      </w:pPr>
      <w:rPr>
        <w:rFonts w:ascii="Symbol" w:hAnsi="Symbol" w:hint="default"/>
      </w:rPr>
    </w:lvl>
    <w:lvl w:ilvl="7" w:tplc="C8669D3A">
      <w:start w:val="1"/>
      <w:numFmt w:val="bullet"/>
      <w:lvlText w:val="o"/>
      <w:lvlJc w:val="left"/>
      <w:pPr>
        <w:ind w:left="5760" w:hanging="360"/>
      </w:pPr>
      <w:rPr>
        <w:rFonts w:ascii="Courier New" w:hAnsi="Courier New" w:hint="default"/>
      </w:rPr>
    </w:lvl>
    <w:lvl w:ilvl="8" w:tplc="264ECBAA">
      <w:start w:val="1"/>
      <w:numFmt w:val="bullet"/>
      <w:lvlText w:val=""/>
      <w:lvlJc w:val="left"/>
      <w:pPr>
        <w:ind w:left="6480" w:hanging="360"/>
      </w:pPr>
      <w:rPr>
        <w:rFonts w:ascii="Wingdings" w:hAnsi="Wingdings" w:hint="default"/>
      </w:rPr>
    </w:lvl>
  </w:abstractNum>
  <w:abstractNum w:abstractNumId="6" w15:restartNumberingAfterBreak="0">
    <w:nsid w:val="3CDC15CF"/>
    <w:multiLevelType w:val="hybridMultilevel"/>
    <w:tmpl w:val="A3987ED0"/>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7"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8" w15:restartNumberingAfterBreak="0">
    <w:nsid w:val="70961E0F"/>
    <w:multiLevelType w:val="hybridMultilevel"/>
    <w:tmpl w:val="096CBFE2"/>
    <w:lvl w:ilvl="0" w:tplc="EE305B70">
      <w:start w:val="1"/>
      <w:numFmt w:val="bullet"/>
      <w:lvlText w:val="-"/>
      <w:lvlJc w:val="left"/>
      <w:pPr>
        <w:ind w:left="720" w:hanging="360"/>
      </w:pPr>
      <w:rPr>
        <w:rFonts w:ascii="Aptos" w:hAnsi="Aptos" w:hint="default"/>
      </w:rPr>
    </w:lvl>
    <w:lvl w:ilvl="1" w:tplc="33EA21CC">
      <w:start w:val="1"/>
      <w:numFmt w:val="bullet"/>
      <w:lvlText w:val="o"/>
      <w:lvlJc w:val="left"/>
      <w:pPr>
        <w:ind w:left="1440" w:hanging="360"/>
      </w:pPr>
      <w:rPr>
        <w:rFonts w:ascii="Courier New" w:hAnsi="Courier New" w:hint="default"/>
      </w:rPr>
    </w:lvl>
    <w:lvl w:ilvl="2" w:tplc="1B5E5004">
      <w:start w:val="1"/>
      <w:numFmt w:val="bullet"/>
      <w:lvlText w:val=""/>
      <w:lvlJc w:val="left"/>
      <w:pPr>
        <w:ind w:left="2160" w:hanging="360"/>
      </w:pPr>
      <w:rPr>
        <w:rFonts w:ascii="Wingdings" w:hAnsi="Wingdings" w:hint="default"/>
      </w:rPr>
    </w:lvl>
    <w:lvl w:ilvl="3" w:tplc="37BCA10A">
      <w:start w:val="1"/>
      <w:numFmt w:val="bullet"/>
      <w:lvlText w:val=""/>
      <w:lvlJc w:val="left"/>
      <w:pPr>
        <w:ind w:left="2880" w:hanging="360"/>
      </w:pPr>
      <w:rPr>
        <w:rFonts w:ascii="Symbol" w:hAnsi="Symbol" w:hint="default"/>
      </w:rPr>
    </w:lvl>
    <w:lvl w:ilvl="4" w:tplc="A844A2B2">
      <w:start w:val="1"/>
      <w:numFmt w:val="bullet"/>
      <w:lvlText w:val="o"/>
      <w:lvlJc w:val="left"/>
      <w:pPr>
        <w:ind w:left="3600" w:hanging="360"/>
      </w:pPr>
      <w:rPr>
        <w:rFonts w:ascii="Courier New" w:hAnsi="Courier New" w:hint="default"/>
      </w:rPr>
    </w:lvl>
    <w:lvl w:ilvl="5" w:tplc="0F00E88A">
      <w:start w:val="1"/>
      <w:numFmt w:val="bullet"/>
      <w:lvlText w:val=""/>
      <w:lvlJc w:val="left"/>
      <w:pPr>
        <w:ind w:left="4320" w:hanging="360"/>
      </w:pPr>
      <w:rPr>
        <w:rFonts w:ascii="Wingdings" w:hAnsi="Wingdings" w:hint="default"/>
      </w:rPr>
    </w:lvl>
    <w:lvl w:ilvl="6" w:tplc="A7AAD7D6">
      <w:start w:val="1"/>
      <w:numFmt w:val="bullet"/>
      <w:lvlText w:val=""/>
      <w:lvlJc w:val="left"/>
      <w:pPr>
        <w:ind w:left="5040" w:hanging="360"/>
      </w:pPr>
      <w:rPr>
        <w:rFonts w:ascii="Symbol" w:hAnsi="Symbol" w:hint="default"/>
      </w:rPr>
    </w:lvl>
    <w:lvl w:ilvl="7" w:tplc="ED0EC896">
      <w:start w:val="1"/>
      <w:numFmt w:val="bullet"/>
      <w:lvlText w:val="o"/>
      <w:lvlJc w:val="left"/>
      <w:pPr>
        <w:ind w:left="5760" w:hanging="360"/>
      </w:pPr>
      <w:rPr>
        <w:rFonts w:ascii="Courier New" w:hAnsi="Courier New" w:hint="default"/>
      </w:rPr>
    </w:lvl>
    <w:lvl w:ilvl="8" w:tplc="A44A2282">
      <w:start w:val="1"/>
      <w:numFmt w:val="bullet"/>
      <w:lvlText w:val=""/>
      <w:lvlJc w:val="left"/>
      <w:pPr>
        <w:ind w:left="6480" w:hanging="360"/>
      </w:pPr>
      <w:rPr>
        <w:rFonts w:ascii="Wingdings" w:hAnsi="Wingdings" w:hint="default"/>
      </w:rPr>
    </w:lvl>
  </w:abstractNum>
  <w:num w:numId="1" w16cid:durableId="265961832">
    <w:abstractNumId w:val="7"/>
  </w:num>
  <w:num w:numId="2" w16cid:durableId="293946613">
    <w:abstractNumId w:val="6"/>
  </w:num>
  <w:num w:numId="3" w16cid:durableId="120467160">
    <w:abstractNumId w:val="0"/>
  </w:num>
  <w:num w:numId="4" w16cid:durableId="662128190">
    <w:abstractNumId w:val="5"/>
  </w:num>
  <w:num w:numId="5" w16cid:durableId="948122123">
    <w:abstractNumId w:val="8"/>
  </w:num>
  <w:num w:numId="6" w16cid:durableId="1408920592">
    <w:abstractNumId w:val="4"/>
  </w:num>
  <w:num w:numId="7" w16cid:durableId="336346780">
    <w:abstractNumId w:val="2"/>
  </w:num>
  <w:num w:numId="8" w16cid:durableId="338967682">
    <w:abstractNumId w:val="3"/>
  </w:num>
  <w:num w:numId="9" w16cid:durableId="176429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00B69"/>
    <w:rsid w:val="0001152A"/>
    <w:rsid w:val="00027728"/>
    <w:rsid w:val="000278B7"/>
    <w:rsid w:val="00042A37"/>
    <w:rsid w:val="0005726D"/>
    <w:rsid w:val="00076CC7"/>
    <w:rsid w:val="0008333C"/>
    <w:rsid w:val="000A163A"/>
    <w:rsid w:val="000A6823"/>
    <w:rsid w:val="000B0595"/>
    <w:rsid w:val="000B14B4"/>
    <w:rsid w:val="000B2A70"/>
    <w:rsid w:val="000C01B2"/>
    <w:rsid w:val="000C2CD2"/>
    <w:rsid w:val="000D55E5"/>
    <w:rsid w:val="000E0F6B"/>
    <w:rsid w:val="000E0FAB"/>
    <w:rsid w:val="000E231B"/>
    <w:rsid w:val="000E404B"/>
    <w:rsid w:val="000E5F18"/>
    <w:rsid w:val="000F7AAE"/>
    <w:rsid w:val="00103F20"/>
    <w:rsid w:val="00116B0F"/>
    <w:rsid w:val="00123E98"/>
    <w:rsid w:val="00135D1C"/>
    <w:rsid w:val="001523E8"/>
    <w:rsid w:val="00162F24"/>
    <w:rsid w:val="00167F8D"/>
    <w:rsid w:val="00186462"/>
    <w:rsid w:val="001927CE"/>
    <w:rsid w:val="001A0B98"/>
    <w:rsid w:val="001A6B80"/>
    <w:rsid w:val="001B1B37"/>
    <w:rsid w:val="001B46BF"/>
    <w:rsid w:val="001C17B3"/>
    <w:rsid w:val="001D1765"/>
    <w:rsid w:val="001D3F43"/>
    <w:rsid w:val="001D466C"/>
    <w:rsid w:val="001D6914"/>
    <w:rsid w:val="001D699E"/>
    <w:rsid w:val="00213F7B"/>
    <w:rsid w:val="002148D6"/>
    <w:rsid w:val="002279C7"/>
    <w:rsid w:val="00241E08"/>
    <w:rsid w:val="00244D44"/>
    <w:rsid w:val="0024690E"/>
    <w:rsid w:val="00251BB1"/>
    <w:rsid w:val="002532C8"/>
    <w:rsid w:val="00255303"/>
    <w:rsid w:val="0025609B"/>
    <w:rsid w:val="00262025"/>
    <w:rsid w:val="002624D4"/>
    <w:rsid w:val="00263E2E"/>
    <w:rsid w:val="00266A0D"/>
    <w:rsid w:val="002863AF"/>
    <w:rsid w:val="0029080F"/>
    <w:rsid w:val="002947C1"/>
    <w:rsid w:val="00296375"/>
    <w:rsid w:val="002A55D6"/>
    <w:rsid w:val="002B5BB3"/>
    <w:rsid w:val="002C0075"/>
    <w:rsid w:val="002D2B18"/>
    <w:rsid w:val="002D44CB"/>
    <w:rsid w:val="002D4D29"/>
    <w:rsid w:val="002E6820"/>
    <w:rsid w:val="002F0335"/>
    <w:rsid w:val="002F11C3"/>
    <w:rsid w:val="002F3B79"/>
    <w:rsid w:val="002F5C44"/>
    <w:rsid w:val="002F7ABB"/>
    <w:rsid w:val="00304E4E"/>
    <w:rsid w:val="003118DA"/>
    <w:rsid w:val="00321CC0"/>
    <w:rsid w:val="00323E25"/>
    <w:rsid w:val="00340542"/>
    <w:rsid w:val="00345FA2"/>
    <w:rsid w:val="003537A8"/>
    <w:rsid w:val="00366DAB"/>
    <w:rsid w:val="00374075"/>
    <w:rsid w:val="00391253"/>
    <w:rsid w:val="00391EB9"/>
    <w:rsid w:val="00392325"/>
    <w:rsid w:val="003933CD"/>
    <w:rsid w:val="00394D7C"/>
    <w:rsid w:val="00395623"/>
    <w:rsid w:val="00395DFF"/>
    <w:rsid w:val="003A683F"/>
    <w:rsid w:val="003B1285"/>
    <w:rsid w:val="003B3B86"/>
    <w:rsid w:val="003B3C67"/>
    <w:rsid w:val="003B6E75"/>
    <w:rsid w:val="003D68A8"/>
    <w:rsid w:val="003E3DB9"/>
    <w:rsid w:val="003E586E"/>
    <w:rsid w:val="003E61F9"/>
    <w:rsid w:val="003E6FB2"/>
    <w:rsid w:val="00403B71"/>
    <w:rsid w:val="004133AC"/>
    <w:rsid w:val="0041452B"/>
    <w:rsid w:val="0041493B"/>
    <w:rsid w:val="00427302"/>
    <w:rsid w:val="004354A0"/>
    <w:rsid w:val="00435659"/>
    <w:rsid w:val="00437763"/>
    <w:rsid w:val="00442E47"/>
    <w:rsid w:val="004442DC"/>
    <w:rsid w:val="0044452E"/>
    <w:rsid w:val="00446660"/>
    <w:rsid w:val="00461125"/>
    <w:rsid w:val="00461DB9"/>
    <w:rsid w:val="004661B8"/>
    <w:rsid w:val="004669DD"/>
    <w:rsid w:val="00480FED"/>
    <w:rsid w:val="00482946"/>
    <w:rsid w:val="004837FB"/>
    <w:rsid w:val="004857C1"/>
    <w:rsid w:val="004869E3"/>
    <w:rsid w:val="00497583"/>
    <w:rsid w:val="004A5085"/>
    <w:rsid w:val="004A5128"/>
    <w:rsid w:val="004B1FF2"/>
    <w:rsid w:val="004B517A"/>
    <w:rsid w:val="004B6A4B"/>
    <w:rsid w:val="004D37E6"/>
    <w:rsid w:val="004F1323"/>
    <w:rsid w:val="004F191B"/>
    <w:rsid w:val="004F1B2A"/>
    <w:rsid w:val="004F4BE1"/>
    <w:rsid w:val="00500DDA"/>
    <w:rsid w:val="005017F7"/>
    <w:rsid w:val="00511AA8"/>
    <w:rsid w:val="00512A37"/>
    <w:rsid w:val="00522CBF"/>
    <w:rsid w:val="00522D2A"/>
    <w:rsid w:val="00543193"/>
    <w:rsid w:val="00552A65"/>
    <w:rsid w:val="00556C3F"/>
    <w:rsid w:val="00562344"/>
    <w:rsid w:val="0056514C"/>
    <w:rsid w:val="005722D4"/>
    <w:rsid w:val="00573730"/>
    <w:rsid w:val="00576EB1"/>
    <w:rsid w:val="005807EC"/>
    <w:rsid w:val="005911CC"/>
    <w:rsid w:val="00593090"/>
    <w:rsid w:val="005A2E56"/>
    <w:rsid w:val="005A4737"/>
    <w:rsid w:val="005C0654"/>
    <w:rsid w:val="005D26D8"/>
    <w:rsid w:val="005D4A9F"/>
    <w:rsid w:val="005E12CC"/>
    <w:rsid w:val="005E3CAB"/>
    <w:rsid w:val="006110B0"/>
    <w:rsid w:val="00616A04"/>
    <w:rsid w:val="00622907"/>
    <w:rsid w:val="0064659F"/>
    <w:rsid w:val="00655E4F"/>
    <w:rsid w:val="00664DFA"/>
    <w:rsid w:val="006A1D25"/>
    <w:rsid w:val="006B08F7"/>
    <w:rsid w:val="006B1459"/>
    <w:rsid w:val="006B54EF"/>
    <w:rsid w:val="006C01C1"/>
    <w:rsid w:val="006C2C5F"/>
    <w:rsid w:val="006C4A47"/>
    <w:rsid w:val="006D64DB"/>
    <w:rsid w:val="006E186B"/>
    <w:rsid w:val="006E69C2"/>
    <w:rsid w:val="00703400"/>
    <w:rsid w:val="00716165"/>
    <w:rsid w:val="0072368E"/>
    <w:rsid w:val="007253B6"/>
    <w:rsid w:val="00736845"/>
    <w:rsid w:val="0075298D"/>
    <w:rsid w:val="00754721"/>
    <w:rsid w:val="00754D26"/>
    <w:rsid w:val="00764980"/>
    <w:rsid w:val="00774134"/>
    <w:rsid w:val="00777979"/>
    <w:rsid w:val="0078325B"/>
    <w:rsid w:val="007974B5"/>
    <w:rsid w:val="007B5662"/>
    <w:rsid w:val="007D6716"/>
    <w:rsid w:val="007E3051"/>
    <w:rsid w:val="007E43B0"/>
    <w:rsid w:val="007E7336"/>
    <w:rsid w:val="008025B9"/>
    <w:rsid w:val="00804A1A"/>
    <w:rsid w:val="00807A79"/>
    <w:rsid w:val="00812F12"/>
    <w:rsid w:val="00821368"/>
    <w:rsid w:val="008318A9"/>
    <w:rsid w:val="008347E4"/>
    <w:rsid w:val="008404DB"/>
    <w:rsid w:val="00852F94"/>
    <w:rsid w:val="00865AAE"/>
    <w:rsid w:val="008748F8"/>
    <w:rsid w:val="00876181"/>
    <w:rsid w:val="00876B49"/>
    <w:rsid w:val="00885B57"/>
    <w:rsid w:val="00887137"/>
    <w:rsid w:val="008878D7"/>
    <w:rsid w:val="008B0FA8"/>
    <w:rsid w:val="008B27EE"/>
    <w:rsid w:val="008C7EF6"/>
    <w:rsid w:val="008D4614"/>
    <w:rsid w:val="008F24A9"/>
    <w:rsid w:val="008F43B5"/>
    <w:rsid w:val="008F4928"/>
    <w:rsid w:val="00935916"/>
    <w:rsid w:val="00941C96"/>
    <w:rsid w:val="0094774A"/>
    <w:rsid w:val="00972CB1"/>
    <w:rsid w:val="00984CDA"/>
    <w:rsid w:val="00991908"/>
    <w:rsid w:val="009978EB"/>
    <w:rsid w:val="009A2810"/>
    <w:rsid w:val="009D0388"/>
    <w:rsid w:val="009D7D86"/>
    <w:rsid w:val="00A00DF8"/>
    <w:rsid w:val="00A0268B"/>
    <w:rsid w:val="00A02BDB"/>
    <w:rsid w:val="00A25790"/>
    <w:rsid w:val="00A25B28"/>
    <w:rsid w:val="00A603AD"/>
    <w:rsid w:val="00A90C22"/>
    <w:rsid w:val="00AA370F"/>
    <w:rsid w:val="00AC5902"/>
    <w:rsid w:val="00AD6011"/>
    <w:rsid w:val="00AE6C69"/>
    <w:rsid w:val="00AF1384"/>
    <w:rsid w:val="00AF3064"/>
    <w:rsid w:val="00B02DFF"/>
    <w:rsid w:val="00B21FFD"/>
    <w:rsid w:val="00B24C22"/>
    <w:rsid w:val="00B340AC"/>
    <w:rsid w:val="00B37F1A"/>
    <w:rsid w:val="00B42EF5"/>
    <w:rsid w:val="00B520FE"/>
    <w:rsid w:val="00B56B83"/>
    <w:rsid w:val="00B64FCA"/>
    <w:rsid w:val="00B7215A"/>
    <w:rsid w:val="00B75CC9"/>
    <w:rsid w:val="00B8395F"/>
    <w:rsid w:val="00BA17C2"/>
    <w:rsid w:val="00BA6507"/>
    <w:rsid w:val="00BC01DC"/>
    <w:rsid w:val="00BC3B4C"/>
    <w:rsid w:val="00BC7D1F"/>
    <w:rsid w:val="00BD19B4"/>
    <w:rsid w:val="00BD3CF4"/>
    <w:rsid w:val="00BE10D8"/>
    <w:rsid w:val="00BE2DFA"/>
    <w:rsid w:val="00BE5B6D"/>
    <w:rsid w:val="00BE7AD4"/>
    <w:rsid w:val="00BF56E5"/>
    <w:rsid w:val="00BF67A8"/>
    <w:rsid w:val="00C0765F"/>
    <w:rsid w:val="00C143AD"/>
    <w:rsid w:val="00C243AA"/>
    <w:rsid w:val="00C2479C"/>
    <w:rsid w:val="00C47086"/>
    <w:rsid w:val="00C564B6"/>
    <w:rsid w:val="00C64069"/>
    <w:rsid w:val="00C87505"/>
    <w:rsid w:val="00CA2AE4"/>
    <w:rsid w:val="00CA4F8B"/>
    <w:rsid w:val="00CB0CC2"/>
    <w:rsid w:val="00CB1BD7"/>
    <w:rsid w:val="00CB254D"/>
    <w:rsid w:val="00CC73A2"/>
    <w:rsid w:val="00CD0A8E"/>
    <w:rsid w:val="00CD3945"/>
    <w:rsid w:val="00CE07A0"/>
    <w:rsid w:val="00CE171F"/>
    <w:rsid w:val="00CE6474"/>
    <w:rsid w:val="00CF3854"/>
    <w:rsid w:val="00D129A8"/>
    <w:rsid w:val="00D173F0"/>
    <w:rsid w:val="00D20897"/>
    <w:rsid w:val="00D32557"/>
    <w:rsid w:val="00D3528A"/>
    <w:rsid w:val="00D42441"/>
    <w:rsid w:val="00D46C26"/>
    <w:rsid w:val="00D53253"/>
    <w:rsid w:val="00D54549"/>
    <w:rsid w:val="00D67B78"/>
    <w:rsid w:val="00D75A48"/>
    <w:rsid w:val="00D809C0"/>
    <w:rsid w:val="00D9063B"/>
    <w:rsid w:val="00DA066A"/>
    <w:rsid w:val="00DA33EC"/>
    <w:rsid w:val="00DA4B7E"/>
    <w:rsid w:val="00DA5B93"/>
    <w:rsid w:val="00DA6222"/>
    <w:rsid w:val="00DB1BB4"/>
    <w:rsid w:val="00DB5661"/>
    <w:rsid w:val="00DB71F2"/>
    <w:rsid w:val="00DB79A7"/>
    <w:rsid w:val="00DC09CF"/>
    <w:rsid w:val="00DC5697"/>
    <w:rsid w:val="00DC60E9"/>
    <w:rsid w:val="00DD5E24"/>
    <w:rsid w:val="00E13758"/>
    <w:rsid w:val="00E22DD2"/>
    <w:rsid w:val="00E329A8"/>
    <w:rsid w:val="00E501F9"/>
    <w:rsid w:val="00E60997"/>
    <w:rsid w:val="00E64478"/>
    <w:rsid w:val="00E65989"/>
    <w:rsid w:val="00E65CB2"/>
    <w:rsid w:val="00E7483C"/>
    <w:rsid w:val="00E833BF"/>
    <w:rsid w:val="00E87FE5"/>
    <w:rsid w:val="00E90BB5"/>
    <w:rsid w:val="00E91A17"/>
    <w:rsid w:val="00E91BEA"/>
    <w:rsid w:val="00EB1877"/>
    <w:rsid w:val="00EC1FB1"/>
    <w:rsid w:val="00EC58D6"/>
    <w:rsid w:val="00EC7C8C"/>
    <w:rsid w:val="00ED425F"/>
    <w:rsid w:val="00F02156"/>
    <w:rsid w:val="00F05AA9"/>
    <w:rsid w:val="00F11400"/>
    <w:rsid w:val="00F15F9B"/>
    <w:rsid w:val="00F164BF"/>
    <w:rsid w:val="00F34140"/>
    <w:rsid w:val="00F53695"/>
    <w:rsid w:val="00F60B3C"/>
    <w:rsid w:val="00F90C36"/>
    <w:rsid w:val="00FA5777"/>
    <w:rsid w:val="00FC099B"/>
    <w:rsid w:val="00FD38AA"/>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unhideWhenUsed/>
    <w:qFormat/>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semiHidden/>
    <w:unhideWhenUsed/>
    <w:rsid w:val="00427302"/>
    <w:rPr>
      <w:sz w:val="20"/>
      <w:szCs w:val="20"/>
    </w:rPr>
  </w:style>
  <w:style w:type="character" w:customStyle="1" w:styleId="TekstopmerkingChar">
    <w:name w:val="Tekst opmerking Char"/>
    <w:basedOn w:val="Standaardalinea-lettertype"/>
    <w:link w:val="Tekstopmerking"/>
    <w:uiPriority w:val="99"/>
    <w:semiHidden/>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6C01C1"/>
    <w:pPr>
      <w:ind w:left="720"/>
      <w:contextualSpacing/>
    </w:pPr>
  </w:style>
  <w:style w:type="character" w:styleId="Onopgelostemelding">
    <w:name w:val="Unresolved Mention"/>
    <w:basedOn w:val="Standaardalinea-lettertype"/>
    <w:uiPriority w:val="99"/>
    <w:semiHidden/>
    <w:unhideWhenUsed/>
    <w:rsid w:val="006C01C1"/>
    <w:rPr>
      <w:color w:val="605E5C"/>
      <w:shd w:val="clear" w:color="auto" w:fill="E1DFDD"/>
    </w:rPr>
  </w:style>
  <w:style w:type="paragraph" w:styleId="Geenafstand">
    <w:name w:val="No Spacing"/>
    <w:uiPriority w:val="1"/>
    <w:qFormat/>
    <w:rsid w:val="00876B49"/>
    <w:pPr>
      <w:spacing w:after="0" w:line="279"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0728">
      <w:bodyDiv w:val="1"/>
      <w:marLeft w:val="0"/>
      <w:marRight w:val="0"/>
      <w:marTop w:val="0"/>
      <w:marBottom w:val="0"/>
      <w:divBdr>
        <w:top w:val="none" w:sz="0" w:space="0" w:color="auto"/>
        <w:left w:val="none" w:sz="0" w:space="0" w:color="auto"/>
        <w:bottom w:val="none" w:sz="0" w:space="0" w:color="auto"/>
        <w:right w:val="none" w:sz="0" w:space="0" w:color="auto"/>
      </w:divBdr>
      <w:divsChild>
        <w:div w:id="1367101997">
          <w:marLeft w:val="0"/>
          <w:marRight w:val="0"/>
          <w:marTop w:val="0"/>
          <w:marBottom w:val="0"/>
          <w:divBdr>
            <w:top w:val="none" w:sz="0" w:space="0" w:color="auto"/>
            <w:left w:val="none" w:sz="0" w:space="0" w:color="auto"/>
            <w:bottom w:val="none" w:sz="0" w:space="0" w:color="auto"/>
            <w:right w:val="none" w:sz="0" w:space="0" w:color="auto"/>
          </w:divBdr>
        </w:div>
        <w:div w:id="785273452">
          <w:marLeft w:val="0"/>
          <w:marRight w:val="0"/>
          <w:marTop w:val="45"/>
          <w:marBottom w:val="0"/>
          <w:divBdr>
            <w:top w:val="none" w:sz="0" w:space="0" w:color="auto"/>
            <w:left w:val="none" w:sz="0" w:space="0" w:color="auto"/>
            <w:bottom w:val="none" w:sz="0" w:space="0" w:color="auto"/>
            <w:right w:val="none" w:sz="0" w:space="0" w:color="auto"/>
          </w:divBdr>
        </w:div>
      </w:divsChild>
    </w:div>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691732572">
      <w:bodyDiv w:val="1"/>
      <w:marLeft w:val="0"/>
      <w:marRight w:val="0"/>
      <w:marTop w:val="0"/>
      <w:marBottom w:val="0"/>
      <w:divBdr>
        <w:top w:val="none" w:sz="0" w:space="0" w:color="auto"/>
        <w:left w:val="none" w:sz="0" w:space="0" w:color="auto"/>
        <w:bottom w:val="none" w:sz="0" w:space="0" w:color="auto"/>
        <w:right w:val="none" w:sz="0" w:space="0" w:color="auto"/>
      </w:divBdr>
    </w:div>
    <w:div w:id="1184124212">
      <w:bodyDiv w:val="1"/>
      <w:marLeft w:val="0"/>
      <w:marRight w:val="0"/>
      <w:marTop w:val="0"/>
      <w:marBottom w:val="0"/>
      <w:divBdr>
        <w:top w:val="none" w:sz="0" w:space="0" w:color="auto"/>
        <w:left w:val="none" w:sz="0" w:space="0" w:color="auto"/>
        <w:bottom w:val="none" w:sz="0" w:space="0" w:color="auto"/>
        <w:right w:val="none" w:sz="0" w:space="0" w:color="auto"/>
      </w:divBdr>
      <w:divsChild>
        <w:div w:id="1258906224">
          <w:marLeft w:val="0"/>
          <w:marRight w:val="0"/>
          <w:marTop w:val="0"/>
          <w:marBottom w:val="0"/>
          <w:divBdr>
            <w:top w:val="none" w:sz="0" w:space="0" w:color="auto"/>
            <w:left w:val="none" w:sz="0" w:space="0" w:color="auto"/>
            <w:bottom w:val="none" w:sz="0" w:space="0" w:color="auto"/>
            <w:right w:val="none" w:sz="0" w:space="0" w:color="auto"/>
          </w:divBdr>
        </w:div>
        <w:div w:id="99224822">
          <w:marLeft w:val="0"/>
          <w:marRight w:val="0"/>
          <w:marTop w:val="45"/>
          <w:marBottom w:val="0"/>
          <w:divBdr>
            <w:top w:val="none" w:sz="0" w:space="0" w:color="auto"/>
            <w:left w:val="none" w:sz="0" w:space="0" w:color="auto"/>
            <w:bottom w:val="none" w:sz="0" w:space="0" w:color="auto"/>
            <w:right w:val="none" w:sz="0" w:space="0" w:color="auto"/>
          </w:divBdr>
        </w:div>
      </w:divsChild>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 w:id="20870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tweedekamer.nl/kamerstukken/detail?id=2025D10106&amp;did=2025D10106" TargetMode="External"/><Relationship Id="rId18" Type="http://schemas.openxmlformats.org/officeDocument/2006/relationships/hyperlink" Target="https://www.tweedekamer.nl/kamerstukken/detail?id=2025Z08695&amp;did=2025D19991" TargetMode="External"/><Relationship Id="rId26" Type="http://schemas.openxmlformats.org/officeDocument/2006/relationships/hyperlink" Target="https://www.tweedekamer.nl/kamerstukken/detail?id=2025Z08728&amp;did=2025D20032" TargetMode="External"/><Relationship Id="rId39" Type="http://schemas.openxmlformats.org/officeDocument/2006/relationships/hyperlink" Target="https://www.tweedekamer.nl/kamerstukken/moties/detail?id=2024Z18037&amp;did=2024D43162" TargetMode="External"/><Relationship Id="rId21" Type="http://schemas.openxmlformats.org/officeDocument/2006/relationships/hyperlink" Target="https://www.cbs.nl/nl-nl/visualisaties/monitor-brede-welvaart-en-de-sustainable-development-goals/verdeling/verdeling-stapeling" TargetMode="External"/><Relationship Id="rId34" Type="http://schemas.openxmlformats.org/officeDocument/2006/relationships/hyperlink" Target="https://www.tweedekamer.nl/kamerstukken/moties/detail?id=2025Z10200&amp;did=2025D23383" TargetMode="External"/><Relationship Id="rId7" Type="http://schemas.openxmlformats.org/officeDocument/2006/relationships/hyperlink" Target="https://www.tweedekamer.nl/kamerstukken/detail?id=2025Z08728&amp;did=2025D20032" TargetMode="External"/><Relationship Id="rId12" Type="http://schemas.openxmlformats.org/officeDocument/2006/relationships/hyperlink" Target="https://www.tweedekamer.nl/kamerstukken/brieven_regering/detail?id=2025Z10661&amp;did=2025D24462" TargetMode="External"/><Relationship Id="rId17" Type="http://schemas.openxmlformats.org/officeDocument/2006/relationships/hyperlink" Target="https://www.tweedekamer.nl/kamerstukken/detail?id=2025Z11778&amp;did=2025D26999" TargetMode="External"/><Relationship Id="rId25" Type="http://schemas.openxmlformats.org/officeDocument/2006/relationships/hyperlink" Target="https://www.tweedekamer.nl/kamerstukken/detail?id=2025D22743&amp;did=2025D22743" TargetMode="External"/><Relationship Id="rId33" Type="http://schemas.openxmlformats.org/officeDocument/2006/relationships/hyperlink" Target="https://www.tweedekamer.nl/kamerstukken/plenaire_verslagen/detail/2023-2024/57" TargetMode="External"/><Relationship Id="rId38" Type="http://schemas.openxmlformats.org/officeDocument/2006/relationships/hyperlink" Target="https://nos.nl/nieuwsuur/artikel/2546019-reconstructie-hoe-de-praktijk-van-de-onderwijsinspectie-botst-met-politieke-beloftes" TargetMode="External"/><Relationship Id="rId2" Type="http://schemas.openxmlformats.org/officeDocument/2006/relationships/hyperlink" Target="https://www.tweedekamer.nl/kamerstukken/detail?id=2025Z08728&amp;did=2025D20032" TargetMode="External"/><Relationship Id="rId16" Type="http://schemas.openxmlformats.org/officeDocument/2006/relationships/hyperlink" Target="https://www.tweedekamer.nl/kamerstukken/brieven_regering/detail?id=2025Z08410&amp;did=2025D19145" TargetMode="External"/><Relationship Id="rId20" Type="http://schemas.openxmlformats.org/officeDocument/2006/relationships/hyperlink" Target="https://www.tweedekamer.nl/debat_en_vergadering/commissievergaderingen/details?id=2024A01895" TargetMode="External"/><Relationship Id="rId29" Type="http://schemas.openxmlformats.org/officeDocument/2006/relationships/hyperlink" Target="https://www.ftm.nl/artikelen/waar-is-het-npo-geld-gebleven" TargetMode="External"/><Relationship Id="rId1" Type="http://schemas.openxmlformats.org/officeDocument/2006/relationships/hyperlink" Target="https://www.tweedekamer.nl/debat_en_vergadering/commissievergaderingen/details?id=2024A08464" TargetMode="External"/><Relationship Id="rId6" Type="http://schemas.openxmlformats.org/officeDocument/2006/relationships/hyperlink" Target="https://www.tweedekamer.nl/kamerstukken/detail?id=2025Z08728&amp;did=2025D20032" TargetMode="External"/><Relationship Id="rId11" Type="http://schemas.openxmlformats.org/officeDocument/2006/relationships/hyperlink" Target="https://www.tweedekamer.nl/debat_en_vergadering/commissievergaderingen/details?id=2024A01895" TargetMode="External"/><Relationship Id="rId24" Type="http://schemas.openxmlformats.org/officeDocument/2006/relationships/hyperlink" Target="https://www.tweedekamer.nl/kamerstukken/detail?id=2025Z11799&amp;did=2025D27045" TargetMode="External"/><Relationship Id="rId32" Type="http://schemas.openxmlformats.org/officeDocument/2006/relationships/hyperlink" Target="https://www.tweedekamer.nl/kamerstukken/detail?id=2024Z19700&amp;did=2024D46697" TargetMode="External"/><Relationship Id="rId37" Type="http://schemas.openxmlformats.org/officeDocument/2006/relationships/hyperlink" Target="https://www.tweedekamer.nl/kamerstukken/moties/detail?id=2025Z10168&amp;did=2025D23319" TargetMode="External"/><Relationship Id="rId40" Type="http://schemas.openxmlformats.org/officeDocument/2006/relationships/hyperlink" Target="https://www.tweedekamer.nl/kamerstukken/kamervragen/detail?id=2025Z07050&amp;did=2025D24341" TargetMode="External"/><Relationship Id="rId5" Type="http://schemas.openxmlformats.org/officeDocument/2006/relationships/hyperlink" Target="https://www.tweedekamer.nl/kamerstukken/detail?id=2024Z11061&amp;did=2024D26315" TargetMode="External"/><Relationship Id="rId15" Type="http://schemas.openxmlformats.org/officeDocument/2006/relationships/hyperlink" Target="https://www.tweedekamer.nl/kamerstukken/detail?id=2025D19147&amp;did=2025D19147" TargetMode="External"/><Relationship Id="rId23" Type="http://schemas.openxmlformats.org/officeDocument/2006/relationships/hyperlink" Target="https://www.tweedekamer.nl/kamerstukken/moties/detail?id=2024Z10128&amp;did=2024D23976" TargetMode="External"/><Relationship Id="rId28" Type="http://schemas.openxmlformats.org/officeDocument/2006/relationships/hyperlink" Target="https://www.tweedekamer.nl/kamerstukken/moties/detail?id=2023Z08804&amp;did=2023D21124" TargetMode="External"/><Relationship Id="rId36" Type="http://schemas.openxmlformats.org/officeDocument/2006/relationships/hyperlink" Target="https://www.tweedekamer.nl/kamerstukken/detail?id=2024Z21287&amp;did=2024D50292" TargetMode="External"/><Relationship Id="rId10" Type="http://schemas.openxmlformats.org/officeDocument/2006/relationships/hyperlink" Target="https://www.tweedekamer.nl/kamerstukken/detail?id=2025Z11778&amp;did=2025D26999" TargetMode="External"/><Relationship Id="rId19" Type="http://schemas.openxmlformats.org/officeDocument/2006/relationships/hyperlink" Target="https://www.cbs.nl/nl-nl/visualisaties/monitor-brede-welvaart-en-de-sustainable-development-goals/sdg-s/sdg-9-3-kennis-en-innovatie" TargetMode="External"/><Relationship Id="rId31" Type="http://schemas.openxmlformats.org/officeDocument/2006/relationships/hyperlink" Target="https://www.tweedekamer.nl/kamerstukken/detail?id=2024D41055&amp;did=2024D41055" TargetMode="External"/><Relationship Id="rId4" Type="http://schemas.openxmlformats.org/officeDocument/2006/relationships/hyperlink" Target="https://www.tweedekamer.nl/kamerstukken/detail?id=2025Z08728&amp;did=2025D20032" TargetMode="External"/><Relationship Id="rId9" Type="http://schemas.openxmlformats.org/officeDocument/2006/relationships/hyperlink" Target="https://www.tweedekamer.nl/kamerstukken/detail?id=2025Z08728&amp;did=2025D20032" TargetMode="External"/><Relationship Id="rId14" Type="http://schemas.openxmlformats.org/officeDocument/2006/relationships/hyperlink" Target="https://www.tweedekamer.nl/kamerstukken/brieven_regering/detail?id=2025Z04349&amp;did=2025D10105" TargetMode="External"/><Relationship Id="rId22" Type="http://schemas.openxmlformats.org/officeDocument/2006/relationships/hyperlink" Target="https://www.tweedekamer.nl/kamerstukken/moties/detail?id=2024Z00549&amp;did=2024D01308" TargetMode="External"/><Relationship Id="rId27" Type="http://schemas.openxmlformats.org/officeDocument/2006/relationships/hyperlink" Target="https://www.tweedekamer.nl/kamerstukken/detail?id=2025D27548&amp;did=2025D27548" TargetMode="External"/><Relationship Id="rId30" Type="http://schemas.openxmlformats.org/officeDocument/2006/relationships/hyperlink" Target="https://www.tweedekamer.nl/kamerstukken/kamervragen/detail?id=2023Z20170&amp;did=2023D49291" TargetMode="External"/><Relationship Id="rId35" Type="http://schemas.openxmlformats.org/officeDocument/2006/relationships/hyperlink" Target="https://www.tweedekamer.nl/kamerstukken/moties/detail?id=2025Z01439&amp;did=2025D03254" TargetMode="External"/><Relationship Id="rId8" Type="http://schemas.openxmlformats.org/officeDocument/2006/relationships/hyperlink" Target="https://www.tweedekamer.nl/kamerstukken/brieven_regering/detail?id=2025Z10661&amp;did=2025D24462" TargetMode="External"/><Relationship Id="rId3" Type="http://schemas.openxmlformats.org/officeDocument/2006/relationships/hyperlink" Target="https://www.tweedekamer.nl/kamerstukken/detail?id=2025Z08728&amp;did=2025D2003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14431</ap:Words>
  <ap:Characters>79371</ap:Characters>
  <ap:DocSecurity>0</ap:DocSecurity>
  <ap:Lines>661</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2025-06-25T09:37:00.0000000Z</dcterms:created>
  <dcterms:modified xsi:type="dcterms:W3CDTF">2025-06-26T14:02:00.0000000Z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f34699a6-2b3a-476d-87de-fed58444c6bd</vt:lpwstr>
  </property>
</Properties>
</file>