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4DF" w:rsidR="009D44DF" w:rsidRDefault="00077DA2" w14:paraId="2E6013FC" w14:textId="77777777">
      <w:pPr>
        <w:rPr>
          <w:rFonts w:ascii="Calibri" w:hAnsi="Calibri" w:cs="Calibri"/>
        </w:rPr>
      </w:pPr>
      <w:r w:rsidRPr="009D44DF">
        <w:rPr>
          <w:rFonts w:ascii="Calibri" w:hAnsi="Calibri" w:cs="Calibri"/>
        </w:rPr>
        <w:t>31293</w:t>
      </w:r>
      <w:r w:rsidRPr="009D44DF" w:rsidR="009D44DF">
        <w:rPr>
          <w:rFonts w:ascii="Calibri" w:hAnsi="Calibri" w:cs="Calibri"/>
        </w:rPr>
        <w:tab/>
      </w:r>
      <w:r w:rsidRPr="009D44DF" w:rsidR="009D44DF">
        <w:rPr>
          <w:rFonts w:ascii="Calibri" w:hAnsi="Calibri" w:cs="Calibri"/>
        </w:rPr>
        <w:tab/>
      </w:r>
      <w:r w:rsidRPr="009D44DF" w:rsidR="009D44DF">
        <w:rPr>
          <w:rFonts w:ascii="Calibri" w:hAnsi="Calibri" w:cs="Calibri"/>
        </w:rPr>
        <w:tab/>
        <w:t>Primair Onderwijs</w:t>
      </w:r>
    </w:p>
    <w:p w:rsidRPr="009D44DF" w:rsidR="009D44DF" w:rsidP="00DE0EF3" w:rsidRDefault="00077DA2" w14:paraId="65C2BF37" w14:textId="77777777">
      <w:pPr>
        <w:rPr>
          <w:rFonts w:ascii="Calibri" w:hAnsi="Calibri" w:cs="Calibri"/>
        </w:rPr>
      </w:pPr>
      <w:r w:rsidRPr="009D44DF">
        <w:rPr>
          <w:rFonts w:ascii="Calibri" w:hAnsi="Calibri" w:cs="Calibri"/>
        </w:rPr>
        <w:t>31289</w:t>
      </w:r>
      <w:r w:rsidRPr="009D44DF" w:rsidR="009D44DF">
        <w:rPr>
          <w:rFonts w:ascii="Calibri" w:hAnsi="Calibri" w:cs="Calibri"/>
        </w:rPr>
        <w:tab/>
      </w:r>
      <w:r w:rsidRPr="009D44DF" w:rsidR="009D44DF">
        <w:rPr>
          <w:rFonts w:ascii="Calibri" w:hAnsi="Calibri" w:cs="Calibri"/>
        </w:rPr>
        <w:tab/>
      </w:r>
      <w:r w:rsidRPr="009D44DF" w:rsidR="009D44DF">
        <w:rPr>
          <w:rFonts w:ascii="Calibri" w:hAnsi="Calibri" w:cs="Calibri"/>
        </w:rPr>
        <w:tab/>
        <w:t>Voortgezet Onderwijs</w:t>
      </w:r>
    </w:p>
    <w:p w:rsidRPr="009D44DF" w:rsidR="009D44DF" w:rsidP="009D44DF" w:rsidRDefault="009D44DF" w14:paraId="0752C928" w14:textId="045B6860">
      <w:pPr>
        <w:ind w:left="2124" w:hanging="2124"/>
        <w:rPr>
          <w:rFonts w:ascii="Calibri" w:hAnsi="Calibri" w:cs="Calibri"/>
        </w:rPr>
      </w:pPr>
      <w:r w:rsidRPr="009D44DF">
        <w:rPr>
          <w:rFonts w:ascii="Calibri" w:hAnsi="Calibri" w:cs="Calibri"/>
        </w:rPr>
        <w:t xml:space="preserve">Nr. </w:t>
      </w:r>
      <w:r w:rsidRPr="009D44DF">
        <w:rPr>
          <w:rFonts w:ascii="Calibri" w:hAnsi="Calibri" w:cs="Calibri"/>
        </w:rPr>
        <w:t>828</w:t>
      </w:r>
      <w:r w:rsidRPr="009D44DF">
        <w:rPr>
          <w:rFonts w:ascii="Calibri" w:hAnsi="Calibri" w:cs="Calibri"/>
        </w:rPr>
        <w:tab/>
        <w:t>Brief van de staatssecretaris van Onderwijs, Cultuur en Wetenschap</w:t>
      </w:r>
    </w:p>
    <w:p w:rsidRPr="009D44DF" w:rsidR="00077DA2" w:rsidP="00077DA2" w:rsidRDefault="009D44DF" w14:paraId="62EE3E7F" w14:textId="1BA86461">
      <w:pPr>
        <w:rPr>
          <w:rFonts w:ascii="Calibri" w:hAnsi="Calibri" w:cs="Calibri"/>
        </w:rPr>
      </w:pPr>
      <w:r w:rsidRPr="009D44DF">
        <w:rPr>
          <w:rFonts w:ascii="Calibri" w:hAnsi="Calibri" w:cs="Calibri"/>
        </w:rPr>
        <w:t>Aan de Voorzitter van de Tweede Kamer der Staten-Generaal</w:t>
      </w:r>
    </w:p>
    <w:p w:rsidRPr="009D44DF" w:rsidR="009D44DF" w:rsidP="00077DA2" w:rsidRDefault="009D44DF" w14:paraId="2344B690" w14:textId="761466B9">
      <w:pPr>
        <w:rPr>
          <w:rFonts w:ascii="Calibri" w:hAnsi="Calibri" w:cs="Calibri"/>
        </w:rPr>
      </w:pPr>
      <w:r w:rsidRPr="009D44DF">
        <w:rPr>
          <w:rFonts w:ascii="Calibri" w:hAnsi="Calibri" w:cs="Calibri"/>
        </w:rPr>
        <w:t>Den Haag, 30 juni 2025</w:t>
      </w:r>
    </w:p>
    <w:p w:rsidR="00077DA2" w:rsidP="00077DA2" w:rsidRDefault="00077DA2" w14:paraId="0942F6F9" w14:textId="77777777"/>
    <w:p w:rsidR="00077DA2" w:rsidP="00077DA2" w:rsidRDefault="00077DA2" w14:paraId="5A6045DA" w14:textId="68E08B0A">
      <w:r>
        <w:t xml:space="preserve">Met het programma School en Omgeving krijgen leerlingen die opgroeien in een kwetsbare omgeving extra aanbod buiten en aanvullend op de schooltijd. Zo kunnen leerlingen extra activiteiten volgen op het gebied van basisvaardigheden, sport of cultuur. </w:t>
      </w:r>
    </w:p>
    <w:p w:rsidR="00077DA2" w:rsidP="00077DA2" w:rsidRDefault="00077DA2" w14:paraId="3A64AF10" w14:textId="77777777"/>
    <w:p w:rsidR="00077DA2" w:rsidP="00077DA2" w:rsidRDefault="00077DA2" w14:paraId="439CBDBF" w14:textId="745C0670">
      <w:r>
        <w:t xml:space="preserve">Zoals toegezegd aan het lid </w:t>
      </w:r>
      <w:proofErr w:type="spellStart"/>
      <w:r>
        <w:t>Rooderkerk</w:t>
      </w:r>
      <w:proofErr w:type="spellEnd"/>
      <w:r>
        <w:t xml:space="preserve"> (D66) in het commissiedebat Onderwijskansen op 26 maart jl. (Kamerstuk 31293, nr. 801) wordt uw Kamer via deze brief geïnformeerd over hoeveel kinderen de komende drie schooljaren gebruik gaan maken van het programma School en Omgeving en hoeveel hiervoor worden afgewezen</w:t>
      </w:r>
      <w:r>
        <w:rPr>
          <w:rStyle w:val="Voetnootmarkering"/>
        </w:rPr>
        <w:footnoteReference w:id="1"/>
      </w:r>
      <w:r>
        <w:t xml:space="preserve">. </w:t>
      </w:r>
    </w:p>
    <w:p w:rsidR="00077DA2" w:rsidP="00077DA2" w:rsidRDefault="00077DA2" w14:paraId="6F28266B" w14:textId="77777777"/>
    <w:p w:rsidR="00077DA2" w:rsidP="00077DA2" w:rsidRDefault="00077DA2" w14:paraId="7256D57F" w14:textId="77777777">
      <w:r>
        <w:rPr>
          <w:b/>
          <w:bCs/>
        </w:rPr>
        <w:t>Aanvragen regeling School en Omgeving 2025-2028</w:t>
      </w:r>
      <w:r>
        <w:rPr>
          <w:b/>
          <w:bCs/>
        </w:rPr>
        <w:br/>
      </w:r>
      <w:r>
        <w:t>We kijken terug op een succesvolle aanvraagperiode voor de regeling School en Omgeving 2025-2028. Zo doen de komende jaren meer scholen én meer leerlingen mee aan het programma. Het bereik van het programma specifiek in de doelgroep scholen met de 5% hoogste onderwijsachterstanden is bovendien fors gestegen. Bijna 83% van deze scholen ontvangt de komende drie schooljaren extra middelen voor het realiseren van extra ontwikkelaanbod. Ook buiten de groep scholen met de 5% hoogste onderwijsachterstanden kunnen scholen aan de slag met School en Omgeving.</w:t>
      </w:r>
    </w:p>
    <w:p w:rsidR="00077DA2" w:rsidP="00077DA2" w:rsidRDefault="00077DA2" w14:paraId="08496872" w14:textId="77777777"/>
    <w:p w:rsidR="00077DA2" w:rsidP="00077DA2" w:rsidRDefault="00077DA2" w14:paraId="033881E8" w14:textId="77777777">
      <w:r>
        <w:t xml:space="preserve">We bereiken in totaal de komende drie schooljaren bijna 1200 scholen. Dit aantal is met bijna 300 scholen gegroeid ten opzichte van de afgelopen jaren. Daarmee ontvangen bijna 139.000 leerlingen een extra buitenschools aanbod. Dat zijn er ongeveer 27.000 meer dan de afgelopen jaren. Deze groei wordt verklaard doordat het beschikbare budget voor School en Omgeving volledig is aangevraagd de komende jaren, wat in eerdere jaren niet het geval was. Uit eerste signalen blijkt dat meer scholen subsidie hebben aangevraagd doordat </w:t>
      </w:r>
      <w:r>
        <w:lastRenderedPageBreak/>
        <w:t>het succes van het programma inmiddels is bewezen, het een subsidieregeling voor drie schooljaren betreft - terwijl het eerder steeds om subsidieregelingen voor één schooljaar of twee schooljaren ging - en dat er duidelijkheid is over de toekomst van het programma. Omdat niet alle scholen voor het maximale aantal uur of maximale aantal leerlingen aanvragen, kunnen ook 625 scholen die niet behoren tot de groep scholen met de 5% hoogste onderwijsachterstanden binnen de subsidieregeling aan de slag met School en Omgeving. De aanvragen van 149 scholen die eerder middelen hebben ontvangen kunnen helaas niet opnieuw worden toegekend. Deze scholen hadden subsidie aangevraagd voor 16.301 leerlingen. Het gaat hier dus om scholen die niet behoren tot de scholen met vijf procent hoogste onderwijsachterstanden. Deze scholen kunnen uiteraard gebruik blijven maken van de kennis en kunde die we de afgelopen jaren hebben opgedaan. Ook het leren tussen School &amp; Omgeving-coalities van scholen, gemeenten en lokale organisaties blijven we vanuit de Gelijke Kansen Alliantie faciliteren.</w:t>
      </w:r>
    </w:p>
    <w:p w:rsidR="00077DA2" w:rsidP="00077DA2" w:rsidRDefault="00077DA2" w14:paraId="29DC665E" w14:textId="77777777"/>
    <w:p w:rsidR="00077DA2" w:rsidP="00077DA2" w:rsidRDefault="00077DA2" w14:paraId="074FE9C3" w14:textId="77777777">
      <w:r>
        <w:t xml:space="preserve">De middelen voor het programma School en Omgeving worden de komende jaren zowel via een subsidieregeling aan scholen, als aan een aantal gemeenten via de Specifieke Uitkering (SPUK) Kansrijke Wijk uitgekeerd. Deze SPUK is bedoeld voor gebieden die onderdeel uitmaken van het Nationaal Programma Leefbaarheid en Veiligheid (NPLV). </w:t>
      </w:r>
    </w:p>
    <w:p w:rsidR="00077DA2" w:rsidP="00077DA2" w:rsidRDefault="00077DA2" w14:paraId="1FC79E81" w14:textId="77777777"/>
    <w:tbl>
      <w:tblPr>
        <w:tblStyle w:val="Tabelraster"/>
        <w:tblW w:w="0" w:type="auto"/>
        <w:tblLook w:val="04A0" w:firstRow="1" w:lastRow="0" w:firstColumn="1" w:lastColumn="0" w:noHBand="0" w:noVBand="1"/>
      </w:tblPr>
      <w:tblGrid>
        <w:gridCol w:w="2620"/>
        <w:gridCol w:w="2435"/>
        <w:gridCol w:w="2435"/>
      </w:tblGrid>
      <w:tr w:rsidRPr="00A36BD2" w:rsidR="00077DA2" w:rsidTr="000D572F" w14:paraId="56ED99C5" w14:textId="77777777">
        <w:tc>
          <w:tcPr>
            <w:tcW w:w="2546" w:type="dxa"/>
          </w:tcPr>
          <w:p w:rsidRPr="00A36BD2" w:rsidR="00077DA2" w:rsidP="000D572F" w:rsidRDefault="00077DA2" w14:paraId="48188B56" w14:textId="77777777">
            <w:pPr>
              <w:rPr>
                <w:b/>
                <w:bCs/>
                <w:i/>
                <w:iCs/>
              </w:rPr>
            </w:pPr>
            <w:r w:rsidRPr="00A36BD2">
              <w:rPr>
                <w:b/>
                <w:bCs/>
                <w:i/>
                <w:iCs/>
              </w:rPr>
              <w:t>Subsidieregeling</w:t>
            </w:r>
            <w:r>
              <w:rPr>
                <w:b/>
                <w:bCs/>
                <w:i/>
                <w:iCs/>
              </w:rPr>
              <w:t xml:space="preserve"> School en Omgeving</w:t>
            </w:r>
          </w:p>
        </w:tc>
        <w:tc>
          <w:tcPr>
            <w:tcW w:w="2547" w:type="dxa"/>
          </w:tcPr>
          <w:p w:rsidRPr="00A36BD2" w:rsidR="00077DA2" w:rsidP="000D572F" w:rsidRDefault="00077DA2" w14:paraId="70A63F3A" w14:textId="77777777">
            <w:pPr>
              <w:rPr>
                <w:b/>
                <w:bCs/>
                <w:i/>
                <w:iCs/>
              </w:rPr>
            </w:pPr>
            <w:r w:rsidRPr="00A36BD2">
              <w:rPr>
                <w:b/>
                <w:bCs/>
                <w:i/>
                <w:iCs/>
              </w:rPr>
              <w:t>2023-2025</w:t>
            </w:r>
          </w:p>
        </w:tc>
        <w:tc>
          <w:tcPr>
            <w:tcW w:w="2547" w:type="dxa"/>
          </w:tcPr>
          <w:p w:rsidRPr="00A36BD2" w:rsidR="00077DA2" w:rsidP="000D572F" w:rsidRDefault="00077DA2" w14:paraId="34D47DDF" w14:textId="77777777">
            <w:pPr>
              <w:rPr>
                <w:b/>
                <w:bCs/>
                <w:i/>
                <w:iCs/>
              </w:rPr>
            </w:pPr>
            <w:r w:rsidRPr="00A36BD2">
              <w:rPr>
                <w:b/>
                <w:bCs/>
                <w:i/>
                <w:iCs/>
              </w:rPr>
              <w:t>2025-2028</w:t>
            </w:r>
          </w:p>
        </w:tc>
      </w:tr>
      <w:tr w:rsidR="00077DA2" w:rsidTr="000D572F" w14:paraId="15BB2458" w14:textId="77777777">
        <w:tc>
          <w:tcPr>
            <w:tcW w:w="7640" w:type="dxa"/>
            <w:gridSpan w:val="3"/>
          </w:tcPr>
          <w:p w:rsidR="00077DA2" w:rsidP="000D572F" w:rsidRDefault="00077DA2" w14:paraId="7430F886" w14:textId="77777777">
            <w:pPr>
              <w:jc w:val="center"/>
            </w:pPr>
            <w:r>
              <w:rPr>
                <w:i/>
                <w:iCs/>
              </w:rPr>
              <w:t>Aantal scholen</w:t>
            </w:r>
          </w:p>
        </w:tc>
      </w:tr>
      <w:tr w:rsidR="00077DA2" w:rsidTr="000D572F" w14:paraId="7A1F4957" w14:textId="77777777">
        <w:tc>
          <w:tcPr>
            <w:tcW w:w="2546" w:type="dxa"/>
          </w:tcPr>
          <w:p w:rsidR="00077DA2" w:rsidP="000D572F" w:rsidRDefault="00077DA2" w14:paraId="476DFA97" w14:textId="77777777">
            <w:r>
              <w:t xml:space="preserve">Aantal aanvragen </w:t>
            </w:r>
          </w:p>
        </w:tc>
        <w:tc>
          <w:tcPr>
            <w:tcW w:w="2547" w:type="dxa"/>
          </w:tcPr>
          <w:p w:rsidR="00077DA2" w:rsidP="000D572F" w:rsidRDefault="00077DA2" w14:paraId="61335CA7" w14:textId="77777777">
            <w:r>
              <w:t>820 scholen</w:t>
            </w:r>
          </w:p>
        </w:tc>
        <w:tc>
          <w:tcPr>
            <w:tcW w:w="2547" w:type="dxa"/>
          </w:tcPr>
          <w:p w:rsidR="00077DA2" w:rsidP="000D572F" w:rsidRDefault="00077DA2" w14:paraId="0A765ECB" w14:textId="77777777">
            <w:r>
              <w:t>2.379 scholen</w:t>
            </w:r>
          </w:p>
        </w:tc>
      </w:tr>
      <w:tr w:rsidR="00077DA2" w:rsidTr="000D572F" w14:paraId="5F2A706B" w14:textId="77777777">
        <w:tc>
          <w:tcPr>
            <w:tcW w:w="2546" w:type="dxa"/>
          </w:tcPr>
          <w:p w:rsidR="00077DA2" w:rsidP="000D572F" w:rsidRDefault="00077DA2" w14:paraId="1D4D8645" w14:textId="77777777">
            <w:r>
              <w:t>Aantal toekenningen</w:t>
            </w:r>
          </w:p>
        </w:tc>
        <w:tc>
          <w:tcPr>
            <w:tcW w:w="2547" w:type="dxa"/>
          </w:tcPr>
          <w:p w:rsidR="00077DA2" w:rsidP="000D572F" w:rsidRDefault="00077DA2" w14:paraId="4224BBB0" w14:textId="77777777">
            <w:r>
              <w:t>811 scholen</w:t>
            </w:r>
          </w:p>
        </w:tc>
        <w:tc>
          <w:tcPr>
            <w:tcW w:w="2547" w:type="dxa"/>
          </w:tcPr>
          <w:p w:rsidR="00077DA2" w:rsidP="000D572F" w:rsidRDefault="00077DA2" w14:paraId="164138BD" w14:textId="77777777">
            <w:r>
              <w:t>1.058 scholen</w:t>
            </w:r>
          </w:p>
        </w:tc>
      </w:tr>
      <w:tr w:rsidR="00077DA2" w:rsidTr="000D572F" w14:paraId="4CFB642D" w14:textId="77777777">
        <w:tc>
          <w:tcPr>
            <w:tcW w:w="2546" w:type="dxa"/>
          </w:tcPr>
          <w:p w:rsidR="00077DA2" w:rsidP="000D572F" w:rsidRDefault="00077DA2" w14:paraId="7A2796D4" w14:textId="77777777">
            <w:r>
              <w:t>Percentage bereik 5% hoogste onderwijsachterstanden</w:t>
            </w:r>
          </w:p>
        </w:tc>
        <w:tc>
          <w:tcPr>
            <w:tcW w:w="2547" w:type="dxa"/>
          </w:tcPr>
          <w:p w:rsidR="00077DA2" w:rsidP="000D572F" w:rsidRDefault="00077DA2" w14:paraId="5BD23AAD" w14:textId="77777777">
            <w:r>
              <w:t>63 %</w:t>
            </w:r>
          </w:p>
        </w:tc>
        <w:tc>
          <w:tcPr>
            <w:tcW w:w="2547" w:type="dxa"/>
          </w:tcPr>
          <w:p w:rsidR="00077DA2" w:rsidP="000D572F" w:rsidRDefault="00077DA2" w14:paraId="2B21DBD6" w14:textId="77777777">
            <w:r>
              <w:t>83%</w:t>
            </w:r>
          </w:p>
        </w:tc>
      </w:tr>
      <w:tr w:rsidRPr="00A36BD2" w:rsidR="00077DA2" w:rsidTr="000D572F" w14:paraId="02B51F8F" w14:textId="77777777">
        <w:tc>
          <w:tcPr>
            <w:tcW w:w="7640" w:type="dxa"/>
            <w:gridSpan w:val="3"/>
          </w:tcPr>
          <w:p w:rsidRPr="00A36BD2" w:rsidR="00077DA2" w:rsidP="000D572F" w:rsidRDefault="00077DA2" w14:paraId="633EFE78" w14:textId="77777777">
            <w:pPr>
              <w:jc w:val="center"/>
              <w:rPr>
                <w:i/>
                <w:iCs/>
              </w:rPr>
            </w:pPr>
            <w:r>
              <w:rPr>
                <w:i/>
                <w:iCs/>
              </w:rPr>
              <w:t>Aantal leerlingen</w:t>
            </w:r>
          </w:p>
        </w:tc>
      </w:tr>
      <w:tr w:rsidR="00077DA2" w:rsidTr="000D572F" w14:paraId="319CFADC" w14:textId="77777777">
        <w:tc>
          <w:tcPr>
            <w:tcW w:w="2546" w:type="dxa"/>
          </w:tcPr>
          <w:p w:rsidR="00077DA2" w:rsidP="000D572F" w:rsidRDefault="00077DA2" w14:paraId="79885BE1" w14:textId="77777777">
            <w:r>
              <w:t xml:space="preserve">Aantal aanvragen </w:t>
            </w:r>
          </w:p>
        </w:tc>
        <w:tc>
          <w:tcPr>
            <w:tcW w:w="2547" w:type="dxa"/>
          </w:tcPr>
          <w:p w:rsidR="00077DA2" w:rsidP="000D572F" w:rsidRDefault="00077DA2" w14:paraId="7F39CA03" w14:textId="77777777">
            <w:r w:rsidRPr="004D7015">
              <w:t>11</w:t>
            </w:r>
            <w:r>
              <w:t>3</w:t>
            </w:r>
            <w:r w:rsidRPr="004D7015">
              <w:t>.</w:t>
            </w:r>
            <w:r>
              <w:t xml:space="preserve">152 leerlingen </w:t>
            </w:r>
          </w:p>
        </w:tc>
        <w:tc>
          <w:tcPr>
            <w:tcW w:w="2547" w:type="dxa"/>
          </w:tcPr>
          <w:p w:rsidR="00077DA2" w:rsidP="000D572F" w:rsidRDefault="00077DA2" w14:paraId="6707CEFF" w14:textId="77777777">
            <w:r>
              <w:t>266.428 leerlingen</w:t>
            </w:r>
          </w:p>
        </w:tc>
      </w:tr>
      <w:tr w:rsidR="00077DA2" w:rsidTr="000D572F" w14:paraId="494F4289" w14:textId="77777777">
        <w:tc>
          <w:tcPr>
            <w:tcW w:w="2546" w:type="dxa"/>
          </w:tcPr>
          <w:p w:rsidR="00077DA2" w:rsidP="000D572F" w:rsidRDefault="00077DA2" w14:paraId="6E5084D0" w14:textId="77777777">
            <w:r>
              <w:t xml:space="preserve">Aantal toekenningen </w:t>
            </w:r>
          </w:p>
        </w:tc>
        <w:tc>
          <w:tcPr>
            <w:tcW w:w="2547" w:type="dxa"/>
          </w:tcPr>
          <w:p w:rsidR="00077DA2" w:rsidP="000D572F" w:rsidRDefault="00077DA2" w14:paraId="220416ED" w14:textId="77777777">
            <w:r>
              <w:t>111.934 leerlingen</w:t>
            </w:r>
          </w:p>
        </w:tc>
        <w:tc>
          <w:tcPr>
            <w:tcW w:w="2547" w:type="dxa"/>
          </w:tcPr>
          <w:p w:rsidR="00077DA2" w:rsidP="000D572F" w:rsidRDefault="00077DA2" w14:paraId="11F04337" w14:textId="77777777">
            <w:r>
              <w:t>138.757 leerlingen</w:t>
            </w:r>
          </w:p>
        </w:tc>
      </w:tr>
    </w:tbl>
    <w:p w:rsidR="00077DA2" w:rsidP="00077DA2" w:rsidRDefault="00077DA2" w14:paraId="00B86C66" w14:textId="77777777"/>
    <w:tbl>
      <w:tblPr>
        <w:tblStyle w:val="Tabelraster"/>
        <w:tblW w:w="0" w:type="auto"/>
        <w:tblLook w:val="04A0" w:firstRow="1" w:lastRow="0" w:firstColumn="1" w:lastColumn="0" w:noHBand="0" w:noVBand="1"/>
      </w:tblPr>
      <w:tblGrid>
        <w:gridCol w:w="2506"/>
        <w:gridCol w:w="2492"/>
        <w:gridCol w:w="2492"/>
      </w:tblGrid>
      <w:tr w:rsidRPr="00A36BD2" w:rsidR="00077DA2" w:rsidTr="000D572F" w14:paraId="13A71BEE" w14:textId="77777777">
        <w:tc>
          <w:tcPr>
            <w:tcW w:w="2546" w:type="dxa"/>
          </w:tcPr>
          <w:p w:rsidRPr="00A36BD2" w:rsidR="00077DA2" w:rsidP="000D572F" w:rsidRDefault="00077DA2" w14:paraId="3E232460" w14:textId="77777777">
            <w:pPr>
              <w:rPr>
                <w:b/>
                <w:bCs/>
                <w:i/>
                <w:iCs/>
              </w:rPr>
            </w:pPr>
            <w:r w:rsidRPr="00A36BD2">
              <w:rPr>
                <w:b/>
                <w:bCs/>
                <w:i/>
                <w:iCs/>
              </w:rPr>
              <w:t>SPUK</w:t>
            </w:r>
            <w:r>
              <w:rPr>
                <w:b/>
                <w:bCs/>
                <w:i/>
                <w:iCs/>
              </w:rPr>
              <w:t xml:space="preserve"> Kansrijke Wijk</w:t>
            </w:r>
          </w:p>
        </w:tc>
        <w:tc>
          <w:tcPr>
            <w:tcW w:w="2547" w:type="dxa"/>
          </w:tcPr>
          <w:p w:rsidRPr="00A36BD2" w:rsidR="00077DA2" w:rsidP="000D572F" w:rsidRDefault="00077DA2" w14:paraId="65374DDE" w14:textId="77777777">
            <w:pPr>
              <w:rPr>
                <w:b/>
                <w:bCs/>
                <w:i/>
                <w:iCs/>
              </w:rPr>
            </w:pPr>
            <w:r w:rsidRPr="00A36BD2">
              <w:rPr>
                <w:b/>
                <w:bCs/>
                <w:i/>
                <w:iCs/>
              </w:rPr>
              <w:t>2023-2025</w:t>
            </w:r>
          </w:p>
        </w:tc>
        <w:tc>
          <w:tcPr>
            <w:tcW w:w="2547" w:type="dxa"/>
          </w:tcPr>
          <w:p w:rsidRPr="00A36BD2" w:rsidR="00077DA2" w:rsidP="000D572F" w:rsidRDefault="00077DA2" w14:paraId="15B31E89" w14:textId="77777777">
            <w:pPr>
              <w:rPr>
                <w:b/>
                <w:bCs/>
                <w:i/>
                <w:iCs/>
              </w:rPr>
            </w:pPr>
            <w:r w:rsidRPr="00A36BD2">
              <w:rPr>
                <w:b/>
                <w:bCs/>
                <w:i/>
                <w:iCs/>
              </w:rPr>
              <w:t>2025-2028</w:t>
            </w:r>
          </w:p>
        </w:tc>
      </w:tr>
      <w:tr w:rsidRPr="00A36BD2" w:rsidR="00077DA2" w:rsidTr="000D572F" w14:paraId="1B12CC1B" w14:textId="77777777">
        <w:tc>
          <w:tcPr>
            <w:tcW w:w="7640" w:type="dxa"/>
            <w:gridSpan w:val="3"/>
          </w:tcPr>
          <w:p w:rsidRPr="00A36BD2" w:rsidR="00077DA2" w:rsidP="000D572F" w:rsidRDefault="00077DA2" w14:paraId="0CE728BE" w14:textId="77777777">
            <w:pPr>
              <w:jc w:val="center"/>
              <w:rPr>
                <w:i/>
                <w:iCs/>
              </w:rPr>
            </w:pPr>
            <w:r w:rsidRPr="00A36BD2">
              <w:rPr>
                <w:i/>
                <w:iCs/>
              </w:rPr>
              <w:t>Aantal scholen</w:t>
            </w:r>
          </w:p>
        </w:tc>
      </w:tr>
      <w:tr w:rsidR="00077DA2" w:rsidTr="000D572F" w14:paraId="39222C6F" w14:textId="77777777">
        <w:tc>
          <w:tcPr>
            <w:tcW w:w="2546" w:type="dxa"/>
          </w:tcPr>
          <w:p w:rsidR="00077DA2" w:rsidP="000D572F" w:rsidRDefault="00077DA2" w14:paraId="3B2CDB6F" w14:textId="77777777">
            <w:r>
              <w:t>Aantal aanvragen</w:t>
            </w:r>
          </w:p>
        </w:tc>
        <w:tc>
          <w:tcPr>
            <w:tcW w:w="2547" w:type="dxa"/>
          </w:tcPr>
          <w:p w:rsidR="00077DA2" w:rsidP="000D572F" w:rsidRDefault="00077DA2" w14:paraId="42EB10EF" w14:textId="77777777">
            <w:r>
              <w:t>91 scholen</w:t>
            </w:r>
          </w:p>
        </w:tc>
        <w:tc>
          <w:tcPr>
            <w:tcW w:w="2547" w:type="dxa"/>
          </w:tcPr>
          <w:p w:rsidR="00077DA2" w:rsidP="000D572F" w:rsidRDefault="00077DA2" w14:paraId="4EF571F9" w14:textId="77777777">
            <w:r>
              <w:t>136 scholen</w:t>
            </w:r>
          </w:p>
        </w:tc>
      </w:tr>
      <w:tr w:rsidR="00077DA2" w:rsidTr="000D572F" w14:paraId="77E90B3D" w14:textId="77777777">
        <w:tc>
          <w:tcPr>
            <w:tcW w:w="2546" w:type="dxa"/>
          </w:tcPr>
          <w:p w:rsidR="00077DA2" w:rsidP="000D572F" w:rsidRDefault="00077DA2" w14:paraId="6F0F6308" w14:textId="77777777">
            <w:r>
              <w:t>Aantal toekenningen</w:t>
            </w:r>
          </w:p>
        </w:tc>
        <w:tc>
          <w:tcPr>
            <w:tcW w:w="2547" w:type="dxa"/>
          </w:tcPr>
          <w:p w:rsidR="00077DA2" w:rsidP="000D572F" w:rsidRDefault="00077DA2" w14:paraId="3C571966" w14:textId="77777777">
            <w:r>
              <w:t>91 scholen</w:t>
            </w:r>
          </w:p>
        </w:tc>
        <w:tc>
          <w:tcPr>
            <w:tcW w:w="2547" w:type="dxa"/>
          </w:tcPr>
          <w:p w:rsidR="00077DA2" w:rsidP="000D572F" w:rsidRDefault="00077DA2" w14:paraId="747642AE" w14:textId="77777777">
            <w:r>
              <w:t>136 scholen</w:t>
            </w:r>
          </w:p>
        </w:tc>
      </w:tr>
      <w:tr w:rsidRPr="00A36BD2" w:rsidR="00077DA2" w:rsidTr="000D572F" w14:paraId="20D91817" w14:textId="77777777">
        <w:tc>
          <w:tcPr>
            <w:tcW w:w="7640" w:type="dxa"/>
            <w:gridSpan w:val="3"/>
          </w:tcPr>
          <w:p w:rsidRPr="00A36BD2" w:rsidR="00077DA2" w:rsidP="000D572F" w:rsidRDefault="00077DA2" w14:paraId="42611115" w14:textId="77777777">
            <w:pPr>
              <w:jc w:val="center"/>
              <w:rPr>
                <w:i/>
                <w:iCs/>
              </w:rPr>
            </w:pPr>
            <w:r>
              <w:rPr>
                <w:i/>
                <w:iCs/>
              </w:rPr>
              <w:t>Aantal leerlingen</w:t>
            </w:r>
          </w:p>
        </w:tc>
      </w:tr>
      <w:tr w:rsidR="00077DA2" w:rsidTr="000D572F" w14:paraId="52A1104D" w14:textId="77777777">
        <w:tc>
          <w:tcPr>
            <w:tcW w:w="2546" w:type="dxa"/>
          </w:tcPr>
          <w:p w:rsidR="00077DA2" w:rsidP="000D572F" w:rsidRDefault="00077DA2" w14:paraId="437DEC71" w14:textId="77777777">
            <w:r>
              <w:t>Aantal aanvragen</w:t>
            </w:r>
          </w:p>
        </w:tc>
        <w:tc>
          <w:tcPr>
            <w:tcW w:w="2547" w:type="dxa"/>
          </w:tcPr>
          <w:p w:rsidR="00077DA2" w:rsidP="000D572F" w:rsidRDefault="00077DA2" w14:paraId="50E48CD5" w14:textId="77777777">
            <w:r>
              <w:t>27.351 leerlingen</w:t>
            </w:r>
          </w:p>
        </w:tc>
        <w:tc>
          <w:tcPr>
            <w:tcW w:w="2547" w:type="dxa"/>
          </w:tcPr>
          <w:p w:rsidR="00077DA2" w:rsidP="000D572F" w:rsidRDefault="00077DA2" w14:paraId="6AFBA2CA" w14:textId="77777777">
            <w:r>
              <w:t>39.575 leerlingen</w:t>
            </w:r>
          </w:p>
        </w:tc>
      </w:tr>
      <w:tr w:rsidR="00077DA2" w:rsidTr="000D572F" w14:paraId="72752315" w14:textId="77777777">
        <w:tc>
          <w:tcPr>
            <w:tcW w:w="2546" w:type="dxa"/>
          </w:tcPr>
          <w:p w:rsidR="00077DA2" w:rsidP="000D572F" w:rsidRDefault="00077DA2" w14:paraId="07FB29A0" w14:textId="77777777">
            <w:r>
              <w:t>Aantal toekenningen</w:t>
            </w:r>
          </w:p>
        </w:tc>
        <w:tc>
          <w:tcPr>
            <w:tcW w:w="2547" w:type="dxa"/>
          </w:tcPr>
          <w:p w:rsidR="00077DA2" w:rsidP="000D572F" w:rsidRDefault="00077DA2" w14:paraId="497895D3" w14:textId="77777777">
            <w:r>
              <w:t>27.351 leerlingen</w:t>
            </w:r>
          </w:p>
        </w:tc>
        <w:tc>
          <w:tcPr>
            <w:tcW w:w="2547" w:type="dxa"/>
          </w:tcPr>
          <w:p w:rsidR="00077DA2" w:rsidP="000D572F" w:rsidRDefault="00077DA2" w14:paraId="32188A0F" w14:textId="77777777">
            <w:r>
              <w:t>39.575 leerlingen</w:t>
            </w:r>
          </w:p>
        </w:tc>
      </w:tr>
    </w:tbl>
    <w:p w:rsidR="00077DA2" w:rsidP="00077DA2" w:rsidRDefault="00077DA2" w14:paraId="12CFE154" w14:textId="77777777"/>
    <w:tbl>
      <w:tblPr>
        <w:tblStyle w:val="Tabelraster"/>
        <w:tblW w:w="0" w:type="auto"/>
        <w:tblLook w:val="04A0" w:firstRow="1" w:lastRow="0" w:firstColumn="1" w:lastColumn="0" w:noHBand="0" w:noVBand="1"/>
      </w:tblPr>
      <w:tblGrid>
        <w:gridCol w:w="2518"/>
        <w:gridCol w:w="2486"/>
        <w:gridCol w:w="2486"/>
      </w:tblGrid>
      <w:tr w:rsidRPr="00A36BD2" w:rsidR="00077DA2" w:rsidTr="000D572F" w14:paraId="2C0015F0" w14:textId="77777777">
        <w:tc>
          <w:tcPr>
            <w:tcW w:w="2546" w:type="dxa"/>
          </w:tcPr>
          <w:p w:rsidRPr="00A36BD2" w:rsidR="00077DA2" w:rsidP="000D572F" w:rsidRDefault="00077DA2" w14:paraId="4C04215E" w14:textId="77777777">
            <w:pPr>
              <w:rPr>
                <w:b/>
                <w:bCs/>
                <w:i/>
                <w:iCs/>
              </w:rPr>
            </w:pPr>
            <w:r w:rsidRPr="00A36BD2">
              <w:rPr>
                <w:b/>
                <w:bCs/>
                <w:i/>
                <w:iCs/>
              </w:rPr>
              <w:lastRenderedPageBreak/>
              <w:t>Totaaloverzicht</w:t>
            </w:r>
            <w:r>
              <w:rPr>
                <w:b/>
                <w:bCs/>
                <w:i/>
                <w:iCs/>
              </w:rPr>
              <w:t xml:space="preserve"> (SPUK en subsidie)</w:t>
            </w:r>
          </w:p>
        </w:tc>
        <w:tc>
          <w:tcPr>
            <w:tcW w:w="2547" w:type="dxa"/>
          </w:tcPr>
          <w:p w:rsidRPr="00A36BD2" w:rsidR="00077DA2" w:rsidP="000D572F" w:rsidRDefault="00077DA2" w14:paraId="5580E26C" w14:textId="77777777">
            <w:pPr>
              <w:rPr>
                <w:b/>
                <w:bCs/>
                <w:i/>
                <w:iCs/>
              </w:rPr>
            </w:pPr>
            <w:r w:rsidRPr="00A36BD2">
              <w:rPr>
                <w:b/>
                <w:bCs/>
                <w:i/>
                <w:iCs/>
              </w:rPr>
              <w:t>2023-2025</w:t>
            </w:r>
          </w:p>
        </w:tc>
        <w:tc>
          <w:tcPr>
            <w:tcW w:w="2547" w:type="dxa"/>
          </w:tcPr>
          <w:p w:rsidRPr="00A36BD2" w:rsidR="00077DA2" w:rsidP="000D572F" w:rsidRDefault="00077DA2" w14:paraId="4C7B29D1" w14:textId="77777777">
            <w:pPr>
              <w:rPr>
                <w:b/>
                <w:bCs/>
                <w:i/>
                <w:iCs/>
              </w:rPr>
            </w:pPr>
            <w:r w:rsidRPr="00A36BD2">
              <w:rPr>
                <w:b/>
                <w:bCs/>
                <w:i/>
                <w:iCs/>
              </w:rPr>
              <w:t>2025-2028</w:t>
            </w:r>
          </w:p>
        </w:tc>
      </w:tr>
      <w:tr w:rsidRPr="00A36BD2" w:rsidR="00077DA2" w:rsidTr="000D572F" w14:paraId="7D78F537" w14:textId="77777777">
        <w:tc>
          <w:tcPr>
            <w:tcW w:w="7640" w:type="dxa"/>
            <w:gridSpan w:val="3"/>
          </w:tcPr>
          <w:p w:rsidRPr="00A36BD2" w:rsidR="00077DA2" w:rsidP="000D572F" w:rsidRDefault="00077DA2" w14:paraId="1A5657F4" w14:textId="77777777">
            <w:pPr>
              <w:jc w:val="center"/>
              <w:rPr>
                <w:i/>
                <w:iCs/>
              </w:rPr>
            </w:pPr>
            <w:r>
              <w:rPr>
                <w:i/>
                <w:iCs/>
              </w:rPr>
              <w:t>Aantal scholen</w:t>
            </w:r>
          </w:p>
        </w:tc>
      </w:tr>
      <w:tr w:rsidR="00077DA2" w:rsidTr="000D572F" w14:paraId="06261FF0" w14:textId="77777777">
        <w:tc>
          <w:tcPr>
            <w:tcW w:w="2546" w:type="dxa"/>
          </w:tcPr>
          <w:p w:rsidR="00077DA2" w:rsidP="000D572F" w:rsidRDefault="00077DA2" w14:paraId="24644D6C" w14:textId="77777777">
            <w:r>
              <w:t>Aantal aanvragen</w:t>
            </w:r>
          </w:p>
        </w:tc>
        <w:tc>
          <w:tcPr>
            <w:tcW w:w="2547" w:type="dxa"/>
          </w:tcPr>
          <w:p w:rsidR="00077DA2" w:rsidP="000D572F" w:rsidRDefault="00077DA2" w14:paraId="36FAE740" w14:textId="77777777">
            <w:r>
              <w:t xml:space="preserve">911 scholen </w:t>
            </w:r>
          </w:p>
        </w:tc>
        <w:tc>
          <w:tcPr>
            <w:tcW w:w="2547" w:type="dxa"/>
          </w:tcPr>
          <w:p w:rsidR="00077DA2" w:rsidP="000D572F" w:rsidRDefault="00077DA2" w14:paraId="528652DF" w14:textId="77777777">
            <w:r>
              <w:t>2.515 scholen</w:t>
            </w:r>
          </w:p>
        </w:tc>
      </w:tr>
      <w:tr w:rsidR="00077DA2" w:rsidTr="000D572F" w14:paraId="14E2D4AE" w14:textId="77777777">
        <w:tc>
          <w:tcPr>
            <w:tcW w:w="2546" w:type="dxa"/>
          </w:tcPr>
          <w:p w:rsidR="00077DA2" w:rsidP="000D572F" w:rsidRDefault="00077DA2" w14:paraId="7FA3F561" w14:textId="77777777">
            <w:r>
              <w:t>Aantal toekenningen</w:t>
            </w:r>
          </w:p>
        </w:tc>
        <w:tc>
          <w:tcPr>
            <w:tcW w:w="2547" w:type="dxa"/>
          </w:tcPr>
          <w:p w:rsidR="00077DA2" w:rsidP="000D572F" w:rsidRDefault="00077DA2" w14:paraId="5009771C" w14:textId="77777777">
            <w:r>
              <w:t>902 scholen</w:t>
            </w:r>
          </w:p>
        </w:tc>
        <w:tc>
          <w:tcPr>
            <w:tcW w:w="2547" w:type="dxa"/>
          </w:tcPr>
          <w:p w:rsidR="00077DA2" w:rsidP="000D572F" w:rsidRDefault="00077DA2" w14:paraId="162B442B" w14:textId="77777777">
            <w:r>
              <w:t>1.194 scholen</w:t>
            </w:r>
          </w:p>
        </w:tc>
      </w:tr>
      <w:tr w:rsidRPr="00A36BD2" w:rsidR="00077DA2" w:rsidTr="000D572F" w14:paraId="42A50EF4" w14:textId="77777777">
        <w:tc>
          <w:tcPr>
            <w:tcW w:w="7640" w:type="dxa"/>
            <w:gridSpan w:val="3"/>
          </w:tcPr>
          <w:p w:rsidRPr="00A36BD2" w:rsidR="00077DA2" w:rsidP="000D572F" w:rsidRDefault="00077DA2" w14:paraId="5D05CD62" w14:textId="77777777">
            <w:pPr>
              <w:jc w:val="center"/>
              <w:rPr>
                <w:i/>
                <w:iCs/>
              </w:rPr>
            </w:pPr>
            <w:r w:rsidRPr="007851C4">
              <w:t xml:space="preserve"> </w:t>
            </w:r>
            <w:r>
              <w:rPr>
                <w:i/>
                <w:iCs/>
              </w:rPr>
              <w:t>Aantal leerlingen</w:t>
            </w:r>
          </w:p>
        </w:tc>
      </w:tr>
      <w:tr w:rsidR="00077DA2" w:rsidTr="000D572F" w14:paraId="5E9342A6" w14:textId="77777777">
        <w:tc>
          <w:tcPr>
            <w:tcW w:w="2546" w:type="dxa"/>
          </w:tcPr>
          <w:p w:rsidR="00077DA2" w:rsidP="000D572F" w:rsidRDefault="00077DA2" w14:paraId="513B8520" w14:textId="77777777">
            <w:r>
              <w:t>Aantal aanvragen</w:t>
            </w:r>
          </w:p>
        </w:tc>
        <w:tc>
          <w:tcPr>
            <w:tcW w:w="2547" w:type="dxa"/>
            <w:shd w:val="clear" w:color="auto" w:fill="auto"/>
          </w:tcPr>
          <w:p w:rsidR="00077DA2" w:rsidP="000D572F" w:rsidRDefault="00077DA2" w14:paraId="736EF856" w14:textId="77777777">
            <w:r w:rsidRPr="004D7015">
              <w:t>1</w:t>
            </w:r>
            <w:r>
              <w:t>40</w:t>
            </w:r>
            <w:r w:rsidRPr="004D7015">
              <w:t>.</w:t>
            </w:r>
            <w:r>
              <w:t>503</w:t>
            </w:r>
            <w:r w:rsidRPr="004D7015">
              <w:t xml:space="preserve"> leerlingen</w:t>
            </w:r>
          </w:p>
        </w:tc>
        <w:tc>
          <w:tcPr>
            <w:tcW w:w="2547" w:type="dxa"/>
          </w:tcPr>
          <w:p w:rsidR="00077DA2" w:rsidP="000D572F" w:rsidRDefault="00077DA2" w14:paraId="0339E1AC" w14:textId="77777777">
            <w:r>
              <w:t>306.003 leerlingen</w:t>
            </w:r>
          </w:p>
        </w:tc>
      </w:tr>
      <w:tr w:rsidR="00077DA2" w:rsidTr="000D572F" w14:paraId="43D56188" w14:textId="77777777">
        <w:tc>
          <w:tcPr>
            <w:tcW w:w="2546" w:type="dxa"/>
          </w:tcPr>
          <w:p w:rsidR="00077DA2" w:rsidP="000D572F" w:rsidRDefault="00077DA2" w14:paraId="5270B8DE" w14:textId="77777777">
            <w:r>
              <w:t>Aantal toekenningen</w:t>
            </w:r>
          </w:p>
        </w:tc>
        <w:tc>
          <w:tcPr>
            <w:tcW w:w="2547" w:type="dxa"/>
          </w:tcPr>
          <w:p w:rsidR="00077DA2" w:rsidP="000D572F" w:rsidRDefault="00077DA2" w14:paraId="4970EFF8" w14:textId="77777777">
            <w:r>
              <w:t>139.285 leerlingen</w:t>
            </w:r>
          </w:p>
        </w:tc>
        <w:tc>
          <w:tcPr>
            <w:tcW w:w="2547" w:type="dxa"/>
          </w:tcPr>
          <w:p w:rsidR="00077DA2" w:rsidP="000D572F" w:rsidRDefault="00077DA2" w14:paraId="0CB2D656" w14:textId="77777777">
            <w:r>
              <w:t>178.332 leerlingen</w:t>
            </w:r>
          </w:p>
        </w:tc>
      </w:tr>
    </w:tbl>
    <w:p w:rsidR="00077DA2" w:rsidP="00077DA2" w:rsidRDefault="00077DA2" w14:paraId="6C0B7266" w14:textId="77777777"/>
    <w:p w:rsidR="00077DA2" w:rsidP="00077DA2" w:rsidRDefault="00077DA2" w14:paraId="0E30A4A6" w14:textId="77777777">
      <w:pPr>
        <w:rPr>
          <w:b/>
          <w:bCs/>
        </w:rPr>
      </w:pPr>
    </w:p>
    <w:p w:rsidR="00077DA2" w:rsidP="00077DA2" w:rsidRDefault="00077DA2" w14:paraId="7B2935DD" w14:textId="77777777">
      <w:pPr>
        <w:rPr>
          <w:b/>
          <w:bCs/>
        </w:rPr>
      </w:pPr>
    </w:p>
    <w:p w:rsidR="00077DA2" w:rsidP="00077DA2" w:rsidRDefault="00077DA2" w14:paraId="77045D03" w14:textId="77777777">
      <w:pPr>
        <w:rPr>
          <w:b/>
          <w:bCs/>
        </w:rPr>
      </w:pPr>
    </w:p>
    <w:p w:rsidR="00077DA2" w:rsidP="00077DA2" w:rsidRDefault="00077DA2" w14:paraId="7D71347F" w14:textId="77777777">
      <w:pPr>
        <w:rPr>
          <w:b/>
          <w:bCs/>
        </w:rPr>
      </w:pPr>
    </w:p>
    <w:p w:rsidRPr="00AD530D" w:rsidR="00077DA2" w:rsidP="00077DA2" w:rsidRDefault="00077DA2" w14:paraId="7AF7E871" w14:textId="77777777">
      <w:pPr>
        <w:rPr>
          <w:b/>
          <w:bCs/>
        </w:rPr>
      </w:pPr>
      <w:r>
        <w:rPr>
          <w:b/>
          <w:bCs/>
        </w:rPr>
        <w:t>School en Omgeving, de brugfunctionaris en schoolmaaltijden vanaf 2029</w:t>
      </w:r>
    </w:p>
    <w:p w:rsidRPr="0049769D" w:rsidR="00077DA2" w:rsidP="00077DA2" w:rsidRDefault="00077DA2" w14:paraId="139D1E15" w14:textId="77777777">
      <w:pPr>
        <w:rPr>
          <w:color w:val="FF0000"/>
        </w:rPr>
      </w:pPr>
      <w:r>
        <w:t>Om structurele taken zo veel als mogelijk structureel te bekostigen, wordt op dit moment gewerkt aan de duurzame vormgeving van het programma School en Omgeving. Zoals aangekondigd in de Kamerbrief duurzame vormgeving</w:t>
      </w:r>
      <w:r>
        <w:rPr>
          <w:rStyle w:val="Voetnootmarkering"/>
        </w:rPr>
        <w:footnoteReference w:id="2"/>
      </w:r>
      <w:r>
        <w:t xml:space="preserve"> is verkend welke financieringsstromen daarbij gebundeld kunnen worden. De programma’s Schoolmaaltijden en de Brugfunctionaris zijn hiervoor kansrijk, omdat ze overlappende doelen en doelgroepen hebben. Daarom wordt gewerkt aan één structurele aanvullende bekostigingsregeling, zodat scholen met veel kwetsbare leerlingen vanaf 2029 aanvullende bekostiging ontvangen voor Schoolmaaltijden, School en Omgeving en de Brugfunctionaris. Hiermee kunnen scholen een integrale samenwerking met partijen rondom de school opzetten. De komende tijd wordt, gelijktijdig met de benodigde wetswijzing, gewerkt aan de regeling, de wijze waarop de middelen worden verdeeld en hoe de inzet van de middelen gemonitord kan worden. Mogelijk heeft de keuze waarop de middelen worden verdeeld een andere verdeling over de scholen tot gevolg ten opzichte van de verdeling op basis van de individuele programma’s. Aanvullende bekostiging zal in principe tot lagere administratieve lasten leiden voor scholen ten opzichte van de huidige subsidieregelingen, </w:t>
      </w:r>
      <w:r w:rsidRPr="000E33E2">
        <w:t xml:space="preserve">naast de inhoudelijke voordelen van een integraal programma. </w:t>
      </w:r>
    </w:p>
    <w:p w:rsidR="00077DA2" w:rsidP="00077DA2" w:rsidRDefault="00077DA2" w14:paraId="0D97B5D1" w14:textId="77777777"/>
    <w:p w:rsidRPr="00F847CA" w:rsidR="00077DA2" w:rsidP="00077DA2" w:rsidRDefault="00077DA2" w14:paraId="1026D085" w14:textId="77777777">
      <w:pPr>
        <w:rPr>
          <w:b/>
          <w:bCs/>
        </w:rPr>
      </w:pPr>
      <w:r>
        <w:rPr>
          <w:b/>
          <w:bCs/>
        </w:rPr>
        <w:t>Tot slot</w:t>
      </w:r>
    </w:p>
    <w:p w:rsidR="00077DA2" w:rsidP="00077DA2" w:rsidRDefault="00077DA2" w14:paraId="3C1A3DA2" w14:textId="77777777">
      <w:r>
        <w:t xml:space="preserve">Er is met enthousiasme op de nieuwe subsidieregeling School en Omgeving gereageerd. De komende drie schooljaren gaan opnieuw veel scholen en professionals aan de slag met het verrijken van schooldagen. We werken ondertussen verder aan de duurzame vormgeving van School en Omgeving, de </w:t>
      </w:r>
      <w:r>
        <w:lastRenderedPageBreak/>
        <w:t xml:space="preserve">Brugfunctionaris en Schoolmaaltijden. Hiermee ontvangen scholen vanaf 2029 ook structurele financiering voor deze programma’s. Zo zorgen we ervoor dat iedere leerling de kans krijgt om zijn of haar talenten ten volle te ontdekken en zich verder te ontwikkelen. </w:t>
      </w:r>
    </w:p>
    <w:p w:rsidR="00077DA2" w:rsidP="00077DA2" w:rsidRDefault="00077DA2" w14:paraId="55BB35FC" w14:textId="77777777"/>
    <w:p w:rsidR="00077DA2" w:rsidP="00077DA2" w:rsidRDefault="00077DA2" w14:paraId="0A12DEFD" w14:textId="77777777"/>
    <w:p w:rsidR="00077DA2" w:rsidP="009D44DF" w:rsidRDefault="00077DA2" w14:paraId="11014C9B" w14:textId="77777777">
      <w:pPr>
        <w:pStyle w:val="Geenafstand"/>
      </w:pPr>
      <w:r>
        <w:t>De staatssecretaris van Onderwijs, Cultuur en Wetenschap,</w:t>
      </w:r>
    </w:p>
    <w:p w:rsidR="00077DA2" w:rsidP="009D44DF" w:rsidRDefault="009D44DF" w14:paraId="4270314D" w14:textId="1473EFB1">
      <w:pPr>
        <w:pStyle w:val="Geenafstand"/>
      </w:pPr>
      <w:r>
        <w:t xml:space="preserve">M.L.J. </w:t>
      </w:r>
      <w:r w:rsidR="00077DA2">
        <w:t>Paul</w:t>
      </w:r>
    </w:p>
    <w:p w:rsidR="00077DA2" w:rsidP="00077DA2" w:rsidRDefault="00077DA2" w14:paraId="65201FA7" w14:textId="77777777"/>
    <w:p w:rsidR="00077DA2" w:rsidP="00077DA2" w:rsidRDefault="00077DA2" w14:paraId="1C6B2ADA" w14:textId="77777777"/>
    <w:p w:rsidRPr="00820DDA" w:rsidR="00077DA2" w:rsidP="00077DA2" w:rsidRDefault="00077DA2" w14:paraId="5657B739" w14:textId="77777777">
      <w:pPr>
        <w:spacing w:line="240" w:lineRule="auto"/>
      </w:pPr>
    </w:p>
    <w:p w:rsidR="00134D0B" w:rsidRDefault="00134D0B" w14:paraId="7E1CF13A" w14:textId="77777777"/>
    <w:sectPr w:rsidR="00134D0B" w:rsidSect="00584CC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05FD" w14:textId="77777777" w:rsidR="00077DA2" w:rsidRDefault="00077DA2" w:rsidP="00077DA2">
      <w:pPr>
        <w:spacing w:after="0" w:line="240" w:lineRule="auto"/>
      </w:pPr>
      <w:r>
        <w:separator/>
      </w:r>
    </w:p>
  </w:endnote>
  <w:endnote w:type="continuationSeparator" w:id="0">
    <w:p w14:paraId="2CC2D7B0" w14:textId="77777777" w:rsidR="00077DA2" w:rsidRDefault="00077DA2" w:rsidP="0007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DAFD" w14:textId="77777777" w:rsidR="00077DA2" w:rsidRPr="00077DA2" w:rsidRDefault="00077DA2" w:rsidP="00077D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0E2" w14:textId="77777777" w:rsidR="00077DA2" w:rsidRPr="00077DA2" w:rsidRDefault="00077DA2" w:rsidP="00077D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8BB" w14:textId="77777777" w:rsidR="00077DA2" w:rsidRPr="00077DA2" w:rsidRDefault="00077DA2" w:rsidP="00077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122E" w14:textId="77777777" w:rsidR="00077DA2" w:rsidRDefault="00077DA2" w:rsidP="00077DA2">
      <w:pPr>
        <w:spacing w:after="0" w:line="240" w:lineRule="auto"/>
      </w:pPr>
      <w:r>
        <w:separator/>
      </w:r>
    </w:p>
  </w:footnote>
  <w:footnote w:type="continuationSeparator" w:id="0">
    <w:p w14:paraId="07612012" w14:textId="77777777" w:rsidR="00077DA2" w:rsidRDefault="00077DA2" w:rsidP="00077DA2">
      <w:pPr>
        <w:spacing w:after="0" w:line="240" w:lineRule="auto"/>
      </w:pPr>
      <w:r>
        <w:continuationSeparator/>
      </w:r>
    </w:p>
  </w:footnote>
  <w:footnote w:id="1">
    <w:p w14:paraId="394CB161" w14:textId="77777777" w:rsidR="00077DA2" w:rsidRDefault="00077DA2" w:rsidP="00077DA2">
      <w:pPr>
        <w:pStyle w:val="Voetnoottekst"/>
      </w:pPr>
      <w:r>
        <w:rPr>
          <w:rStyle w:val="Voetnootmarkering"/>
        </w:rPr>
        <w:footnoteRef/>
      </w:r>
      <w:r>
        <w:t xml:space="preserve"> TZ202503-5152 Voor de zomer ontvangt de Tweede Kamer een brief over hoeveel kinderen gebruik gaan maken van het programma School en Omgeving en hoeveel hiervoor worden afgewezen. </w:t>
      </w:r>
    </w:p>
  </w:footnote>
  <w:footnote w:id="2">
    <w:p w14:paraId="4E3DB1F3" w14:textId="77777777" w:rsidR="00077DA2" w:rsidRDefault="00077DA2" w:rsidP="00077DA2">
      <w:pPr>
        <w:pStyle w:val="Voetnoottekst"/>
      </w:pPr>
      <w:r>
        <w:rPr>
          <w:rStyle w:val="Voetnootmarkering"/>
        </w:rPr>
        <w:footnoteRef/>
      </w:r>
      <w:r>
        <w:t xml:space="preserve"> Kamerstukken II, 2024/2025, 31293, nr. 786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24DD" w14:textId="77777777" w:rsidR="00077DA2" w:rsidRPr="00077DA2" w:rsidRDefault="00077DA2" w:rsidP="00077D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E05B" w14:textId="77777777" w:rsidR="00077DA2" w:rsidRPr="00077DA2" w:rsidRDefault="00077DA2" w:rsidP="00077D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0D41" w14:textId="77777777" w:rsidR="00077DA2" w:rsidRPr="00077DA2" w:rsidRDefault="00077DA2" w:rsidP="00077D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A2"/>
    <w:rsid w:val="00077DA2"/>
    <w:rsid w:val="00134D0B"/>
    <w:rsid w:val="001F798A"/>
    <w:rsid w:val="002E21A6"/>
    <w:rsid w:val="0044550A"/>
    <w:rsid w:val="00584CCD"/>
    <w:rsid w:val="009D44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CAE4"/>
  <w15:chartTrackingRefBased/>
  <w15:docId w15:val="{848B7F76-3441-4112-AFC7-94B151B4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D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D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D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D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D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D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D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D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D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D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D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D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D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D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D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DA2"/>
    <w:rPr>
      <w:rFonts w:eastAsiaTheme="majorEastAsia" w:cstheme="majorBidi"/>
      <w:color w:val="272727" w:themeColor="text1" w:themeTint="D8"/>
    </w:rPr>
  </w:style>
  <w:style w:type="paragraph" w:styleId="Titel">
    <w:name w:val="Title"/>
    <w:basedOn w:val="Standaard"/>
    <w:next w:val="Standaard"/>
    <w:link w:val="TitelChar"/>
    <w:uiPriority w:val="10"/>
    <w:qFormat/>
    <w:rsid w:val="0007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D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D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D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D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DA2"/>
    <w:rPr>
      <w:i/>
      <w:iCs/>
      <w:color w:val="404040" w:themeColor="text1" w:themeTint="BF"/>
    </w:rPr>
  </w:style>
  <w:style w:type="paragraph" w:styleId="Lijstalinea">
    <w:name w:val="List Paragraph"/>
    <w:basedOn w:val="Standaard"/>
    <w:uiPriority w:val="34"/>
    <w:qFormat/>
    <w:rsid w:val="00077DA2"/>
    <w:pPr>
      <w:ind w:left="720"/>
      <w:contextualSpacing/>
    </w:pPr>
  </w:style>
  <w:style w:type="character" w:styleId="Intensievebenadrukking">
    <w:name w:val="Intense Emphasis"/>
    <w:basedOn w:val="Standaardalinea-lettertype"/>
    <w:uiPriority w:val="21"/>
    <w:qFormat/>
    <w:rsid w:val="00077DA2"/>
    <w:rPr>
      <w:i/>
      <w:iCs/>
      <w:color w:val="0F4761" w:themeColor="accent1" w:themeShade="BF"/>
    </w:rPr>
  </w:style>
  <w:style w:type="paragraph" w:styleId="Duidelijkcitaat">
    <w:name w:val="Intense Quote"/>
    <w:basedOn w:val="Standaard"/>
    <w:next w:val="Standaard"/>
    <w:link w:val="DuidelijkcitaatChar"/>
    <w:uiPriority w:val="30"/>
    <w:qFormat/>
    <w:rsid w:val="0007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DA2"/>
    <w:rPr>
      <w:i/>
      <w:iCs/>
      <w:color w:val="0F4761" w:themeColor="accent1" w:themeShade="BF"/>
    </w:rPr>
  </w:style>
  <w:style w:type="character" w:styleId="Intensieveverwijzing">
    <w:name w:val="Intense Reference"/>
    <w:basedOn w:val="Standaardalinea-lettertype"/>
    <w:uiPriority w:val="32"/>
    <w:qFormat/>
    <w:rsid w:val="00077DA2"/>
    <w:rPr>
      <w:b/>
      <w:bCs/>
      <w:smallCaps/>
      <w:color w:val="0F4761" w:themeColor="accent1" w:themeShade="BF"/>
      <w:spacing w:val="5"/>
    </w:rPr>
  </w:style>
  <w:style w:type="paragraph" w:styleId="Koptekst">
    <w:name w:val="header"/>
    <w:basedOn w:val="Standaard"/>
    <w:link w:val="KoptekstChar"/>
    <w:rsid w:val="00077D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77D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77D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77DA2"/>
    <w:rPr>
      <w:rFonts w:ascii="Verdana" w:eastAsia="Times New Roman" w:hAnsi="Verdana" w:cs="Times New Roman"/>
      <w:kern w:val="0"/>
      <w:sz w:val="18"/>
      <w:szCs w:val="24"/>
      <w:lang w:eastAsia="nl-NL"/>
      <w14:ligatures w14:val="none"/>
    </w:rPr>
  </w:style>
  <w:style w:type="table" w:styleId="Tabelraster">
    <w:name w:val="Table Grid"/>
    <w:basedOn w:val="Standaardtabel"/>
    <w:rsid w:val="00077DA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077D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77DA2"/>
    <w:rPr>
      <w:rFonts w:ascii="Verdana" w:hAnsi="Verdana"/>
      <w:noProof/>
      <w:sz w:val="13"/>
      <w:szCs w:val="24"/>
      <w:lang w:eastAsia="nl-NL"/>
    </w:rPr>
  </w:style>
  <w:style w:type="paragraph" w:customStyle="1" w:styleId="Huisstijl-Gegeven">
    <w:name w:val="Huisstijl-Gegeven"/>
    <w:basedOn w:val="Standaard"/>
    <w:link w:val="Huisstijl-GegevenCharChar"/>
    <w:rsid w:val="00077D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77D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77DA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77DA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77DA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77DA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077DA2"/>
    <w:rPr>
      <w:vertAlign w:val="superscript"/>
    </w:rPr>
  </w:style>
  <w:style w:type="paragraph" w:styleId="Geenafstand">
    <w:name w:val="No Spacing"/>
    <w:uiPriority w:val="1"/>
    <w:qFormat/>
    <w:rsid w:val="009D4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967</ap:Words>
  <ap:Characters>5322</ap:Characters>
  <ap:DocSecurity>0</ap:DocSecurity>
  <ap:Lines>44</ap:Lines>
  <ap:Paragraphs>12</ap:Paragraphs>
  <ap:ScaleCrop>false</ap:ScaleCrop>
  <ap:LinksUpToDate>false</ap:LinksUpToDate>
  <ap:CharactersWithSpaces>6277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2025-07-09T13:38:00.0000000Z</dcterms:created>
  <dcterms:modified xsi:type="dcterms:W3CDTF">2025-07-09T13:38:00.0000000Z</dcterms:modified>
  <version/>
  <category/>
</coreProperties>
</file>