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2025Z13568</w:t>
        <w:br/>
      </w:r>
      <w:proofErr w:type="spellEnd"/>
    </w:p>
    <w:p>
      <w:pPr>
        <w:pStyle w:val="Normal"/>
        <w:rPr>
          <w:b w:val="1"/>
          <w:bCs w:val="1"/>
        </w:rPr>
      </w:pPr>
      <w:r w:rsidR="250AE766">
        <w:rPr>
          <w:b w:val="0"/>
          <w:bCs w:val="0"/>
        </w:rPr>
        <w:t>(ingezonden 30 juni 2025)</w:t>
        <w:br/>
      </w:r>
    </w:p>
    <w:p>
      <w:r>
        <w:t xml:space="preserve">Vragen van het lid Mohandis (GroenLinks–PvdA) aan de minister van Onderwijs, Cultuur en Wetenschap over de voorgenomen stelselherziening van lokale publieke omroepen</w:t>
      </w:r>
      <w:r>
        <w:br/>
      </w:r>
    </w:p>
    <w:p>
      <w:r>
        <w:t xml:space="preserve"> </w:t>
      </w:r>
      <w:r>
        <w:br/>
      </w:r>
    </w:p>
    <w:p>
      <w:pPr>
        <w:pStyle w:val="ListParagraph"/>
        <w:numPr>
          <w:ilvl w:val="0"/>
          <w:numId w:val="100482250"/>
        </w:numPr>
        <w:ind w:left="360"/>
      </w:pPr>
      <w:r>
        <w:t xml:space="preserve">Wat is de stand van zaken over de voorgenomen stelselherziening van de lokale publieke omroepen en kunt u toelichten hoe de betrokkenheid van gemeenten structureel geborgd is?</w:t>
      </w:r>
      <w:r>
        <w:br/>
      </w:r>
    </w:p>
    <w:p>
      <w:pPr>
        <w:pStyle w:val="ListParagraph"/>
        <w:numPr>
          <w:ilvl w:val="0"/>
          <w:numId w:val="100482250"/>
        </w:numPr>
        <w:ind w:left="360"/>
      </w:pPr>
      <w:r>
        <w:t xml:space="preserve">Kunt u, liefst vóór het aankomende zomerreces, helderheid geven over het totaalbudget en de verdeelsystematiek die gepaard gaan met de uitvoering van de wetswijziging voor lokale publieke mediadienstverlening en hoe verhoudt zich dit tot de inzet van gemeenten die reeds hebben geïnvesteerd in de vorming van streekomroepen?</w:t>
      </w:r>
      <w:r>
        <w:br/>
      </w:r>
    </w:p>
    <w:p>
      <w:pPr>
        <w:pStyle w:val="ListParagraph"/>
        <w:numPr>
          <w:ilvl w:val="0"/>
          <w:numId w:val="100482250"/>
        </w:numPr>
        <w:ind w:left="360"/>
      </w:pPr>
      <w:r>
        <w:t xml:space="preserve">Welke randvoorwaarden zijn naar uw oordeel nodig om samenwerking tussen publieke en private partijen mogelijk te maken, zonder dat dit leidt tot versnippering van de middelen voor de lokale omroepen of ondermijning van de beoogde streeksgewijze infrastructuur?</w:t>
      </w:r>
      <w:r>
        <w:br/>
      </w:r>
    </w:p>
    <w:p>
      <w:pPr>
        <w:pStyle w:val="ListParagraph"/>
        <w:numPr>
          <w:ilvl w:val="0"/>
          <w:numId w:val="100482250"/>
        </w:numPr>
        <w:ind w:left="360"/>
      </w:pPr>
      <w:r>
        <w:t xml:space="preserve">Wat is de stand van zaken in de vorming van de 80 streekomroepen en kunt u deze status nader toelichten en welke mogelijkheden blijven behouden om op gemeenteniveau maatwerk te blijven leveren voor lokale omroepen?</w:t>
      </w:r>
      <w:r>
        <w:br/>
      </w:r>
    </w:p>
    <w:p>
      <w:pPr>
        <w:pStyle w:val="ListParagraph"/>
        <w:numPr>
          <w:ilvl w:val="0"/>
          <w:numId w:val="100482250"/>
        </w:numPr>
        <w:ind w:left="360"/>
      </w:pPr>
      <w:r>
        <w:t xml:space="preserve">Bent u het ermee eens dat samenwerking tussen regionale en lokale publieke omroepen gewenst is, mits beide lagen hun eigen journalistieke opdracht en profiel kunnen behouden? Zo nee, waarom niet? Zo ja, bent u bereid om in uw adviesaanvraag aan de Raad voor Cultuur over het concessiebeleidsplan voor de regionale publieke omroep expliciet aandacht te vragen voor de verhouding tot en afbakening ten opzichte van het lokale publieke domein, zodat beide lagen elkaar versterken? Zo nee, waarom niet?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