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20798" w:rsidP="00C20798" w14:paraId="240EDD8B" w14:textId="49132FA1">
      <w:r w:rsidRPr="00292186">
        <w:t xml:space="preserve">Hierbij bied ik uw Kamer de Stand van de Uitvoering van het Rijksvastgoedbedrijf (RVB) </w:t>
      </w:r>
      <w:r>
        <w:t xml:space="preserve">2025 </w:t>
      </w:r>
      <w:r w:rsidRPr="00292186">
        <w:t xml:space="preserve">aan. Het RVB is verantwoordelijk voor het beheer en instandhouding van de gebouwen en gronden van de Rijksoverheid en Defensie. </w:t>
      </w:r>
      <w:r>
        <w:t>In de Stand van de Uitvoering geeft het RVB inzicht in de knelpunten die zij ervaren in de uitvoering.</w:t>
      </w:r>
    </w:p>
    <w:p w:rsidR="00C20798" w:rsidP="00C20798" w14:paraId="1CD70B47" w14:textId="77777777"/>
    <w:p w:rsidRPr="00164FF4" w:rsidR="00164FF4" w:rsidP="00164FF4" w14:paraId="3E49ECBA" w14:textId="17AF9A0C">
      <w:pPr>
        <w:rPr>
          <w:b/>
          <w:bCs/>
        </w:rPr>
      </w:pPr>
      <w:r>
        <w:rPr>
          <w:b/>
          <w:bCs/>
        </w:rPr>
        <w:t>Stand van de Uitvoering Rijksvastgoedbedrijf 2025</w:t>
      </w:r>
    </w:p>
    <w:p w:rsidR="00C20798" w:rsidP="00164FF4" w14:paraId="4989D096" w14:textId="68716299">
      <w:r>
        <w:t xml:space="preserve">Het RVB benoemt de </w:t>
      </w:r>
      <w:r>
        <w:t>uitdagingen</w:t>
      </w:r>
      <w:r w:rsidR="00B63B9C">
        <w:t xml:space="preserve"> d</w:t>
      </w:r>
      <w:r>
        <w:t xml:space="preserve">ie </w:t>
      </w:r>
      <w:r>
        <w:t>ze</w:t>
      </w:r>
      <w:r>
        <w:t xml:space="preserve"> </w:t>
      </w:r>
      <w:r w:rsidR="000D7D67">
        <w:t>in de uitvoering</w:t>
      </w:r>
      <w:r>
        <w:t xml:space="preserve"> ervaren aan de hand van drie thema’s:</w:t>
      </w:r>
    </w:p>
    <w:p w:rsidR="00C20798" w:rsidP="00C20798" w14:paraId="4713E8AD" w14:textId="60E0689D">
      <w:pPr>
        <w:pStyle w:val="ListParagraph"/>
        <w:numPr>
          <w:ilvl w:val="0"/>
          <w:numId w:val="9"/>
        </w:numPr>
      </w:pPr>
      <w:r w:rsidRPr="00164FF4">
        <w:rPr>
          <w:i/>
          <w:iCs/>
        </w:rPr>
        <w:t>Het RVB als opdrachtnemer</w:t>
      </w:r>
      <w:r>
        <w:t xml:space="preserve">: De opdrachten die het RVB uitvoert worden steeds groter en complexer. </w:t>
      </w:r>
    </w:p>
    <w:p w:rsidR="00C20798" w:rsidP="00C20798" w14:paraId="61D21B0C" w14:textId="48EFC8E3">
      <w:pPr>
        <w:pStyle w:val="ListParagraph"/>
        <w:numPr>
          <w:ilvl w:val="0"/>
          <w:numId w:val="9"/>
        </w:numPr>
      </w:pPr>
      <w:r w:rsidRPr="00164FF4">
        <w:rPr>
          <w:i/>
          <w:iCs/>
        </w:rPr>
        <w:t>Bekostiging van de opdrachten</w:t>
      </w:r>
      <w:r>
        <w:t>: Opdrachtgevers stellen soms onvoldoende middelen beschikbaar om de noodzakelijke werkzaamheden uit te kunnen voeren.</w:t>
      </w:r>
    </w:p>
    <w:p w:rsidR="00292186" w:rsidP="00C20798" w14:paraId="36C46BDA" w14:textId="5E871649">
      <w:pPr>
        <w:pStyle w:val="ListParagraph"/>
        <w:numPr>
          <w:ilvl w:val="0"/>
          <w:numId w:val="9"/>
        </w:numPr>
      </w:pPr>
      <w:r w:rsidRPr="00164FF4">
        <w:rPr>
          <w:i/>
          <w:iCs/>
        </w:rPr>
        <w:t>Het RVB als uitvoerder</w:t>
      </w:r>
      <w:r>
        <w:t xml:space="preserve">: </w:t>
      </w:r>
      <w:r w:rsidR="00955788">
        <w:t>Het</w:t>
      </w:r>
      <w:r>
        <w:t xml:space="preserve"> toenemend</w:t>
      </w:r>
      <w:r w:rsidR="00955788">
        <w:t>e</w:t>
      </w:r>
      <w:r>
        <w:t xml:space="preserve"> aantal opdrachten vraagt van het RVB om de productie te verhogen. Dit wordt bemoeilijkt door meerdere factoren, zoals vertraagde (natuur)vergunningsprocedures, netcongestie, beschikbaarheid van materialen en grondstoffen en stijgende kosten;</w:t>
      </w:r>
    </w:p>
    <w:p w:rsidR="00780706" w14:paraId="0025AFDC" w14:textId="77777777">
      <w:pPr>
        <w:pStyle w:val="WitregelW1bodytekst"/>
      </w:pPr>
    </w:p>
    <w:p w:rsidRPr="00164FF4" w:rsidR="000F7849" w14:paraId="7B8A62AB" w14:textId="532FC2A2">
      <w:pPr>
        <w:rPr>
          <w:i/>
          <w:iCs/>
        </w:rPr>
      </w:pPr>
      <w:r w:rsidRPr="00164FF4">
        <w:rPr>
          <w:i/>
          <w:iCs/>
        </w:rPr>
        <w:t>Het RVB als opdrachtnemer</w:t>
      </w:r>
    </w:p>
    <w:p w:rsidR="00EC4DD0" w:rsidP="00F13506" w14:paraId="295A1659" w14:textId="75B9AC96">
      <w:r>
        <w:t xml:space="preserve">Het RVB </w:t>
      </w:r>
      <w:r w:rsidR="00F13506">
        <w:t>herkent</w:t>
      </w:r>
      <w:r>
        <w:t xml:space="preserve"> een aantal trend</w:t>
      </w:r>
      <w:r w:rsidR="00F13506">
        <w:t>s</w:t>
      </w:r>
      <w:r>
        <w:t xml:space="preserve"> in de opdrachten die het van gebruikers van het rijksvastgoed ontvangt</w:t>
      </w:r>
      <w:r w:rsidR="00F13506">
        <w:t xml:space="preserve">. De </w:t>
      </w:r>
      <w:r w:rsidR="00164FF4">
        <w:t>technische toestand van een groot deel van het rijksvastgoed vraagt om ingrijpende renovaties. Dit geldt voor vastgoed van verschillende opdrachtgevers</w:t>
      </w:r>
      <w:r>
        <w:t>, bijvoorbeeld voor het vastgoed van de Dienst Justitiële Inrichtingen (DJI)</w:t>
      </w:r>
      <w:r w:rsidR="00F13506">
        <w:t xml:space="preserve"> en Defensie. De technische toestand is deel</w:t>
      </w:r>
      <w:r w:rsidR="00A035A2">
        <w:t>s</w:t>
      </w:r>
      <w:r w:rsidR="00F13506">
        <w:t xml:space="preserve"> te wijten aan onvoldoende investeringen in de laatste decennia. </w:t>
      </w:r>
      <w:r w:rsidR="00164FF4">
        <w:t xml:space="preserve">Hierdoor zijn veel gebouwen verouderd, niet duurzaam of niet klaar voor de toekomst. </w:t>
      </w:r>
      <w:r w:rsidR="00F13506">
        <w:t xml:space="preserve">Daarnaast ziet het RVB </w:t>
      </w:r>
      <w:r w:rsidR="00164FF4">
        <w:t>een toenemende behoefte aan beveiligde werkplekken voor medewerkers van het Rijk</w:t>
      </w:r>
      <w:r>
        <w:t>.</w:t>
      </w:r>
    </w:p>
    <w:p w:rsidR="00EC4DD0" w:rsidP="00EC4DD0" w14:paraId="379C8318" w14:textId="77777777"/>
    <w:p w:rsidR="00EC4DD0" w:rsidP="00EC4DD0" w14:paraId="1DBAC203" w14:textId="403748A1">
      <w:pPr>
        <w:rPr>
          <w:i/>
          <w:iCs/>
        </w:rPr>
      </w:pPr>
      <w:r>
        <w:rPr>
          <w:i/>
          <w:iCs/>
        </w:rPr>
        <w:t>Bekostiging van de opdrachten</w:t>
      </w:r>
    </w:p>
    <w:p w:rsidRPr="00EC4DD0" w:rsidR="00EC4DD0" w:rsidP="00304BC3" w14:paraId="6125FE24" w14:textId="49F733B0">
      <w:r w:rsidRPr="00EC4DD0">
        <w:t xml:space="preserve">Het RVB </w:t>
      </w:r>
      <w:r w:rsidR="00751DDD">
        <w:t xml:space="preserve">is </w:t>
      </w:r>
      <w:r w:rsidR="00F13506">
        <w:t>eigenaar van een deel van het vastgoed – Defensie en Rijkswaterstaat zijn andere eigenaren – maar is niet verantwoorde</w:t>
      </w:r>
      <w:r w:rsidRPr="00EC4DD0">
        <w:t xml:space="preserve">lijk voor de bekostiging van </w:t>
      </w:r>
      <w:r w:rsidR="00955788">
        <w:t xml:space="preserve">beheer, onderhoud, renovatie en nieuwbouw. </w:t>
      </w:r>
      <w:r w:rsidRPr="00EC4DD0">
        <w:t xml:space="preserve">Het uitblijven van middelen leidt tot achterstallig onderhoud en oplopende kosten. </w:t>
      </w:r>
      <w:r w:rsidRPr="00F13506" w:rsidR="00F13506">
        <w:t xml:space="preserve">Om het uitgestelde onderhoud later in te halen is namelijk meer geld nodig dan </w:t>
      </w:r>
      <w:r w:rsidR="00A035A2">
        <w:t>wanneer</w:t>
      </w:r>
      <w:r w:rsidRPr="00F13506" w:rsidR="00F13506">
        <w:t xml:space="preserve"> het onderhoud tijdig en op de reguliere moment plaatsvindt.</w:t>
      </w:r>
      <w:r w:rsidR="00F13506">
        <w:t xml:space="preserve"> Hier moet het RVB op een later moment dus rekening mee houden. </w:t>
      </w:r>
    </w:p>
    <w:p w:rsidR="00EC4DD0" w:rsidP="00EC4DD0" w14:paraId="0993A66A" w14:textId="64735B22">
      <w:r w:rsidRPr="00EC4DD0">
        <w:t>Het RVB ondersteunt gebruikers van het rijksvastgoed in de onderbouwing van claims tot extra financiering</w:t>
      </w:r>
      <w:r w:rsidR="00C8610D">
        <w:t xml:space="preserve">, maar is afhankelijk </w:t>
      </w:r>
      <w:r w:rsidR="00955788">
        <w:t>van toekenning van de claims</w:t>
      </w:r>
      <w:r w:rsidR="00C8610D">
        <w:t>.</w:t>
      </w:r>
    </w:p>
    <w:p w:rsidR="00304BC3" w:rsidP="00EC4DD0" w14:paraId="572B62B3" w14:textId="77777777"/>
    <w:p w:rsidR="00304BC3" w:rsidP="00EC4DD0" w14:paraId="755DE3BA" w14:textId="04059645">
      <w:pPr>
        <w:rPr>
          <w:i/>
          <w:iCs/>
        </w:rPr>
      </w:pPr>
      <w:r>
        <w:rPr>
          <w:i/>
          <w:iCs/>
        </w:rPr>
        <w:t>Het RVB als uitvoerder</w:t>
      </w:r>
    </w:p>
    <w:p w:rsidRPr="00E763CD" w:rsidR="00E763CD" w:rsidP="00E763CD" w14:paraId="2E331F03" w14:textId="3750895D">
      <w:r w:rsidRPr="00E763CD">
        <w:t xml:space="preserve">Het is aan het RVB om op basis van de opdrachten die het krijgt te zorgen voor gezonde en toekomstbestendige gebouwen en gronden. Hierin </w:t>
      </w:r>
      <w:r>
        <w:t>wordt het</w:t>
      </w:r>
      <w:r w:rsidRPr="00E763CD">
        <w:t xml:space="preserve"> </w:t>
      </w:r>
      <w:r>
        <w:t xml:space="preserve">RVB </w:t>
      </w:r>
      <w:r w:rsidRPr="00E763CD">
        <w:t>beïnvloed door verschillende factoren, zoals:</w:t>
      </w:r>
    </w:p>
    <w:p w:rsidRPr="00E763CD" w:rsidR="00E763CD" w:rsidP="00E763CD" w14:paraId="7A397BD8" w14:textId="77777777">
      <w:pPr>
        <w:numPr>
          <w:ilvl w:val="0"/>
          <w:numId w:val="13"/>
        </w:numPr>
      </w:pPr>
      <w:r w:rsidRPr="00E763CD">
        <w:t>regelgeving op het gebied van stikstof;</w:t>
      </w:r>
    </w:p>
    <w:p w:rsidRPr="00E763CD" w:rsidR="00E763CD" w:rsidP="00E763CD" w14:paraId="0A5111CC" w14:textId="77777777">
      <w:pPr>
        <w:numPr>
          <w:ilvl w:val="0"/>
          <w:numId w:val="13"/>
        </w:numPr>
      </w:pPr>
      <w:r w:rsidRPr="00E763CD">
        <w:t>vertraging in vergunningsprocedures;</w:t>
      </w:r>
    </w:p>
    <w:p w:rsidRPr="00E763CD" w:rsidR="00E763CD" w:rsidP="00E763CD" w14:paraId="63246A31" w14:textId="77777777">
      <w:pPr>
        <w:numPr>
          <w:ilvl w:val="0"/>
          <w:numId w:val="13"/>
        </w:numPr>
      </w:pPr>
      <w:r w:rsidRPr="00E763CD">
        <w:t>overbelasting van het elektriciteitsnetwerk (netcongestie);</w:t>
      </w:r>
    </w:p>
    <w:p w:rsidRPr="00E763CD" w:rsidR="00E763CD" w:rsidP="00E763CD" w14:paraId="070AC4A7" w14:textId="77777777">
      <w:pPr>
        <w:numPr>
          <w:ilvl w:val="0"/>
          <w:numId w:val="14"/>
        </w:numPr>
      </w:pPr>
      <w:r w:rsidRPr="00E763CD">
        <w:t>beschikbaarheid van materialen en grondstoffen en stijgende kosten;</w:t>
      </w:r>
    </w:p>
    <w:p w:rsidRPr="00E763CD" w:rsidR="00E763CD" w:rsidP="00E763CD" w14:paraId="4326EEE5" w14:textId="77777777">
      <w:pPr>
        <w:numPr>
          <w:ilvl w:val="0"/>
          <w:numId w:val="13"/>
        </w:numPr>
      </w:pPr>
      <w:r w:rsidRPr="00E763CD">
        <w:t>een krappe arbeidsmarkt.</w:t>
      </w:r>
    </w:p>
    <w:p w:rsidR="00304BC3" w:rsidP="00EC4DD0" w14:paraId="0F9E93DD" w14:textId="77777777"/>
    <w:p w:rsidRPr="00E763CD" w:rsidR="00E763CD" w:rsidP="00E763CD" w14:paraId="55DE639A" w14:textId="437D1F51">
      <w:r w:rsidRPr="00E763CD">
        <w:t>De</w:t>
      </w:r>
      <w:r>
        <w:t xml:space="preserve">ze factoren </w:t>
      </w:r>
      <w:r w:rsidRPr="00E763CD">
        <w:t>beïnvloeden alle vastgoedeigenaren in Nederland</w:t>
      </w:r>
      <w:r w:rsidR="00C8610D">
        <w:t>, niet alleen het RVB. Net als andere vastgoedeigenaren is het RVB</w:t>
      </w:r>
      <w:r w:rsidRPr="00E763CD">
        <w:t xml:space="preserve"> deels afhankelijk van de verantwoordelijke beleidsdepartementen. Het RVB kan als rijksorganisatie </w:t>
      </w:r>
      <w:r w:rsidR="00955788">
        <w:t>b</w:t>
      </w:r>
      <w:r w:rsidRPr="00E763CD">
        <w:t>ijdragen aan een oplossing.</w:t>
      </w:r>
      <w:r>
        <w:t xml:space="preserve"> Door </w:t>
      </w:r>
      <w:r w:rsidR="00C8610D">
        <w:t xml:space="preserve">middel van standaardisering, digitalisering en samenwerking met de markt </w:t>
      </w:r>
      <w:r w:rsidR="00A035A2">
        <w:t xml:space="preserve">werkt het RVB </w:t>
      </w:r>
      <w:r w:rsidR="00C8610D">
        <w:t>aan een verhoging van de productie. Doo</w:t>
      </w:r>
      <w:r w:rsidR="00955788">
        <w:t>r</w:t>
      </w:r>
      <w:r w:rsidR="00C8610D">
        <w:t xml:space="preserve"> </w:t>
      </w:r>
      <w:r>
        <w:t xml:space="preserve">op een innovatieve manier </w:t>
      </w:r>
      <w:r w:rsidR="00C8610D">
        <w:t>werkzaamheden</w:t>
      </w:r>
      <w:r>
        <w:t xml:space="preserve"> te versnellen doet </w:t>
      </w:r>
      <w:r w:rsidRPr="00E763CD">
        <w:t xml:space="preserve">het RVB kennis op. Deze kennis </w:t>
      </w:r>
      <w:r>
        <w:t>deelt het</w:t>
      </w:r>
      <w:r w:rsidRPr="00E763CD">
        <w:t xml:space="preserve"> met betrokken beleidsdepartementen. </w:t>
      </w:r>
    </w:p>
    <w:p w:rsidRPr="00E763CD" w:rsidR="00E763CD" w:rsidP="00E763CD" w14:paraId="4F9FE695" w14:textId="77777777"/>
    <w:p w:rsidRPr="00955788" w:rsidR="00E763CD" w:rsidP="00EC4DD0" w14:paraId="71CC726F" w14:textId="162D93F6">
      <w:pPr>
        <w:rPr>
          <w:i/>
          <w:iCs/>
        </w:rPr>
      </w:pPr>
      <w:r w:rsidRPr="00955788">
        <w:rPr>
          <w:i/>
          <w:iCs/>
        </w:rPr>
        <w:t>Tot slot</w:t>
      </w:r>
    </w:p>
    <w:p w:rsidRPr="00EC4DD0" w:rsidR="00EC4DD0" w:rsidP="00070129" w14:paraId="683F41AB" w14:textId="0CB5FF94">
      <w:r>
        <w:t>Samen</w:t>
      </w:r>
      <w:r w:rsidRPr="00E763CD" w:rsidR="00E763CD">
        <w:t xml:space="preserve"> met opdrachtgevers </w:t>
      </w:r>
      <w:r>
        <w:t xml:space="preserve">en gebruikers werkt het RVB aan een </w:t>
      </w:r>
      <w:r w:rsidRPr="00E763CD" w:rsidR="00E763CD">
        <w:t>gezonde en toekomstbestendige vastgoedportefeuille</w:t>
      </w:r>
      <w:r w:rsidR="00955788">
        <w:t xml:space="preserve">. </w:t>
      </w:r>
      <w:r w:rsidRPr="00E763CD" w:rsidR="00E763CD">
        <w:t>Daarbij kijk</w:t>
      </w:r>
      <w:r>
        <w:t>t het</w:t>
      </w:r>
      <w:r w:rsidRPr="00E763CD" w:rsidR="00E763CD">
        <w:t xml:space="preserve"> hoe </w:t>
      </w:r>
      <w:r>
        <w:t xml:space="preserve">met </w:t>
      </w:r>
      <w:r w:rsidRPr="00E763CD" w:rsidR="00E763CD">
        <w:t xml:space="preserve">vastgoed op een realistische en ambitieuze wijze </w:t>
      </w:r>
      <w:r>
        <w:t>kan</w:t>
      </w:r>
      <w:r w:rsidRPr="00E763CD" w:rsidR="00E763CD">
        <w:t xml:space="preserve"> bijdragen aan </w:t>
      </w:r>
      <w:r>
        <w:t>de</w:t>
      </w:r>
      <w:r w:rsidRPr="00E763CD" w:rsidR="00E763CD">
        <w:t xml:space="preserve"> maatschappelijke taak</w:t>
      </w:r>
      <w:r>
        <w:t xml:space="preserve"> van het Rijk.</w:t>
      </w:r>
      <w:r w:rsidR="00955788">
        <w:t xml:space="preserve"> </w:t>
      </w:r>
      <w:r>
        <w:t xml:space="preserve">De Stand van de Uitvoering is een uitnodiging om </w:t>
      </w:r>
      <w:r w:rsidR="00A035A2">
        <w:t xml:space="preserve">hierover </w:t>
      </w:r>
      <w:r>
        <w:t>het gesprek aan te gaan.</w:t>
      </w:r>
    </w:p>
    <w:p w:rsidR="00780706" w14:paraId="40D83ABA" w14:textId="06F83010">
      <w:r>
        <w:br/>
        <w:t>De minister van Volkshuisvesting en Ruimtelijke Ordening,</w:t>
      </w:r>
    </w:p>
    <w:p w:rsidR="00780706" w14:paraId="4251C711" w14:textId="77777777"/>
    <w:p w:rsidR="00780706" w14:paraId="564EA2B4" w14:textId="77777777"/>
    <w:p w:rsidR="00780706" w14:paraId="21C4B0D4" w14:textId="77777777"/>
    <w:p w:rsidR="00780706" w14:paraId="11C07BE7" w14:textId="77777777"/>
    <w:p w:rsidR="00780706" w14:paraId="205DF9F4" w14:textId="77777777"/>
    <w:p w:rsidR="00780706" w14:paraId="504ABF7C" w14:textId="77777777">
      <w:r>
        <w:t>Mona Keijzer</w:t>
      </w:r>
    </w:p>
    <w:p w:rsidR="00780706" w14:paraId="5EA0DA93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68" w14:paraId="3D9D93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0706" w14:paraId="333D348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68" w14:paraId="34D082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68" w14:paraId="283DB3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0706" w14:paraId="4346719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0CC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.2pt;height:12.7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910CC0" w14:paraId="164B30A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706" w14:textId="77777777">
                          <w:pPr>
                            <w:pStyle w:val="Referentiegegevensbold"/>
                          </w:pPr>
                          <w:r>
                            <w:t>DG Vastgoed en Bedrijfsvoering Rijk</w:t>
                          </w:r>
                        </w:p>
                        <w:p w:rsidR="00780706" w14:textId="77777777">
                          <w:pPr>
                            <w:pStyle w:val="Referentiegegevens"/>
                          </w:pPr>
                          <w:r>
                            <w:t>DGVBR-RVB-Bureau DG</w:t>
                          </w:r>
                        </w:p>
                        <w:p w:rsidR="00780706" w14:textId="77777777">
                          <w:pPr>
                            <w:pStyle w:val="WitregelW2"/>
                          </w:pPr>
                        </w:p>
                        <w:p w:rsidR="0078070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80706" w14:paraId="1568EFE9" w14:textId="77777777">
                    <w:pPr>
                      <w:pStyle w:val="Referentiegegevensbold"/>
                    </w:pPr>
                    <w:r>
                      <w:t>DG Vastgoed en Bedrijfsvoering Rijk</w:t>
                    </w:r>
                  </w:p>
                  <w:p w:rsidR="00780706" w14:paraId="75C88426" w14:textId="77777777">
                    <w:pPr>
                      <w:pStyle w:val="Referentiegegevens"/>
                    </w:pPr>
                    <w:r>
                      <w:t>DGVBR-RVB-Bureau DG</w:t>
                    </w:r>
                  </w:p>
                  <w:p w:rsidR="00780706" w14:paraId="2882A316" w14:textId="77777777">
                    <w:pPr>
                      <w:pStyle w:val="WitregelW2"/>
                    </w:pPr>
                  </w:p>
                  <w:p w:rsidR="00780706" w14:paraId="36B7517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0CC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.25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10CC0" w14:paraId="3287D4F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706" w14:textId="57F5889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4F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78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80706" w14:paraId="5E57986A" w14:textId="57F5889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4F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78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0706" w14:paraId="043B1B7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70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51507719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150771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780706" w14:paraId="62D1D99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 title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70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823601881" name="RVB_Standaard" descr="Ministerie van Volkshuisvesting en Ruimtelijke Ordening" title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3601881" name="RVB_Standaard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80706" w14:paraId="042AB86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RVB_Standaard" descr="Ministerie van Volkshuisvesting en Ruimtelijke Ordening" title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RVB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706" w14:textId="77777777">
                          <w:pPr>
                            <w:pStyle w:val="Referentiegegevens"/>
                          </w:pPr>
                          <w:r>
                            <w:t>&gt; Retouradres Postbus 16169 2500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80706" w14:paraId="549D74E9" w14:textId="77777777">
                    <w:pPr>
                      <w:pStyle w:val="Referentiegegevens"/>
                    </w:pPr>
                    <w:r>
                      <w:t>&gt; Retouradres Postbus 16169 2500 BD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706" w14:textId="5FB340CD">
                          <w:r>
                            <w:t>Aan de Voorzitter van de Tweede Kamer der Staten-Generaal</w:t>
                          </w:r>
                        </w:p>
                        <w:p w:rsidR="00780706" w14:textId="77777777">
                          <w:r>
                            <w:t xml:space="preserve">Postbus 20018 </w:t>
                          </w:r>
                        </w:p>
                        <w:p w:rsidR="00780706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80706" w14:paraId="4E231FB7" w14:textId="5FB340CD">
                    <w:r>
                      <w:t>Aan de Voorzitter van de Tweede Kamer der Staten-Generaal</w:t>
                    </w:r>
                  </w:p>
                  <w:p w:rsidR="00780706" w14:paraId="34849D8D" w14:textId="77777777">
                    <w:r>
                      <w:t xml:space="preserve">Postbus 20018 </w:t>
                    </w:r>
                  </w:p>
                  <w:p w:rsidR="00780706" w14:paraId="5E9CFD8B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47DDEA9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8070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80706" w14:textId="01ADD32D">
                                <w:r>
                                  <w:t>30 juni 2025</w:t>
                                </w:r>
                              </w:p>
                            </w:tc>
                          </w:tr>
                          <w:tr w14:paraId="26BEAE9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8070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80706" w14:textId="77777777">
                                <w:r>
                                  <w:t>Stand van de Uitvoering Rijksvastgoedbedrijf 2025</w:t>
                                </w:r>
                              </w:p>
                            </w:tc>
                          </w:tr>
                        </w:tbl>
                        <w:p w:rsidR="00910CC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47DDEA8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80706" w14:paraId="691E90F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80706" w14:paraId="54AB8E45" w14:textId="01ADD32D">
                          <w:r>
                            <w:t>30 juni 2025</w:t>
                          </w:r>
                        </w:p>
                      </w:tc>
                    </w:tr>
                    <w:tr w14:paraId="26BEAE8F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80706" w14:paraId="7BD3BAF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80706" w14:paraId="04B82060" w14:textId="77777777">
                          <w:r>
                            <w:t>Stand van de Uitvoering Rijksvastgoedbedrijf 2025</w:t>
                          </w:r>
                        </w:p>
                      </w:tc>
                    </w:tr>
                  </w:tbl>
                  <w:p w:rsidR="00910CC0" w14:paraId="7C3B79D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706" w14:textId="77777777">
                          <w:pPr>
                            <w:pStyle w:val="Referentiegegevensbold"/>
                          </w:pPr>
                          <w:r>
                            <w:t>DG Vastgoed en Bedrijfsvoering Rijk</w:t>
                          </w:r>
                        </w:p>
                        <w:p w:rsidR="00780706" w14:textId="77777777">
                          <w:pPr>
                            <w:pStyle w:val="Referentiegegevens"/>
                          </w:pPr>
                          <w:r>
                            <w:t>DGVBR-RVB-Bureau DG</w:t>
                          </w:r>
                        </w:p>
                        <w:p w:rsidR="00780706" w14:textId="77777777">
                          <w:pPr>
                            <w:pStyle w:val="WitregelW1"/>
                          </w:pPr>
                        </w:p>
                        <w:p w:rsidR="00780706" w14:textId="7777777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:rsidR="00780706" w14:textId="77777777">
                          <w:pPr>
                            <w:pStyle w:val="Referentiegegevens"/>
                          </w:pPr>
                          <w:r>
                            <w:t>2511 CW  Den Haag</w:t>
                          </w:r>
                        </w:p>
                        <w:p w:rsidR="00780706" w14:textId="77777777">
                          <w:pPr>
                            <w:pStyle w:val="Referentiegegevens"/>
                          </w:pPr>
                          <w:r>
                            <w:t>Postbus 16169</w:t>
                          </w:r>
                        </w:p>
                        <w:p w:rsidR="00780706" w:rsidRPr="000F784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F7849">
                            <w:rPr>
                              <w:lang w:val="de-DE"/>
                            </w:rPr>
                            <w:t>2500 BD  Den Haag</w:t>
                          </w:r>
                        </w:p>
                        <w:p w:rsidR="00780706" w:rsidRPr="000F784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F7849">
                            <w:rPr>
                              <w:lang w:val="de-DE"/>
                            </w:rPr>
                            <w:t>Nederland</w:t>
                          </w:r>
                        </w:p>
                        <w:p w:rsidR="00780706" w:rsidRPr="000F784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F7849">
                            <w:rPr>
                              <w:lang w:val="de-DE"/>
                            </w:rPr>
                            <w:t>www.rijksvastgoedbedrijf.nl</w:t>
                          </w:r>
                        </w:p>
                        <w:p w:rsidR="00780706" w:rsidRPr="000F7849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80706" w:rsidRPr="000F7849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80706" w:rsidRPr="00751DDD" w14:textId="77777777">
                          <w:pPr>
                            <w:pStyle w:val="Referentiegegevensbold"/>
                          </w:pPr>
                          <w:r w:rsidRPr="00751DDD">
                            <w:t>Bijlage(n)</w:t>
                          </w:r>
                        </w:p>
                        <w:p w:rsidR="00780706" w14:textId="77777777">
                          <w:pPr>
                            <w:pStyle w:val="Referentiegegevens"/>
                          </w:pPr>
                          <w:r>
                            <w:t>Stand van de Uitvoering Rijksvastgoedbedrijf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80706" w14:paraId="438A8658" w14:textId="77777777">
                    <w:pPr>
                      <w:pStyle w:val="Referentiegegevensbold"/>
                    </w:pPr>
                    <w:r>
                      <w:t>DG Vastgoed en Bedrijfsvoering Rijk</w:t>
                    </w:r>
                  </w:p>
                  <w:p w:rsidR="00780706" w14:paraId="3450C5AC" w14:textId="77777777">
                    <w:pPr>
                      <w:pStyle w:val="Referentiegegevens"/>
                    </w:pPr>
                    <w:r>
                      <w:t>DGVBR-RVB-Bureau DG</w:t>
                    </w:r>
                  </w:p>
                  <w:p w:rsidR="00780706" w14:paraId="19BC19F3" w14:textId="77777777">
                    <w:pPr>
                      <w:pStyle w:val="WitregelW1"/>
                    </w:pPr>
                  </w:p>
                  <w:p w:rsidR="00780706" w14:paraId="603C372C" w14:textId="77777777">
                    <w:pPr>
                      <w:pStyle w:val="Referentiegegevens"/>
                    </w:pPr>
                    <w:r>
                      <w:t>Korte Voorhout 7</w:t>
                    </w:r>
                  </w:p>
                  <w:p w:rsidR="00780706" w14:paraId="011D8029" w14:textId="77777777">
                    <w:pPr>
                      <w:pStyle w:val="Referentiegegevens"/>
                    </w:pPr>
                    <w:r>
                      <w:t>2511 CW  Den Haag</w:t>
                    </w:r>
                  </w:p>
                  <w:p w:rsidR="00780706" w14:paraId="63CA4AF5" w14:textId="77777777">
                    <w:pPr>
                      <w:pStyle w:val="Referentiegegevens"/>
                    </w:pPr>
                    <w:r>
                      <w:t>Postbus 16169</w:t>
                    </w:r>
                  </w:p>
                  <w:p w:rsidR="00780706" w:rsidRPr="000F7849" w14:paraId="62AA7D5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F7849">
                      <w:rPr>
                        <w:lang w:val="de-DE"/>
                      </w:rPr>
                      <w:t>2500 BD  Den Haag</w:t>
                    </w:r>
                  </w:p>
                  <w:p w:rsidR="00780706" w:rsidRPr="000F7849" w14:paraId="4197138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F7849">
                      <w:rPr>
                        <w:lang w:val="de-DE"/>
                      </w:rPr>
                      <w:t>Nederland</w:t>
                    </w:r>
                  </w:p>
                  <w:p w:rsidR="00780706" w:rsidRPr="000F7849" w14:paraId="5BD3E55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F7849">
                      <w:rPr>
                        <w:lang w:val="de-DE"/>
                      </w:rPr>
                      <w:t>www.rijksvastgoedbedrijf.nl</w:t>
                    </w:r>
                  </w:p>
                  <w:p w:rsidR="00780706" w:rsidRPr="000F7849" w14:paraId="6B135F7A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80706" w:rsidRPr="000F7849" w14:paraId="28973703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80706" w:rsidRPr="00751DDD" w14:paraId="4C2643E2" w14:textId="77777777">
                    <w:pPr>
                      <w:pStyle w:val="Referentiegegevensbold"/>
                    </w:pPr>
                    <w:r w:rsidRPr="00751DDD">
                      <w:t>Bijlage(n)</w:t>
                    </w:r>
                  </w:p>
                  <w:p w:rsidR="00780706" w14:paraId="73070E1D" w14:textId="77777777">
                    <w:pPr>
                      <w:pStyle w:val="Referentiegegevens"/>
                    </w:pPr>
                    <w:r>
                      <w:t>Stand van de Uitvoering Rijksvastgoedbedrijf 2025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070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78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78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80706" w14:paraId="7A2FA85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78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78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0CC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910CC0" w14:paraId="741A813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4F51167"/>
    <w:multiLevelType w:val="multilevel"/>
    <w:tmpl w:val="3B6A4D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A5EDBB15"/>
    <w:multiLevelType w:val="multilevel"/>
    <w:tmpl w:val="355C291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A74709F9"/>
    <w:multiLevelType w:val="multilevel"/>
    <w:tmpl w:val="EEB28B6D"/>
    <w:name w:val="Opsomming"/>
    <w:lvl w:ilvl="0">
      <w:start w:val="1"/>
      <w:numFmt w:val="none"/>
      <w:pStyle w:val="Opsommingstreepje"/>
      <w:lvlText w:val="-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FB0866A2"/>
    <w:multiLevelType w:val="multilevel"/>
    <w:tmpl w:val="2F6594E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085835D1"/>
    <w:multiLevelType w:val="hybridMultilevel"/>
    <w:tmpl w:val="9ADA3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2E28A"/>
    <w:multiLevelType w:val="multilevel"/>
    <w:tmpl w:val="5CE44E1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6">
    <w:nsid w:val="341F37A4"/>
    <w:multiLevelType w:val="hybridMultilevel"/>
    <w:tmpl w:val="FCDC2CB4"/>
    <w:lvl w:ilvl="0">
      <w:start w:val="3"/>
      <w:numFmt w:val="bullet"/>
      <w:lvlText w:val="•"/>
      <w:lvlJc w:val="left"/>
      <w:pPr>
        <w:ind w:left="1068" w:hanging="708"/>
      </w:pPr>
      <w:rPr>
        <w:rFonts w:ascii="Verdana" w:eastAsia="DejaVu Sans" w:hAnsi="Verdana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70D58"/>
    <w:multiLevelType w:val="hybridMultilevel"/>
    <w:tmpl w:val="F4D67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86527"/>
    <w:multiLevelType w:val="hybridMultilevel"/>
    <w:tmpl w:val="6414D32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7765B"/>
    <w:multiLevelType w:val="multilevel"/>
    <w:tmpl w:val="934244A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>
    <w:nsid w:val="53273387"/>
    <w:multiLevelType w:val="hybridMultilevel"/>
    <w:tmpl w:val="B6D47C10"/>
    <w:lvl w:ilvl="0">
      <w:start w:val="0"/>
      <w:numFmt w:val="bullet"/>
      <w:lvlText w:val="•"/>
      <w:lvlJc w:val="left"/>
      <w:pPr>
        <w:ind w:left="720" w:hanging="360"/>
      </w:pPr>
      <w:rPr>
        <w:rFonts w:ascii="Verdana" w:hAnsi="Verdana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71E75"/>
    <w:multiLevelType w:val="hybridMultilevel"/>
    <w:tmpl w:val="50867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C39A6"/>
    <w:multiLevelType w:val="hybridMultilevel"/>
    <w:tmpl w:val="834EE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2517B"/>
    <w:multiLevelType w:val="hybridMultilevel"/>
    <w:tmpl w:val="6A7EC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794464">
    <w:abstractNumId w:val="5"/>
  </w:num>
  <w:num w:numId="2" w16cid:durableId="1912226711">
    <w:abstractNumId w:val="9"/>
  </w:num>
  <w:num w:numId="3" w16cid:durableId="1148862726">
    <w:abstractNumId w:val="3"/>
  </w:num>
  <w:num w:numId="4" w16cid:durableId="968440468">
    <w:abstractNumId w:val="1"/>
  </w:num>
  <w:num w:numId="5" w16cid:durableId="1896744781">
    <w:abstractNumId w:val="0"/>
  </w:num>
  <w:num w:numId="6" w16cid:durableId="1825781707">
    <w:abstractNumId w:val="2"/>
  </w:num>
  <w:num w:numId="7" w16cid:durableId="1809973526">
    <w:abstractNumId w:val="11"/>
  </w:num>
  <w:num w:numId="8" w16cid:durableId="553664640">
    <w:abstractNumId w:val="8"/>
  </w:num>
  <w:num w:numId="9" w16cid:durableId="747188223">
    <w:abstractNumId w:val="7"/>
  </w:num>
  <w:num w:numId="10" w16cid:durableId="8921696">
    <w:abstractNumId w:val="4"/>
  </w:num>
  <w:num w:numId="11" w16cid:durableId="1250891450">
    <w:abstractNumId w:val="6"/>
  </w:num>
  <w:num w:numId="12" w16cid:durableId="1771462028">
    <w:abstractNumId w:val="13"/>
  </w:num>
  <w:num w:numId="13" w16cid:durableId="1686248825">
    <w:abstractNumId w:val="10"/>
  </w:num>
  <w:num w:numId="14" w16cid:durableId="1726834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49"/>
    <w:rsid w:val="00070129"/>
    <w:rsid w:val="000D7D67"/>
    <w:rsid w:val="000F7849"/>
    <w:rsid w:val="00164FF4"/>
    <w:rsid w:val="001A6829"/>
    <w:rsid w:val="00292186"/>
    <w:rsid w:val="002A7151"/>
    <w:rsid w:val="00304BC3"/>
    <w:rsid w:val="003D33AB"/>
    <w:rsid w:val="00477C59"/>
    <w:rsid w:val="004F358D"/>
    <w:rsid w:val="00751DDD"/>
    <w:rsid w:val="00780706"/>
    <w:rsid w:val="00910CC0"/>
    <w:rsid w:val="00955788"/>
    <w:rsid w:val="00A035A2"/>
    <w:rsid w:val="00A344EB"/>
    <w:rsid w:val="00A47803"/>
    <w:rsid w:val="00A677E9"/>
    <w:rsid w:val="00B63B9C"/>
    <w:rsid w:val="00BE5D68"/>
    <w:rsid w:val="00C20798"/>
    <w:rsid w:val="00C8610D"/>
    <w:rsid w:val="00C867CE"/>
    <w:rsid w:val="00D813F8"/>
    <w:rsid w:val="00DF7028"/>
    <w:rsid w:val="00E010D6"/>
    <w:rsid w:val="00E763CD"/>
    <w:rsid w:val="00EC4DD0"/>
    <w:rsid w:val="00F1350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8648FD"/>
  <w15:docId w15:val="{413D3DA4-6542-4910-95C7-B502A0EE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statisch">
    <w:name w:val="Lidnummer (statisch)"/>
    <w:basedOn w:val="Normal"/>
    <w:next w:val="Normal"/>
    <w:pPr>
      <w:tabs>
        <w:tab w:val="left" w:pos="419"/>
      </w:tabs>
      <w:ind w:left="425" w:hanging="425"/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nzichtbaarkarakterwit">
    <w:name w:val="Onzichtbaar karakter (wit)"/>
    <w:basedOn w:val="Normal"/>
    <w:next w:val="Normal"/>
    <w:rPr>
      <w:color w:val="FFFFFF"/>
    </w:rPr>
  </w:style>
  <w:style w:type="paragraph" w:customStyle="1" w:styleId="Opsommingstreepje">
    <w:name w:val="Opsomming streepje"/>
    <w:basedOn w:val="Normal"/>
    <w:next w:val="Normal"/>
    <w:pPr>
      <w:numPr>
        <w:numId w:val="6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F78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F784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F78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F7849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C20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2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574</ap:Words>
  <ap:Characters>3159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Stand van de Uitvoering Rijksvastgoedbedrijf 2025</vt:lpstr>
    </vt:vector>
  </ap:TitlesOfParts>
  <ap:LinksUpToDate>false</ap:LinksUpToDate>
  <ap:CharactersWithSpaces>3726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2025-05-30T11:42:00.0000000Z</dcterms:created>
  <dcterms:modified xsi:type="dcterms:W3CDTF">2025-06-30T09:01:00.0000000Z</dcterms:modified>
  <dc:creator/>
  <lastModifiedBy/>
  <dc:description>------------------------</dc:description>
  <dc:subject/>
  <keywords/>
  <version/>
  <category/>
</coreProperties>
</file>