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AE8" w:rsidRDefault="00E90203" w14:paraId="40A6840E" w14:textId="3ED793EC">
      <w:r>
        <w:rPr>
          <w:rFonts w:eastAsia="Times New Roman" w:cs="Arial"/>
          <w:color w:val="132439"/>
        </w:rPr>
        <w:t xml:space="preserve">Als toegezegd in het debat met uw Kamer over </w:t>
      </w:r>
      <w:r w:rsidR="00CA2D91">
        <w:rPr>
          <w:rFonts w:eastAsia="Times New Roman" w:cs="Arial"/>
          <w:color w:val="132439"/>
        </w:rPr>
        <w:t xml:space="preserve">het voorstel voor </w:t>
      </w:r>
      <w:r>
        <w:rPr>
          <w:rFonts w:eastAsia="Times New Roman" w:cs="Arial"/>
          <w:color w:val="132439"/>
        </w:rPr>
        <w:t xml:space="preserve">de wet invoering tweestatusstelsel op 26 juni jl., </w:t>
      </w:r>
      <w:r>
        <w:t xml:space="preserve">stuur ik u een toelichting op de voorziene wijze </w:t>
      </w:r>
      <w:r w:rsidR="00CD47B6">
        <w:t>van invoering van het</w:t>
      </w:r>
      <w:r>
        <w:t xml:space="preserve"> tweestatusstelsel en de daaraan gekoppelde nareisvoorwaarden door de IND. Dit mede naar aanleiding van het gesprek tijdens het debat over de uitvoerbaarheid en de timing van de implementatie van de maatregelen in dit wetsvoorstel.</w:t>
      </w:r>
    </w:p>
    <w:p w:rsidR="00FA6AE8" w:rsidRDefault="00FA6AE8" w14:paraId="4F24F144" w14:textId="77777777"/>
    <w:p w:rsidRPr="00487A2D" w:rsidR="00FA6AE8" w:rsidRDefault="00E90203" w14:paraId="57489D63" w14:textId="7BA68CB3">
      <w:pPr>
        <w:rPr>
          <w:iCs/>
        </w:rPr>
      </w:pPr>
      <w:r w:rsidRPr="00487A2D">
        <w:t xml:space="preserve">In het wetsvoorstel voor een tweestatusstelsel wordt een onderscheid ingevoerd tussen een status als erkend vluchteling en subsidiair beschermde. Dit onderscheid is ook voorgeschreven onder het EU Asiel- en Migratiepact dat </w:t>
      </w:r>
      <w:r w:rsidRPr="00487A2D" w:rsidR="00CA2D91">
        <w:t xml:space="preserve">met ingang van </w:t>
      </w:r>
      <w:r w:rsidRPr="00487A2D">
        <w:t xml:space="preserve">op 12 juni 2026 </w:t>
      </w:r>
      <w:r w:rsidRPr="00487A2D" w:rsidR="00CA2D91">
        <w:t>van toepassing zal zijn</w:t>
      </w:r>
      <w:r w:rsidRPr="00487A2D">
        <w:t xml:space="preserve">. Daarnaast zijn in het wetsvoorstel nareisvoorwaarden verbonden aan de subsidiaire status, </w:t>
      </w:r>
      <w:r w:rsidRPr="00487A2D" w:rsidR="00005D1A">
        <w:t xml:space="preserve">waardoor vereisten gelden </w:t>
      </w:r>
      <w:r w:rsidRPr="00487A2D">
        <w:t>voordat een gezinslid vanuit het buitenland kan nareizen. Deze nareisvoorwaarden zijn geen onderdeel van het EU Asiel- en Migratiepact; dit betreft een nationale invulling die toegestaan is binnen de Europese kaders en bij wet moet worden vastgelegd. In het wetsvoorstel ter invoering van het Pact zijn, anticiperend op de behandeling van het voorliggende wetsvoorstel, de</w:t>
      </w:r>
      <w:r w:rsidRPr="00487A2D">
        <w:rPr>
          <w:iCs/>
        </w:rPr>
        <w:t xml:space="preserve">ze aanvullende nareisvoorwaarden eveneens toegevoegd. </w:t>
      </w:r>
    </w:p>
    <w:p w:rsidRPr="00487A2D" w:rsidR="00FA6AE8" w:rsidRDefault="00FA6AE8" w14:paraId="17CAB715" w14:textId="77777777"/>
    <w:p w:rsidRPr="00487A2D" w:rsidR="00664A05" w:rsidRDefault="00664A05" w14:paraId="3EA717F0" w14:textId="2724F4C1">
      <w:r w:rsidRPr="00487A2D">
        <w:t xml:space="preserve">De invoering van het tweestatusstelsel is op zich al een grote opgave voor de IND, maar in zichzelf goed te doen. Het dilemma ontstaat pas door de samenloop met de andere grote veranderingen. Met name het Pact met zijn onvermijdelijke </w:t>
      </w:r>
      <w:r w:rsidRPr="00487A2D" w:rsidR="00110AE8">
        <w:t>ingangs</w:t>
      </w:r>
      <w:r w:rsidRPr="00487A2D">
        <w:t xml:space="preserve">datum van 12 juni 2026, vergt </w:t>
      </w:r>
      <w:r w:rsidRPr="00487A2D" w:rsidR="00110AE8">
        <w:t xml:space="preserve">in de aanloop daarnaartoe </w:t>
      </w:r>
      <w:r w:rsidRPr="00487A2D">
        <w:t>bijzonder veel van deze organisatie</w:t>
      </w:r>
      <w:r w:rsidRPr="00487A2D" w:rsidR="00110AE8">
        <w:t>. J</w:t>
      </w:r>
      <w:r w:rsidRPr="00487A2D">
        <w:t xml:space="preserve">uist in </w:t>
      </w:r>
      <w:r w:rsidRPr="00487A2D" w:rsidR="00110AE8">
        <w:t xml:space="preserve">deze </w:t>
      </w:r>
      <w:r w:rsidRPr="00487A2D" w:rsidR="00CA2EB8">
        <w:t>voorbereidingsperiode voor het Pact</w:t>
      </w:r>
      <w:r w:rsidRPr="00487A2D">
        <w:t xml:space="preserve"> </w:t>
      </w:r>
      <w:r w:rsidRPr="00487A2D" w:rsidR="00110AE8">
        <w:t xml:space="preserve">is </w:t>
      </w:r>
      <w:r w:rsidRPr="00487A2D" w:rsidR="00CA2EB8">
        <w:t xml:space="preserve">ook </w:t>
      </w:r>
      <w:r w:rsidRPr="00487A2D">
        <w:t xml:space="preserve">de ingangsdatum </w:t>
      </w:r>
      <w:r w:rsidRPr="00487A2D" w:rsidR="00CA2EB8">
        <w:t>op</w:t>
      </w:r>
      <w:r w:rsidRPr="00487A2D">
        <w:t xml:space="preserve"> de wet invoering tweestatusstelsel voorzien. De al meerdere jaren durende </w:t>
      </w:r>
      <w:proofErr w:type="spellStart"/>
      <w:r w:rsidRPr="00487A2D">
        <w:t>onaflatende</w:t>
      </w:r>
      <w:proofErr w:type="spellEnd"/>
      <w:r w:rsidRPr="00487A2D">
        <w:t xml:space="preserve"> druk op de asielketen heeft daarnaast geleid tot een grote voorraad aan asielaanvragen. </w:t>
      </w:r>
    </w:p>
    <w:p w:rsidRPr="00487A2D" w:rsidR="00664A05" w:rsidRDefault="00664A05" w14:paraId="29B0691B" w14:textId="77777777"/>
    <w:p w:rsidR="00487A2D" w:rsidRDefault="00E90203" w14:paraId="7CD1E2CE" w14:textId="77777777">
      <w:r w:rsidRPr="00487A2D">
        <w:t xml:space="preserve">Reden om zorgvuldig te kijken naar de wijze waarop de IND de implementatie van een wijziging naar een tweestatusstelsel kan vormgeven. De IND heeft vroegtijdig aangegeven het tweestatusstelsel gelijktijdig te willen invoeren met het </w:t>
      </w:r>
      <w:r w:rsidRPr="00487A2D" w:rsidR="00E96EC4">
        <w:t>P</w:t>
      </w:r>
      <w:r w:rsidRPr="00487A2D">
        <w:t xml:space="preserve">act op 12 juni, zodat er één wijzigingsmoment is in de systemen en </w:t>
      </w:r>
      <w:r w:rsidRPr="00487A2D" w:rsidR="00005D1A">
        <w:t xml:space="preserve">het tweestatusstelsel kan worden geïmplementeerd in </w:t>
      </w:r>
      <w:r w:rsidRPr="00487A2D">
        <w:t xml:space="preserve">de nieuwe asielprocedure die op basis van het </w:t>
      </w:r>
      <w:r w:rsidRPr="00487A2D" w:rsidR="00E96EC4">
        <w:t>P</w:t>
      </w:r>
      <w:r w:rsidRPr="00487A2D">
        <w:t xml:space="preserve">act wordt ingericht. </w:t>
      </w:r>
      <w:r w:rsidRPr="00487A2D" w:rsidR="00983E02">
        <w:t xml:space="preserve">Daarnaast heeft de IND de risico’s benoemd van de samenloop van alle afzonderlijke maatregelen die de uitvoeringsorganisatie moet doorvoeren gecombineerd met een veranderde geopolitieke situatie </w:t>
      </w:r>
      <w:r w:rsidRPr="00487A2D" w:rsidR="00E96EC4">
        <w:t xml:space="preserve">die eveneens inzet vraagt, zoals </w:t>
      </w:r>
      <w:r w:rsidRPr="00487A2D" w:rsidR="00983E02">
        <w:t>bijvoorbeeld</w:t>
      </w:r>
      <w:r w:rsidRPr="00487A2D" w:rsidR="00E96EC4">
        <w:t xml:space="preserve"> </w:t>
      </w:r>
      <w:r w:rsidRPr="00487A2D" w:rsidR="00005D1A">
        <w:t>het hernemen van de asielbesluiten voor asielzoekers uit Syrië</w:t>
      </w:r>
      <w:r w:rsidRPr="00487A2D" w:rsidR="00983E02">
        <w:t xml:space="preserve">. </w:t>
      </w:r>
      <w:r w:rsidRPr="00487A2D">
        <w:t xml:space="preserve">Hierover is sinds het begin van het traject goed contact tussen </w:t>
      </w:r>
      <w:r w:rsidRPr="00487A2D" w:rsidR="00005D1A">
        <w:t xml:space="preserve">het </w:t>
      </w:r>
      <w:r w:rsidRPr="00487A2D">
        <w:t xml:space="preserve">departement en de uitvoeringsorganisatie. </w:t>
      </w:r>
    </w:p>
    <w:p w:rsidRPr="00487A2D" w:rsidR="00FA6AE8" w:rsidRDefault="00E90203" w14:paraId="2DCE3922" w14:textId="6D3A9E25">
      <w:r w:rsidRPr="00487A2D">
        <w:t xml:space="preserve">De afspraak is gemaakt om doorlopend contact te houden over de timing en </w:t>
      </w:r>
      <w:r w:rsidRPr="00487A2D" w:rsidR="00005D1A">
        <w:t xml:space="preserve">het </w:t>
      </w:r>
      <w:r w:rsidRPr="00487A2D">
        <w:t xml:space="preserve">tempo van de implementatie van de maatregelen, omdat deze afhankelijk is van de uitkomst van het politieke debat, en de ontwikkelingen op het gebied van in- en uitstroom, gerelateerd aan de totale opgave van de IND. Ook is er aanvullend op de eerdere verkenning een ex ante uitvoeringstoets </w:t>
      </w:r>
      <w:r w:rsidRPr="00487A2D" w:rsidR="00CD47B6">
        <w:t xml:space="preserve">(EAUT) </w:t>
      </w:r>
      <w:r w:rsidRPr="00487A2D">
        <w:t xml:space="preserve">in voorbereiding om nog beter zicht te krijgen op de concrete invoering van het tweestatusstelsel in de systemen en procedures. </w:t>
      </w:r>
      <w:r w:rsidRPr="00487A2D" w:rsidR="001872A5">
        <w:t xml:space="preserve">Deze EAUT zal in september gereed zijn. </w:t>
      </w:r>
      <w:r w:rsidRPr="00487A2D" w:rsidR="00CD47B6">
        <w:t>Mocht deze EAUT</w:t>
      </w:r>
      <w:r w:rsidRPr="00487A2D" w:rsidR="00664A05">
        <w:t>, samen met andere veranderingen,</w:t>
      </w:r>
      <w:r w:rsidRPr="00487A2D" w:rsidR="00DF6A39">
        <w:t xml:space="preserve"> </w:t>
      </w:r>
      <w:r w:rsidRPr="00487A2D" w:rsidR="00CD47B6">
        <w:t>aanleiding</w:t>
      </w:r>
      <w:r w:rsidRPr="00487A2D" w:rsidR="00E96EC4">
        <w:t xml:space="preserve"> geven tot een ander beeld</w:t>
      </w:r>
      <w:r w:rsidRPr="00487A2D" w:rsidR="00CD47B6">
        <w:t>, dan zal de timing en de wijze van implementatie hierop worden aangepast.</w:t>
      </w:r>
    </w:p>
    <w:p w:rsidRPr="00487A2D" w:rsidR="00FA6AE8" w:rsidRDefault="00FA6AE8" w14:paraId="50EF30CF" w14:textId="77777777"/>
    <w:p w:rsidRPr="00487A2D" w:rsidR="00FA6AE8" w:rsidRDefault="00E90203" w14:paraId="03305F14" w14:textId="387FFB2D">
      <w:pPr>
        <w:rPr>
          <w:i/>
        </w:rPr>
      </w:pPr>
      <w:r w:rsidRPr="00487A2D">
        <w:t xml:space="preserve">Uit de laatste stand van de uitvoering, onlangs uitgebracht door de IND, wordt duidelijk dat nog 65.000 </w:t>
      </w:r>
      <w:proofErr w:type="spellStart"/>
      <w:r w:rsidRPr="00487A2D">
        <w:t>nareizigers</w:t>
      </w:r>
      <w:proofErr w:type="spellEnd"/>
      <w:r w:rsidRPr="00487A2D">
        <w:t xml:space="preserve"> in het buitenland in afwachting zijn van de mogelijkheid om in te reizen. Dat betekent dat het aantal personen dat opvang moet worden geboden snel verder zal toenemen. Het is breed gedeeld dat de asielopvang overbelast is, er te veel druk is op voorzieningen en de huizenmarkt het grote aantal mensen niet aan kan. Statushouders en nareizende gezinsleden komen in de al overvolle opvang terecht. Daarom is met de IND gekeken naar de mogelijkheden om de nareisvoorwaarden</w:t>
      </w:r>
      <w:r w:rsidRPr="00487A2D" w:rsidR="00664A05">
        <w:t>, ondanks de voorkeur van de IND om dat niet te doen,</w:t>
      </w:r>
      <w:r w:rsidRPr="00487A2D">
        <w:t xml:space="preserve"> </w:t>
      </w:r>
      <w:r w:rsidRPr="00487A2D" w:rsidR="00664A05">
        <w:t xml:space="preserve">toch </w:t>
      </w:r>
      <w:r w:rsidRPr="00487A2D" w:rsidR="00CD47B6">
        <w:t>alvast</w:t>
      </w:r>
      <w:r w:rsidRPr="00487A2D" w:rsidR="00CA2D91">
        <w:t xml:space="preserve"> </w:t>
      </w:r>
      <w:r w:rsidRPr="00487A2D">
        <w:t xml:space="preserve">toe te </w:t>
      </w:r>
      <w:r w:rsidRPr="00487A2D" w:rsidR="00664A05">
        <w:t xml:space="preserve">gaan </w:t>
      </w:r>
      <w:r w:rsidRPr="00487A2D">
        <w:t xml:space="preserve">passen, vooruitlopend op de invoering van het complete tweestatusstelsel onder het pact. </w:t>
      </w:r>
      <w:r w:rsidRPr="00487A2D" w:rsidR="00664A05">
        <w:t>De IND heeft aangegeven dat in afwachting van de benodigde organisatieveranderingen, het desondanks feitelijk mogelijk is om, zij het beperkt</w:t>
      </w:r>
      <w:r w:rsidRPr="00487A2D" w:rsidR="00110AE8">
        <w:t xml:space="preserve"> in volume</w:t>
      </w:r>
      <w:r w:rsidRPr="00487A2D" w:rsidR="00F62405">
        <w:t>,</w:t>
      </w:r>
      <w:r w:rsidRPr="00487A2D" w:rsidR="00664A05">
        <w:t xml:space="preserve"> al te beginnen met het toepassen van de nieuwe nareisvoorwaarden in lopende aanvraagprocedures. Het is dus mogelijk om vanaf het moment dat de wet van kracht is</w:t>
      </w:r>
      <w:r w:rsidRPr="00487A2D" w:rsidR="00BF2F0A">
        <w:t>,</w:t>
      </w:r>
      <w:r w:rsidRPr="00487A2D" w:rsidR="00664A05">
        <w:t xml:space="preserve"> voordat de organisatie er helemaal op is ingericht, toch al gefaseerd een onderscheid te maken tussen beide statussen en de nareisvoorwaarden toe te passen.</w:t>
      </w:r>
      <w:r w:rsidRPr="00487A2D" w:rsidR="00110AE8">
        <w:t xml:space="preserve"> </w:t>
      </w:r>
    </w:p>
    <w:p w:rsidRPr="00487A2D" w:rsidR="00FA6AE8" w:rsidRDefault="00FA6AE8" w14:paraId="71BC28A0" w14:textId="77777777"/>
    <w:p w:rsidRPr="00487A2D" w:rsidR="009C6AAB" w:rsidP="008E5AC8" w:rsidRDefault="00E90203" w14:paraId="48796C0E" w14:textId="2AEA5EA6">
      <w:r w:rsidRPr="00487A2D">
        <w:t xml:space="preserve">Als minister en kabinet moeten we een brede afweging maken, waarbij we zowel kijken naar de </w:t>
      </w:r>
      <w:proofErr w:type="spellStart"/>
      <w:r w:rsidRPr="00487A2D">
        <w:t>ketenbrede</w:t>
      </w:r>
      <w:proofErr w:type="spellEnd"/>
      <w:r w:rsidRPr="00487A2D">
        <w:t xml:space="preserve"> effecten en de maatschappelijke noodzaak om grip te krijgen op migratie als de uitvoerbaarheid</w:t>
      </w:r>
      <w:r w:rsidRPr="00487A2D" w:rsidR="00005D1A">
        <w:t xml:space="preserve"> door de verschillende organisaties</w:t>
      </w:r>
      <w:r w:rsidRPr="00487A2D">
        <w:t xml:space="preserve">. </w:t>
      </w:r>
      <w:r w:rsidRPr="00487A2D" w:rsidR="009C6AAB">
        <w:t>Daarbij speelt voor het kabinet een belangrijk</w:t>
      </w:r>
      <w:r w:rsidRPr="00487A2D" w:rsidR="008E5AC8">
        <w:t>e</w:t>
      </w:r>
      <w:r w:rsidRPr="00487A2D" w:rsidR="009C6AAB">
        <w:t xml:space="preserve"> rol dat meerdere relevante EU-landen in de laatste maanden inzetten op </w:t>
      </w:r>
      <w:r w:rsidRPr="00487A2D" w:rsidR="00005D1A">
        <w:t xml:space="preserve">de </w:t>
      </w:r>
      <w:r w:rsidRPr="00487A2D" w:rsidR="009C6AAB">
        <w:t xml:space="preserve">invoering van een aantal maatregelen en beperkingen in relatie tot de asielinstroom, speciaal als het gaat om de nareismogelijkheden. </w:t>
      </w:r>
      <w:r w:rsidRPr="00487A2D" w:rsidR="008D38A7">
        <w:t>Onder andere</w:t>
      </w:r>
      <w:r w:rsidRPr="00487A2D" w:rsidR="008E5AC8">
        <w:t xml:space="preserve"> </w:t>
      </w:r>
      <w:r w:rsidRPr="00487A2D" w:rsidR="009C6AAB">
        <w:t>Duitsland, België en Oostenrijk</w:t>
      </w:r>
      <w:r w:rsidRPr="00487A2D" w:rsidR="008E5AC8">
        <w:t xml:space="preserve"> </w:t>
      </w:r>
      <w:r w:rsidRPr="00487A2D" w:rsidR="008D38A7">
        <w:t>hebben</w:t>
      </w:r>
      <w:r w:rsidRPr="00487A2D" w:rsidR="008E5AC8">
        <w:t xml:space="preserve"> maatregelen aangekondigd. Deels betref</w:t>
      </w:r>
      <w:r w:rsidRPr="00487A2D" w:rsidR="008D38A7">
        <w:t>fen</w:t>
      </w:r>
      <w:r w:rsidRPr="00487A2D" w:rsidR="008E5AC8">
        <w:t xml:space="preserve"> dit maatregelen die vergelijkbaar zijn met de maatregelen uit het voorliggende Nederlandse wetsvoorstel, hoewel </w:t>
      </w:r>
      <w:r w:rsidRPr="00487A2D" w:rsidR="008D38A7">
        <w:t xml:space="preserve">anders </w:t>
      </w:r>
      <w:r w:rsidRPr="00487A2D" w:rsidR="008E5AC8">
        <w:t>vormge</w:t>
      </w:r>
      <w:r w:rsidRPr="00487A2D" w:rsidR="008D38A7">
        <w:t>geven</w:t>
      </w:r>
      <w:r w:rsidRPr="00487A2D" w:rsidR="008E5AC8">
        <w:t xml:space="preserve">. Duitsland en Oostenrijk zetten daarnaast in op het inroepen van artikel 72 van </w:t>
      </w:r>
      <w:r w:rsidRPr="00487A2D" w:rsidR="00CD47B6">
        <w:t>het</w:t>
      </w:r>
      <w:r w:rsidRPr="00487A2D" w:rsidR="008E5AC8">
        <w:t xml:space="preserve"> Verdrag </w:t>
      </w:r>
      <w:r w:rsidRPr="00487A2D" w:rsidR="00CA2D91">
        <w:t xml:space="preserve">betreffende de werking </w:t>
      </w:r>
      <w:r w:rsidRPr="00487A2D" w:rsidR="008E5AC8">
        <w:t xml:space="preserve">van de Europese Unie (VWEU), waarmee onder hele bijzondere omstandigheden kan worden afgeweken van EU-recht in verband met de openbare orde. Het inroepen van artikel 72 VWEU is tot nu toe in de jurisprudentie echter niet mogelijk gebleken, waardoor ook in dit geval de verwachting is dat </w:t>
      </w:r>
      <w:r w:rsidRPr="00487A2D" w:rsidR="008D38A7">
        <w:t>dit</w:t>
      </w:r>
      <w:r w:rsidRPr="00487A2D" w:rsidR="008E5AC8">
        <w:t xml:space="preserve"> juridisch niet houdbaar zal blijken. Het in Nederland voorliggende wetsvoorstel blijft wel binnen de kaders van het Unierecht</w:t>
      </w:r>
      <w:r w:rsidRPr="00487A2D" w:rsidR="008D38A7">
        <w:t>.</w:t>
      </w:r>
      <w:r w:rsidRPr="00487A2D" w:rsidR="00CA2D91">
        <w:t xml:space="preserve"> </w:t>
      </w:r>
      <w:r w:rsidRPr="00487A2D" w:rsidR="008D38A7">
        <w:t>Een bewuste keuze om het wetsvoorstel op al zijn onderdelen maanden later in te voeren dan strikt noodzakelijk, vormt tezamen met de maatregelen in omliggende landen een risico voor een toename van secundaire migratiestromen binnen de EU richting Nederland. Dit vanwege de (al dan niet terechte) perceptie bij migranten dat in Nederland sprake is van gunstiger voorwaarden.</w:t>
      </w:r>
    </w:p>
    <w:p w:rsidRPr="00487A2D" w:rsidR="009C6AAB" w:rsidRDefault="009C6AAB" w14:paraId="17673C9F" w14:textId="77777777"/>
    <w:p w:rsidR="00FA6AE8" w:rsidP="00487A2D" w:rsidRDefault="00E90203" w14:paraId="02E7B932" w14:textId="2F469BB7">
      <w:r w:rsidRPr="00487A2D">
        <w:t xml:space="preserve">Gezien het belang om tot een zo snel mogelijke beperking te komen van de asielinstroom en </w:t>
      </w:r>
      <w:r w:rsidRPr="00487A2D" w:rsidR="00DF6A39">
        <w:t xml:space="preserve">daarmee </w:t>
      </w:r>
      <w:r w:rsidRPr="00487A2D">
        <w:t xml:space="preserve">de opvang en voorzieningen te ontlasten, </w:t>
      </w:r>
      <w:r w:rsidRPr="00487A2D" w:rsidR="00664A05">
        <w:t xml:space="preserve">is met </w:t>
      </w:r>
      <w:r w:rsidRPr="00487A2D">
        <w:t xml:space="preserve">de IND </w:t>
      </w:r>
      <w:r w:rsidRPr="00487A2D" w:rsidR="00664A05">
        <w:t>afgesproken</w:t>
      </w:r>
      <w:r w:rsidRPr="00487A2D" w:rsidR="00BF2F0A">
        <w:t xml:space="preserve"> </w:t>
      </w:r>
      <w:r w:rsidRPr="00487A2D" w:rsidR="00F62405">
        <w:t xml:space="preserve">om </w:t>
      </w:r>
      <w:r w:rsidRPr="00487A2D" w:rsidR="00BF2F0A">
        <w:t>gefaseerd een onderscheid te maken tussen beide statussen en</w:t>
      </w:r>
      <w:r w:rsidRPr="00487A2D">
        <w:t xml:space="preserve"> direct</w:t>
      </w:r>
      <w:r w:rsidRPr="00487A2D" w:rsidR="00F62405">
        <w:t xml:space="preserve"> </w:t>
      </w:r>
      <w:r w:rsidRPr="00487A2D">
        <w:t xml:space="preserve">de nareisvoorwaarden </w:t>
      </w:r>
      <w:r w:rsidRPr="00487A2D" w:rsidR="00664A05">
        <w:t xml:space="preserve">toe te </w:t>
      </w:r>
      <w:r w:rsidRPr="00487A2D" w:rsidR="00BF2F0A">
        <w:t xml:space="preserve">gaan </w:t>
      </w:r>
      <w:r w:rsidRPr="00487A2D" w:rsidR="00664A05">
        <w:t xml:space="preserve">passen </w:t>
      </w:r>
      <w:r w:rsidRPr="00487A2D">
        <w:t xml:space="preserve">zodra het wetsvoorstel voor een tweestatusstelsel de parlementaire behandeling heeft doorlopen en </w:t>
      </w:r>
      <w:r w:rsidRPr="00487A2D" w:rsidR="00CA2D91">
        <w:t>in werking is getreden</w:t>
      </w:r>
      <w:r w:rsidRPr="00487A2D">
        <w:t xml:space="preserve">. </w:t>
      </w:r>
      <w:r w:rsidRPr="00487A2D" w:rsidR="00F62405">
        <w:t xml:space="preserve">Daarbij is afgesproken </w:t>
      </w:r>
      <w:r w:rsidRPr="00487A2D" w:rsidR="0078739F">
        <w:t>de volumes</w:t>
      </w:r>
      <w:r w:rsidRPr="00487A2D" w:rsidR="00F62405">
        <w:t xml:space="preserve"> gedurende de tijd verder uit te bouwen.</w:t>
      </w:r>
      <w:r w:rsidRPr="00487A2D" w:rsidR="00BF2F0A">
        <w:t xml:space="preserve"> </w:t>
      </w:r>
      <w:r w:rsidRPr="00487A2D">
        <w:t>Hierdoor is het mogelijk om het aantal mensen dat nareist te beperken</w:t>
      </w:r>
      <w:r w:rsidRPr="00487A2D" w:rsidR="00D94B83">
        <w:t xml:space="preserve"> zodra de wet in werking is getreden</w:t>
      </w:r>
      <w:r w:rsidRPr="00487A2D">
        <w:t xml:space="preserve">, worden de opvang en voorzieningen ontlast, en kunnen de mensen die mogen nareizen de voorzieningen worden geboden waar zij recht op hebben. Tegelijkertijd wordt aan de IND betreffende de implementatie van de rest van het voorstel de ruimte gegeven </w:t>
      </w:r>
      <w:r w:rsidRPr="00487A2D" w:rsidR="009C6AAB">
        <w:t xml:space="preserve">om </w:t>
      </w:r>
      <w:r w:rsidRPr="00487A2D">
        <w:t xml:space="preserve">een volledige implementatie van het tweestatusstelsel in de systemen en procedures </w:t>
      </w:r>
      <w:r w:rsidRPr="00487A2D" w:rsidR="009C6AAB">
        <w:t xml:space="preserve">gelijk te laten lopen met het invoeringsmoment van </w:t>
      </w:r>
      <w:r w:rsidRPr="00487A2D">
        <w:t>het pact.</w:t>
      </w:r>
      <w:r w:rsidRPr="00487A2D" w:rsidR="007A36C6">
        <w:t xml:space="preserve"> Op basis van de EAUT zal ook de voorziene implementatie van de nareisvoorwaarden worden bezien. </w:t>
      </w:r>
      <w:r w:rsidRPr="00487A2D">
        <w:t>Het kabinet heeft hiermee een balans gezocht tussen het maatschappelijke belang om zo snel mogelijk de asielinstroom beheersbaar te maken, de asielopvang te verlichten en de uitvoerbaarheid voor de IND</w:t>
      </w:r>
      <w:r w:rsidRPr="00487A2D" w:rsidR="00CD47B6">
        <w:t xml:space="preserve"> behapbaar te houden</w:t>
      </w:r>
      <w:r w:rsidRPr="00487A2D">
        <w:t xml:space="preserve">.  </w:t>
      </w:r>
    </w:p>
    <w:p w:rsidRPr="00487A2D" w:rsidR="00487A2D" w:rsidP="00487A2D" w:rsidRDefault="00487A2D" w14:paraId="56EBFD3C" w14:textId="77777777"/>
    <w:p w:rsidRPr="00487A2D" w:rsidR="00FA6AE8" w:rsidRDefault="00FA6AE8" w14:paraId="0EB85D21" w14:textId="77777777"/>
    <w:p w:rsidRPr="00487A2D" w:rsidR="00FA6AE8" w:rsidRDefault="00E90203" w14:paraId="51D963AD" w14:textId="77777777">
      <w:r w:rsidRPr="00487A2D">
        <w:t xml:space="preserve">De Minister voor Asiel en Migratie, </w:t>
      </w:r>
    </w:p>
    <w:p w:rsidRPr="00487A2D" w:rsidR="00FA6AE8" w:rsidRDefault="00FA6AE8" w14:paraId="1BD1C688" w14:textId="77777777"/>
    <w:p w:rsidRPr="00487A2D" w:rsidR="00FA6AE8" w:rsidRDefault="00FA6AE8" w14:paraId="59BA0B59" w14:textId="77777777"/>
    <w:p w:rsidRPr="00487A2D" w:rsidR="00FA6AE8" w:rsidRDefault="00FA6AE8" w14:paraId="51523B29" w14:textId="77777777"/>
    <w:p w:rsidRPr="00487A2D" w:rsidR="00FA6AE8" w:rsidRDefault="00FA6AE8" w14:paraId="5AB467F6" w14:textId="77777777"/>
    <w:p w:rsidR="00FA6AE8" w:rsidRDefault="00E90203" w14:paraId="560540ED" w14:textId="77777777">
      <w:r w:rsidRPr="00487A2D">
        <w:t>M.C.G. Keijzer</w:t>
      </w:r>
    </w:p>
    <w:sectPr w:rsidR="00FA6AE8">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6D7C" w14:textId="77777777" w:rsidR="00C37435" w:rsidRDefault="00C37435">
      <w:pPr>
        <w:spacing w:line="240" w:lineRule="auto"/>
      </w:pPr>
      <w:r>
        <w:separator/>
      </w:r>
    </w:p>
  </w:endnote>
  <w:endnote w:type="continuationSeparator" w:id="0">
    <w:p w14:paraId="090A2535" w14:textId="77777777" w:rsidR="00C37435" w:rsidRDefault="00C37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31E3" w14:textId="77777777" w:rsidR="00C37435" w:rsidRDefault="00C37435">
      <w:pPr>
        <w:spacing w:line="240" w:lineRule="auto"/>
      </w:pPr>
      <w:r>
        <w:separator/>
      </w:r>
    </w:p>
  </w:footnote>
  <w:footnote w:type="continuationSeparator" w:id="0">
    <w:p w14:paraId="4AF406A0" w14:textId="77777777" w:rsidR="00C37435" w:rsidRDefault="00C374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9FCD" w14:textId="77777777" w:rsidR="00FA6AE8" w:rsidRDefault="00C37435">
    <w:r>
      <w:pict w14:anchorId="1AFD6F49">
        <v:shapetyp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B3A8E8E" w14:textId="77777777" w:rsidR="00FA6AE8" w:rsidRDefault="00FA6AE8"/>
            </w:txbxContent>
          </v:textbox>
          <w10:wrap anchorx="page" anchory="page"/>
          <w10:anchorlock/>
        </v:shape>
      </w:pict>
    </w:r>
    <w:r>
      <w:pict w14:anchorId="07A2F520">
        <v:shape id="46fef022-aa3c-11ea-a756-beb5f67e67be" o:spid="_x0000_s1027" type="#_x0000_t202" style="position:absolute;margin-left:468.15pt;margin-top:187.9pt;width:100.6pt;height:630.7pt;z-index:251653120;visibility:visible;mso-wrap-style:square;mso-wrap-distance-left:0;mso-wrap-distance-top:0;mso-wrap-distance-right:0;mso-wrap-distance-bottom:0;mso-position-horizontal-relative:page;mso-position-vertical-relative:page;v-text-anchor:top" filled="f" stroked="f">
          <v:textbox inset="0,0,0,0">
            <w:txbxContent>
              <w:p w14:paraId="10E31431" w14:textId="77777777" w:rsidR="00FA6AE8" w:rsidRDefault="00E90203">
                <w:pPr>
                  <w:pStyle w:val="Referentiegegevensbold"/>
                </w:pPr>
                <w:r>
                  <w:t>Directoraat-Generaal Migratie</w:t>
                </w:r>
              </w:p>
              <w:p w14:paraId="728A60A8" w14:textId="77777777" w:rsidR="00FA6AE8" w:rsidRDefault="00E90203">
                <w:pPr>
                  <w:pStyle w:val="Referentiegegevens"/>
                </w:pPr>
                <w:r>
                  <w:t>Directie Migratiebeleid</w:t>
                </w:r>
              </w:p>
              <w:p w14:paraId="41AB0A76" w14:textId="77777777" w:rsidR="00FA6AE8" w:rsidRDefault="00E90203">
                <w:pPr>
                  <w:pStyle w:val="Referentiegegevens"/>
                </w:pPr>
                <w:r>
                  <w:t>Asiel, Opvang en Terugkeer</w:t>
                </w:r>
              </w:p>
              <w:p w14:paraId="59BD2D67" w14:textId="77777777" w:rsidR="00FA6AE8" w:rsidRDefault="00FA6AE8">
                <w:pPr>
                  <w:pStyle w:val="WitregelW2"/>
                </w:pPr>
              </w:p>
              <w:p w14:paraId="4983AEC5" w14:textId="77777777" w:rsidR="00FA6AE8" w:rsidRDefault="00E90203">
                <w:pPr>
                  <w:pStyle w:val="Referentiegegevensbold"/>
                </w:pPr>
                <w:r>
                  <w:t>Datum</w:t>
                </w:r>
              </w:p>
              <w:p w14:paraId="5BD49A0D" w14:textId="24319111" w:rsidR="00FA6AE8" w:rsidRDefault="00C37435">
                <w:pPr>
                  <w:pStyle w:val="Referentiegegevens"/>
                </w:pPr>
                <w:sdt>
                  <w:sdtPr>
                    <w:id w:val="1465934466"/>
                    <w:date w:fullDate="2025-06-30T00:00:00Z">
                      <w:dateFormat w:val="d MMMM yyyy"/>
                      <w:lid w:val="nl"/>
                      <w:storeMappedDataAs w:val="dateTime"/>
                      <w:calendar w:val="gregorian"/>
                    </w:date>
                  </w:sdtPr>
                  <w:sdtEndPr/>
                  <w:sdtContent>
                    <w:r w:rsidR="00487A2D">
                      <w:rPr>
                        <w:lang w:val="nl"/>
                      </w:rPr>
                      <w:t>30 juni 2025</w:t>
                    </w:r>
                  </w:sdtContent>
                </w:sdt>
              </w:p>
              <w:p w14:paraId="0626C070" w14:textId="77777777" w:rsidR="00FA6AE8" w:rsidRDefault="00FA6AE8">
                <w:pPr>
                  <w:pStyle w:val="WitregelW1"/>
                </w:pPr>
              </w:p>
              <w:p w14:paraId="17B148C1" w14:textId="77777777" w:rsidR="00FA6AE8" w:rsidRDefault="00E90203">
                <w:pPr>
                  <w:pStyle w:val="Referentiegegevensbold"/>
                </w:pPr>
                <w:r>
                  <w:t>Onze referentie</w:t>
                </w:r>
              </w:p>
              <w:p w14:paraId="0740D335" w14:textId="369DD90E" w:rsidR="00FA6AE8" w:rsidRPr="00487A2D" w:rsidRDefault="00487A2D" w:rsidP="00487A2D">
                <w:pPr>
                  <w:pStyle w:val="Referentiegegevens"/>
                </w:pPr>
                <w:r w:rsidRPr="00487A2D">
                  <w:t>6507029</w:t>
                </w:r>
              </w:p>
            </w:txbxContent>
          </v:textbox>
          <w10:wrap anchorx="page" anchory="page"/>
          <w10:anchorlock/>
        </v:shape>
      </w:pict>
    </w:r>
    <w:r>
      <w:pict w14:anchorId="11A2898B">
        <v:shap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C56DA7B" w14:textId="77777777" w:rsidR="00FA6AE8" w:rsidRDefault="00FA6AE8"/>
            </w:txbxContent>
          </v:textbox>
          <w10:wrap anchorx="page" anchory="page"/>
          <w10:anchorlock/>
        </v:shape>
      </w:pict>
    </w:r>
    <w:r>
      <w:pict w14:anchorId="238366D3">
        <v:shap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6476840" w14:textId="77777777" w:rsidR="00FA6AE8" w:rsidRDefault="00E90203">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8A7D" w14:textId="77777777" w:rsidR="00FA6AE8" w:rsidRDefault="00C37435">
    <w:pPr>
      <w:spacing w:after="6377" w:line="14" w:lineRule="exact"/>
    </w:pPr>
    <w:r>
      <w:pict w14:anchorId="030C7184">
        <v:shapetyp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C9AF7D2" w14:textId="77777777" w:rsidR="00FA6AE8" w:rsidRDefault="00E90203">
                <w:pPr>
                  <w:spacing w:line="240" w:lineRule="auto"/>
                </w:pPr>
                <w:r>
                  <w:rPr>
                    <w:noProof/>
                  </w:rPr>
                  <w:drawing>
                    <wp:inline distT="0" distB="0" distL="0" distR="0" wp14:anchorId="13F55B50" wp14:editId="46BCCA8D">
                      <wp:extent cx="467999" cy="1583861"/>
                      <wp:effectExtent l="0" t="0" r="0" b="0"/>
                      <wp:docPr id="6" name="Logo"/>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0F6B85A9">
        <v:shap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9918C5F" w14:textId="77777777" w:rsidR="00FA6AE8" w:rsidRDefault="00E90203">
                <w:pPr>
                  <w:spacing w:line="240" w:lineRule="auto"/>
                </w:pPr>
                <w:r>
                  <w:rPr>
                    <w:noProof/>
                  </w:rPr>
                  <w:drawing>
                    <wp:inline distT="0" distB="0" distL="0" distR="0" wp14:anchorId="53B36FCB" wp14:editId="25D4A028">
                      <wp:extent cx="2339968" cy="1582828"/>
                      <wp:effectExtent l="0" t="0" r="0" b="0"/>
                      <wp:docPr id="8" name="Logotyp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2AF35A6C">
        <v:shap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F0FDAF8" w14:textId="77777777" w:rsidR="00FA6AE8" w:rsidRDefault="00E90203">
                <w:pPr>
                  <w:pStyle w:val="Referentiegegevens"/>
                </w:pPr>
                <w:r>
                  <w:t>&gt; Retouradres Postbus 20011 2500 EH   Den Haag</w:t>
                </w:r>
              </w:p>
            </w:txbxContent>
          </v:textbox>
          <w10:wrap anchorx="page" anchory="page"/>
          <w10:anchorlock/>
        </v:shape>
      </w:pict>
    </w:r>
    <w:r>
      <w:pict w14:anchorId="54E0AA4A">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7FDCEE0" w14:textId="77777777" w:rsidR="00FA6AE8" w:rsidRDefault="00E90203">
                <w:r>
                  <w:t>Aan de Voorzitter van de Tweede Kamer</w:t>
                </w:r>
              </w:p>
              <w:p w14:paraId="5EF666E7" w14:textId="77777777" w:rsidR="00FA6AE8" w:rsidRDefault="00E90203">
                <w:r>
                  <w:t>der Staten-Generaal</w:t>
                </w:r>
              </w:p>
              <w:p w14:paraId="2DD68BC1" w14:textId="77777777" w:rsidR="00FA6AE8" w:rsidRDefault="00E90203">
                <w:r>
                  <w:t>Postbus 20018</w:t>
                </w:r>
              </w:p>
              <w:p w14:paraId="1ABC2ACE" w14:textId="77777777" w:rsidR="00FA6AE8" w:rsidRDefault="00E90203">
                <w:r>
                  <w:t>2500 EA  DEN HAAG</w:t>
                </w:r>
              </w:p>
            </w:txbxContent>
          </v:textbox>
          <w10:wrap anchorx="page" anchory="page"/>
          <w10:anchorlock/>
        </v:shape>
      </w:pict>
    </w:r>
    <w:r>
      <w:pict w14:anchorId="49F1B68B">
        <v:shap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A6AE8" w14:paraId="23012A20" w14:textId="77777777">
                  <w:trPr>
                    <w:trHeight w:val="240"/>
                  </w:trPr>
                  <w:tc>
                    <w:tcPr>
                      <w:tcW w:w="1140" w:type="dxa"/>
                    </w:tcPr>
                    <w:p w14:paraId="329C789D" w14:textId="77777777" w:rsidR="00FA6AE8" w:rsidRDefault="00E90203">
                      <w:r>
                        <w:t>Datum</w:t>
                      </w:r>
                    </w:p>
                  </w:tc>
                  <w:tc>
                    <w:tcPr>
                      <w:tcW w:w="5918" w:type="dxa"/>
                    </w:tcPr>
                    <w:p w14:paraId="37CBDD9A" w14:textId="06AF5294" w:rsidR="00FA6AE8" w:rsidRDefault="00C37435">
                      <w:sdt>
                        <w:sdtPr>
                          <w:id w:val="1417058702"/>
                          <w:date w:fullDate="2025-06-30T00:00:00Z">
                            <w:dateFormat w:val="d MMMM yyyy"/>
                            <w:lid w:val="nl"/>
                            <w:storeMappedDataAs w:val="dateTime"/>
                            <w:calendar w:val="gregorian"/>
                          </w:date>
                        </w:sdtPr>
                        <w:sdtEndPr/>
                        <w:sdtContent>
                          <w:r w:rsidR="000A10ED">
                            <w:t>30</w:t>
                          </w:r>
                          <w:r w:rsidR="00E90203">
                            <w:t xml:space="preserve"> juni 2025</w:t>
                          </w:r>
                        </w:sdtContent>
                      </w:sdt>
                    </w:p>
                  </w:tc>
                </w:tr>
                <w:tr w:rsidR="00FA6AE8" w14:paraId="5E4A6342" w14:textId="77777777">
                  <w:trPr>
                    <w:trHeight w:val="240"/>
                  </w:trPr>
                  <w:tc>
                    <w:tcPr>
                      <w:tcW w:w="1140" w:type="dxa"/>
                    </w:tcPr>
                    <w:p w14:paraId="7EB9C48B" w14:textId="77777777" w:rsidR="00FA6AE8" w:rsidRDefault="00E90203">
                      <w:r>
                        <w:t>Betreft</w:t>
                      </w:r>
                    </w:p>
                  </w:tc>
                  <w:tc>
                    <w:tcPr>
                      <w:tcW w:w="5918" w:type="dxa"/>
                    </w:tcPr>
                    <w:p w14:paraId="37B60E2B" w14:textId="77777777" w:rsidR="00FA6AE8" w:rsidRDefault="00E90203">
                      <w:r>
                        <w:t xml:space="preserve">Toezeggingen debat 26 juni 2025 Invoering tweestatusstelsel </w:t>
                      </w:r>
                    </w:p>
                  </w:tc>
                </w:tr>
              </w:tbl>
              <w:p w14:paraId="66CEBA6F" w14:textId="77777777" w:rsidR="00FA6AE8" w:rsidRDefault="00FA6AE8"/>
            </w:txbxContent>
          </v:textbox>
          <w10:wrap anchorx="page" anchory="page"/>
          <w10:anchorlock/>
        </v:shape>
      </w:pict>
    </w:r>
    <w:r>
      <w:pict w14:anchorId="58F4CE48">
        <v:shap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52ED7C5" w14:textId="77777777" w:rsidR="00FA6AE8" w:rsidRDefault="00E90203">
                <w:pPr>
                  <w:pStyle w:val="Referentiegegevensbold"/>
                </w:pPr>
                <w:r>
                  <w:t>Directoraat-Generaal Migratie</w:t>
                </w:r>
              </w:p>
              <w:p w14:paraId="21188AE4" w14:textId="77777777" w:rsidR="00FA6AE8" w:rsidRDefault="00E90203">
                <w:pPr>
                  <w:pStyle w:val="Referentiegegevens"/>
                </w:pPr>
                <w:r>
                  <w:t>Directie Migratiebeleid</w:t>
                </w:r>
              </w:p>
              <w:p w14:paraId="45951D14" w14:textId="77777777" w:rsidR="00FA6AE8" w:rsidRDefault="00E90203">
                <w:pPr>
                  <w:pStyle w:val="Referentiegegevens"/>
                </w:pPr>
                <w:r>
                  <w:t>Asiel, Opvang en Terugkeer</w:t>
                </w:r>
              </w:p>
              <w:p w14:paraId="0489505A" w14:textId="77777777" w:rsidR="00FA6AE8" w:rsidRDefault="00FA6AE8">
                <w:pPr>
                  <w:pStyle w:val="WitregelW1"/>
                </w:pPr>
              </w:p>
              <w:p w14:paraId="22DC3622" w14:textId="77777777" w:rsidR="00FA6AE8" w:rsidRPr="00005D1A" w:rsidRDefault="00E90203">
                <w:pPr>
                  <w:pStyle w:val="Referentiegegevens"/>
                  <w:rPr>
                    <w:lang w:val="de-DE"/>
                  </w:rPr>
                </w:pPr>
                <w:proofErr w:type="spellStart"/>
                <w:r w:rsidRPr="00005D1A">
                  <w:rPr>
                    <w:lang w:val="de-DE"/>
                  </w:rPr>
                  <w:t>Turfmarkt</w:t>
                </w:r>
                <w:proofErr w:type="spellEnd"/>
                <w:r w:rsidRPr="00005D1A">
                  <w:rPr>
                    <w:lang w:val="de-DE"/>
                  </w:rPr>
                  <w:t xml:space="preserve"> 147</w:t>
                </w:r>
              </w:p>
              <w:p w14:paraId="75157AFC" w14:textId="77777777" w:rsidR="00FA6AE8" w:rsidRPr="00005D1A" w:rsidRDefault="00E90203">
                <w:pPr>
                  <w:pStyle w:val="Referentiegegevens"/>
                  <w:rPr>
                    <w:lang w:val="de-DE"/>
                  </w:rPr>
                </w:pPr>
                <w:r w:rsidRPr="00005D1A">
                  <w:rPr>
                    <w:lang w:val="de-DE"/>
                  </w:rPr>
                  <w:t>2511 DP   Den Haag</w:t>
                </w:r>
              </w:p>
              <w:p w14:paraId="541BFE12" w14:textId="77777777" w:rsidR="00FA6AE8" w:rsidRPr="00005D1A" w:rsidRDefault="00E90203">
                <w:pPr>
                  <w:pStyle w:val="Referentiegegevens"/>
                  <w:rPr>
                    <w:lang w:val="de-DE"/>
                  </w:rPr>
                </w:pPr>
                <w:r w:rsidRPr="00005D1A">
                  <w:rPr>
                    <w:lang w:val="de-DE"/>
                  </w:rPr>
                  <w:t>Postbus 20011</w:t>
                </w:r>
              </w:p>
              <w:p w14:paraId="50EEE15D" w14:textId="77777777" w:rsidR="00FA6AE8" w:rsidRPr="00005D1A" w:rsidRDefault="00E90203">
                <w:pPr>
                  <w:pStyle w:val="Referentiegegevens"/>
                  <w:rPr>
                    <w:lang w:val="de-DE"/>
                  </w:rPr>
                </w:pPr>
                <w:r w:rsidRPr="00005D1A">
                  <w:rPr>
                    <w:lang w:val="de-DE"/>
                  </w:rPr>
                  <w:t>2500 EH   Den Haag</w:t>
                </w:r>
              </w:p>
              <w:p w14:paraId="77488B0B" w14:textId="77777777" w:rsidR="00FA6AE8" w:rsidRPr="00005D1A" w:rsidRDefault="00E90203">
                <w:pPr>
                  <w:pStyle w:val="Referentiegegevens"/>
                  <w:rPr>
                    <w:lang w:val="de-DE"/>
                  </w:rPr>
                </w:pPr>
                <w:r w:rsidRPr="00005D1A">
                  <w:rPr>
                    <w:lang w:val="de-DE"/>
                  </w:rPr>
                  <w:t>www.rijksoverheid.nl/jenv</w:t>
                </w:r>
              </w:p>
              <w:p w14:paraId="350B122B" w14:textId="77777777" w:rsidR="00FA6AE8" w:rsidRPr="00005D1A" w:rsidRDefault="00FA6AE8">
                <w:pPr>
                  <w:pStyle w:val="WitregelW1"/>
                  <w:rPr>
                    <w:lang w:val="de-DE"/>
                  </w:rPr>
                </w:pPr>
              </w:p>
              <w:p w14:paraId="04C4C820" w14:textId="77777777" w:rsidR="00FA6AE8" w:rsidRPr="00005D1A" w:rsidRDefault="00FA6AE8">
                <w:pPr>
                  <w:pStyle w:val="WitregelW2"/>
                  <w:rPr>
                    <w:lang w:val="de-DE"/>
                  </w:rPr>
                </w:pPr>
              </w:p>
              <w:p w14:paraId="61FBD2D0" w14:textId="07C52344" w:rsidR="00FA6AE8" w:rsidRDefault="00E90203" w:rsidP="00487A2D">
                <w:pPr>
                  <w:pStyle w:val="Referentiegegevensbold"/>
                </w:pPr>
                <w:r>
                  <w:t>Onze referentie</w:t>
                </w:r>
              </w:p>
              <w:p w14:paraId="19A847B7" w14:textId="607EAE73" w:rsidR="00487A2D" w:rsidRPr="00487A2D" w:rsidRDefault="00487A2D" w:rsidP="00487A2D">
                <w:pPr>
                  <w:rPr>
                    <w:sz w:val="13"/>
                    <w:szCs w:val="13"/>
                  </w:rPr>
                </w:pPr>
                <w:r w:rsidRPr="00487A2D">
                  <w:rPr>
                    <w:sz w:val="13"/>
                    <w:szCs w:val="13"/>
                  </w:rPr>
                  <w:t>6507029</w:t>
                </w:r>
              </w:p>
              <w:p w14:paraId="0971B5E7" w14:textId="5CE3C792" w:rsidR="00FA6AE8" w:rsidRDefault="00FA6AE8">
                <w:pPr>
                  <w:pStyle w:val="Referentiegegevens"/>
                </w:pPr>
              </w:p>
            </w:txbxContent>
          </v:textbox>
          <w10:wrap anchorx="page" anchory="page"/>
          <w10:anchorlock/>
        </v:shape>
      </w:pict>
    </w:r>
    <w:r>
      <w:pict w14:anchorId="429A8D8D">
        <v:shap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C0EDDC5" w14:textId="77777777" w:rsidR="00FA6AE8" w:rsidRDefault="00E9020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3E353B8E">
        <v:shap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CB672BE" w14:textId="77777777" w:rsidR="00FA6AE8" w:rsidRDefault="00FA6AE8"/>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EBF9A"/>
    <w:multiLevelType w:val="multilevel"/>
    <w:tmpl w:val="ED5F1F8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AE9B46"/>
    <w:multiLevelType w:val="multilevel"/>
    <w:tmpl w:val="D6EF27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F4CFC6D"/>
    <w:multiLevelType w:val="multilevel"/>
    <w:tmpl w:val="9AFE29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FA10D3C"/>
    <w:multiLevelType w:val="hybridMultilevel"/>
    <w:tmpl w:val="8B2EEF66"/>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166991"/>
    <w:multiLevelType w:val="hybridMultilevel"/>
    <w:tmpl w:val="51FCA4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923CA"/>
    <w:multiLevelType w:val="multilevel"/>
    <w:tmpl w:val="6762749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8307CBB"/>
    <w:multiLevelType w:val="multilevel"/>
    <w:tmpl w:val="B724CD7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6004EDE"/>
    <w:multiLevelType w:val="multilevel"/>
    <w:tmpl w:val="C2E4D7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90738828">
    <w:abstractNumId w:val="0"/>
  </w:num>
  <w:num w:numId="2" w16cid:durableId="165900823">
    <w:abstractNumId w:val="6"/>
  </w:num>
  <w:num w:numId="3" w16cid:durableId="934286551">
    <w:abstractNumId w:val="1"/>
  </w:num>
  <w:num w:numId="4" w16cid:durableId="2039507673">
    <w:abstractNumId w:val="2"/>
  </w:num>
  <w:num w:numId="5" w16cid:durableId="65300327">
    <w:abstractNumId w:val="5"/>
  </w:num>
  <w:num w:numId="6" w16cid:durableId="717976542">
    <w:abstractNumId w:val="7"/>
  </w:num>
  <w:num w:numId="7" w16cid:durableId="890388044">
    <w:abstractNumId w:val="4"/>
  </w:num>
  <w:num w:numId="8" w16cid:durableId="169175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AA"/>
    <w:rsid w:val="000055F5"/>
    <w:rsid w:val="00005D1A"/>
    <w:rsid w:val="00044E11"/>
    <w:rsid w:val="00065F02"/>
    <w:rsid w:val="00085DBB"/>
    <w:rsid w:val="000A10ED"/>
    <w:rsid w:val="000E7635"/>
    <w:rsid w:val="001059F5"/>
    <w:rsid w:val="00110AE8"/>
    <w:rsid w:val="001838C1"/>
    <w:rsid w:val="001872A5"/>
    <w:rsid w:val="001F0C0B"/>
    <w:rsid w:val="001F3B91"/>
    <w:rsid w:val="002600F7"/>
    <w:rsid w:val="00272906"/>
    <w:rsid w:val="002F55EF"/>
    <w:rsid w:val="00307539"/>
    <w:rsid w:val="0038219E"/>
    <w:rsid w:val="00405C91"/>
    <w:rsid w:val="00427312"/>
    <w:rsid w:val="00442FB7"/>
    <w:rsid w:val="00454B58"/>
    <w:rsid w:val="00472F51"/>
    <w:rsid w:val="00487A2D"/>
    <w:rsid w:val="00493041"/>
    <w:rsid w:val="004B7DFB"/>
    <w:rsid w:val="00574AE3"/>
    <w:rsid w:val="005D43B1"/>
    <w:rsid w:val="00660FE5"/>
    <w:rsid w:val="00664A05"/>
    <w:rsid w:val="00682561"/>
    <w:rsid w:val="006A03C8"/>
    <w:rsid w:val="006A09AE"/>
    <w:rsid w:val="006C7AF7"/>
    <w:rsid w:val="007311DE"/>
    <w:rsid w:val="00756079"/>
    <w:rsid w:val="0078739F"/>
    <w:rsid w:val="007A36C6"/>
    <w:rsid w:val="007D613A"/>
    <w:rsid w:val="007D79F4"/>
    <w:rsid w:val="007E15F1"/>
    <w:rsid w:val="00810422"/>
    <w:rsid w:val="0081314C"/>
    <w:rsid w:val="00821D8F"/>
    <w:rsid w:val="008531AA"/>
    <w:rsid w:val="00866175"/>
    <w:rsid w:val="00875AFF"/>
    <w:rsid w:val="008B4CAD"/>
    <w:rsid w:val="008B75CE"/>
    <w:rsid w:val="008D37C3"/>
    <w:rsid w:val="008D38A7"/>
    <w:rsid w:val="008E5AC8"/>
    <w:rsid w:val="00900ADC"/>
    <w:rsid w:val="00914A4B"/>
    <w:rsid w:val="0095624F"/>
    <w:rsid w:val="00983E02"/>
    <w:rsid w:val="009B3635"/>
    <w:rsid w:val="009C6AAB"/>
    <w:rsid w:val="009C7416"/>
    <w:rsid w:val="009C7E76"/>
    <w:rsid w:val="009D7AC8"/>
    <w:rsid w:val="009E31A3"/>
    <w:rsid w:val="009E757B"/>
    <w:rsid w:val="00A37900"/>
    <w:rsid w:val="00A4272F"/>
    <w:rsid w:val="00A53817"/>
    <w:rsid w:val="00AE7C82"/>
    <w:rsid w:val="00BD3BFB"/>
    <w:rsid w:val="00BD534F"/>
    <w:rsid w:val="00BF2F0A"/>
    <w:rsid w:val="00BF3581"/>
    <w:rsid w:val="00C017E2"/>
    <w:rsid w:val="00C30771"/>
    <w:rsid w:val="00C37435"/>
    <w:rsid w:val="00CA2D91"/>
    <w:rsid w:val="00CA2EB8"/>
    <w:rsid w:val="00CB4E7B"/>
    <w:rsid w:val="00CD47B6"/>
    <w:rsid w:val="00CF1C77"/>
    <w:rsid w:val="00D56F4B"/>
    <w:rsid w:val="00D92202"/>
    <w:rsid w:val="00D94B83"/>
    <w:rsid w:val="00DA699A"/>
    <w:rsid w:val="00DD586E"/>
    <w:rsid w:val="00DF6A39"/>
    <w:rsid w:val="00E369F3"/>
    <w:rsid w:val="00E90203"/>
    <w:rsid w:val="00E924B3"/>
    <w:rsid w:val="00E96EC4"/>
    <w:rsid w:val="00F62405"/>
    <w:rsid w:val="00FA6AE8"/>
    <w:rsid w:val="00FF3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427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4272F"/>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38219E"/>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38219E"/>
    <w:rPr>
      <w:rFonts w:ascii="Verdana" w:eastAsiaTheme="minorHAnsi" w:hAnsi="Verdana" w:cstheme="minorBidi"/>
      <w:sz w:val="18"/>
      <w:szCs w:val="22"/>
      <w:lang w:val="en-US" w:eastAsia="en-US"/>
    </w:rPr>
  </w:style>
  <w:style w:type="paragraph" w:styleId="Revisie">
    <w:name w:val="Revision"/>
    <w:hidden/>
    <w:uiPriority w:val="99"/>
    <w:semiHidden/>
    <w:rsid w:val="0095624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5624F"/>
    <w:rPr>
      <w:sz w:val="16"/>
      <w:szCs w:val="16"/>
    </w:rPr>
  </w:style>
  <w:style w:type="paragraph" w:styleId="Tekstopmerking">
    <w:name w:val="annotation text"/>
    <w:basedOn w:val="Standaard"/>
    <w:link w:val="TekstopmerkingChar"/>
    <w:uiPriority w:val="99"/>
    <w:unhideWhenUsed/>
    <w:rsid w:val="0095624F"/>
    <w:pPr>
      <w:spacing w:line="240" w:lineRule="auto"/>
    </w:pPr>
    <w:rPr>
      <w:sz w:val="20"/>
      <w:szCs w:val="20"/>
    </w:rPr>
  </w:style>
  <w:style w:type="character" w:customStyle="1" w:styleId="TekstopmerkingChar">
    <w:name w:val="Tekst opmerking Char"/>
    <w:basedOn w:val="Standaardalinea-lettertype"/>
    <w:link w:val="Tekstopmerking"/>
    <w:uiPriority w:val="99"/>
    <w:rsid w:val="0095624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5624F"/>
    <w:rPr>
      <w:b/>
      <w:bCs/>
    </w:rPr>
  </w:style>
  <w:style w:type="character" w:customStyle="1" w:styleId="OnderwerpvanopmerkingChar">
    <w:name w:val="Onderwerp van opmerking Char"/>
    <w:basedOn w:val="TekstopmerkingChar"/>
    <w:link w:val="Onderwerpvanopmerking"/>
    <w:uiPriority w:val="99"/>
    <w:semiHidden/>
    <w:rsid w:val="0095624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1165</ap:Words>
  <ap:Characters>6408</ap:Characters>
  <ap:DocSecurity>0</ap:DocSecurity>
  <ap:Lines>53</ap:Lines>
  <ap:Paragraphs>15</ap:Paragraphs>
  <ap:ScaleCrop>false</ap:ScaleCrop>
  <ap:LinksUpToDate>false</ap:LinksUpToDate>
  <ap:CharactersWithSpaces>7558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2025-06-30T17:26:00.0000000Z</dcterms:created>
  <dcterms:modified xsi:type="dcterms:W3CDTF">2025-06-30T17:26:00.0000000Z</dcterms:modified>
  <dc:description>------------------------</dc:description>
  <dc:subject/>
  <keywords/>
  <version/>
  <category/>
</coreProperties>
</file>