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73B2" w:rsidP="006573B2" w:rsidRDefault="00B030DF" w14:paraId="444B01CF" w14:textId="5BA56C56">
      <w:pPr>
        <w:pStyle w:val="Kop2"/>
      </w:pPr>
      <w:r>
        <w:t xml:space="preserve">Bijlage </w:t>
      </w:r>
      <w:r w:rsidR="00A02C37">
        <w:t>I.A.</w:t>
      </w:r>
      <w:r>
        <w:t xml:space="preserve"> </w:t>
      </w:r>
      <w:r w:rsidRPr="0084513F" w:rsidR="0084513F">
        <w:t>Garantieregeling voor Forensische Psychiatrische Centra (</w:t>
      </w:r>
      <w:proofErr w:type="spellStart"/>
      <w:r w:rsidRPr="0084513F" w:rsidR="0084513F">
        <w:t>FPC’s</w:t>
      </w:r>
      <w:proofErr w:type="spellEnd"/>
      <w:r w:rsidRPr="0084513F" w:rsidR="0084513F">
        <w:t xml:space="preserve">) </w:t>
      </w:r>
    </w:p>
    <w:tbl>
      <w:tblPr>
        <w:tblStyle w:val="Tabelrast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00962708" w:rsidTr="00962708" w14:paraId="03AE775A" w14:textId="77777777">
        <w:tc>
          <w:tcPr>
            <w:tcW w:w="9017" w:type="dxa"/>
            <w:hideMark/>
          </w:tcPr>
          <w:p w:rsidR="006573B2" w:rsidRDefault="006573B2" w14:paraId="241492A8" w14:textId="77777777"/>
          <w:tbl>
            <w:tblPr>
              <w:tblStyle w:val="TableNormal"/>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9E2F3" w:themeFill="accent5" w:themeFillTint="33"/>
              <w:tblLook w:val="01E0" w:firstRow="1" w:lastRow="1" w:firstColumn="1" w:lastColumn="1" w:noHBand="0" w:noVBand="0"/>
            </w:tblPr>
            <w:tblGrid>
              <w:gridCol w:w="3499"/>
              <w:gridCol w:w="4073"/>
            </w:tblGrid>
            <w:tr w:rsidR="00962708" w:rsidTr="006573B2" w14:paraId="0F9366EF" w14:textId="77777777">
              <w:trPr>
                <w:trHeight w:val="849"/>
              </w:trPr>
              <w:tc>
                <w:tcPr>
                  <w:tcW w:w="7572"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Pr="00563BEB" w:rsidR="00962708" w:rsidP="00A32EBF" w:rsidRDefault="00962708" w14:paraId="4B5E404C" w14:textId="77777777">
                  <w:pPr>
                    <w:pStyle w:val="TableParagraph"/>
                    <w:rPr>
                      <w:rFonts w:cstheme="minorHAnsi"/>
                      <w:b/>
                      <w:color w:val="FFFFFF"/>
                      <w:sz w:val="16"/>
                      <w:szCs w:val="16"/>
                    </w:rPr>
                  </w:pPr>
                  <w:r w:rsidRPr="00563BEB">
                    <w:rPr>
                      <w:rFonts w:cstheme="minorHAnsi"/>
                      <w:b/>
                      <w:color w:val="FFFFFF"/>
                      <w:sz w:val="16"/>
                      <w:szCs w:val="16"/>
                    </w:rPr>
                    <w:t>Beleidskeuzes uitgelegd</w:t>
                  </w:r>
                </w:p>
                <w:p w:rsidRPr="00563BEB" w:rsidR="00962708" w:rsidRDefault="00962708" w14:paraId="79D58670" w14:textId="77777777">
                  <w:pPr>
                    <w:pStyle w:val="TableParagraph"/>
                    <w:rPr>
                      <w:rFonts w:asciiTheme="minorHAnsi" w:hAnsiTheme="minorHAnsi" w:cstheme="minorHAnsi"/>
                      <w:color w:val="FFFFFF" w:themeColor="background1"/>
                      <w:sz w:val="16"/>
                      <w:szCs w:val="16"/>
                    </w:rPr>
                  </w:pPr>
                  <w:r w:rsidRPr="00563BEB">
                    <w:rPr>
                      <w:rFonts w:cstheme="minorHAnsi"/>
                      <w:b/>
                      <w:color w:val="FFFFFF" w:themeColor="background1"/>
                      <w:sz w:val="16"/>
                      <w:szCs w:val="16"/>
                    </w:rPr>
                    <w:t xml:space="preserve"> </w:t>
                  </w:r>
                  <w:r w:rsidRPr="00563BEB">
                    <w:rPr>
                      <w:rFonts w:cstheme="minorHAnsi"/>
                      <w:i/>
                      <w:color w:val="FFFFFF" w:themeColor="background1"/>
                      <w:sz w:val="16"/>
                      <w:szCs w:val="16"/>
                    </w:rPr>
                    <w:t>Onderbouwing doeltreffendheid, doelmatigheid en evaluatie (CW 3.1)</w:t>
                  </w:r>
                </w:p>
              </w:tc>
            </w:tr>
            <w:tr w:rsidRPr="00563BEB" w:rsidR="00962708" w:rsidTr="006573B2" w14:paraId="5DD389A5" w14:textId="77777777">
              <w:trPr>
                <w:trHeight w:val="729"/>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563BEB" w:rsidR="00962708" w:rsidRDefault="00962708" w14:paraId="24E09633" w14:textId="77777777">
                  <w:pPr>
                    <w:pStyle w:val="TableParagraph"/>
                    <w:ind w:left="103"/>
                    <w:rPr>
                      <w:rFonts w:cstheme="minorHAnsi"/>
                      <w:b/>
                      <w:color w:val="FFFFFF"/>
                      <w:sz w:val="16"/>
                      <w:szCs w:val="16"/>
                    </w:rPr>
                  </w:pPr>
                </w:p>
                <w:p w:rsidRPr="00563BEB" w:rsidR="00962708" w:rsidP="00D439E5" w:rsidRDefault="00962708" w14:paraId="56EEDEEB" w14:textId="77777777">
                  <w:pPr>
                    <w:pStyle w:val="TableParagraph"/>
                    <w:numPr>
                      <w:ilvl w:val="0"/>
                      <w:numId w:val="1"/>
                    </w:numPr>
                    <w:rPr>
                      <w:rFonts w:cstheme="minorHAnsi"/>
                      <w:b/>
                      <w:sz w:val="16"/>
                      <w:szCs w:val="16"/>
                    </w:rPr>
                  </w:pPr>
                  <w:r w:rsidRPr="00563BEB">
                    <w:rPr>
                      <w:rFonts w:cstheme="minorHAnsi"/>
                      <w:b/>
                      <w:color w:val="FFFFFF"/>
                      <w:sz w:val="16"/>
                      <w:szCs w:val="16"/>
                    </w:rPr>
                    <w:t xml:space="preserve">Doel(en) </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00A32EBF" w:rsidP="000A3227" w:rsidRDefault="000A3227" w14:paraId="1F7D0307" w14:textId="243211DA">
                  <w:pPr>
                    <w:rPr>
                      <w:rFonts w:ascii="Verdana" w:hAnsi="Verdana"/>
                      <w:sz w:val="16"/>
                      <w:szCs w:val="16"/>
                    </w:rPr>
                  </w:pPr>
                  <w:r w:rsidRPr="00563BEB">
                    <w:rPr>
                      <w:rFonts w:ascii="Verdana" w:hAnsi="Verdana"/>
                      <w:sz w:val="16"/>
                      <w:szCs w:val="16"/>
                    </w:rPr>
                    <w:t xml:space="preserve">Het doel is om vanaf medio 2026 particuliere </w:t>
                  </w:r>
                  <w:r w:rsidRPr="009C02F3" w:rsidR="009C02F3">
                    <w:rPr>
                      <w:rFonts w:ascii="Verdana" w:hAnsi="Verdana"/>
                      <w:sz w:val="16"/>
                      <w:szCs w:val="16"/>
                    </w:rPr>
                    <w:t xml:space="preserve">Forensisch Psychiatrische Centra </w:t>
                  </w:r>
                  <w:r w:rsidR="009C02F3">
                    <w:rPr>
                      <w:rFonts w:ascii="Verdana" w:hAnsi="Verdana"/>
                      <w:sz w:val="16"/>
                      <w:szCs w:val="16"/>
                    </w:rPr>
                    <w:t>(</w:t>
                  </w:r>
                  <w:proofErr w:type="spellStart"/>
                  <w:r w:rsidRPr="00563BEB">
                    <w:rPr>
                      <w:rFonts w:ascii="Verdana" w:hAnsi="Verdana"/>
                      <w:sz w:val="16"/>
                      <w:szCs w:val="16"/>
                    </w:rPr>
                    <w:t>FPC’s</w:t>
                  </w:r>
                  <w:proofErr w:type="spellEnd"/>
                  <w:r w:rsidR="009C02F3">
                    <w:rPr>
                      <w:rFonts w:ascii="Verdana" w:hAnsi="Verdana"/>
                      <w:sz w:val="16"/>
                      <w:szCs w:val="16"/>
                    </w:rPr>
                    <w:t>)</w:t>
                  </w:r>
                  <w:r w:rsidRPr="00563BEB">
                    <w:rPr>
                      <w:rFonts w:ascii="Verdana" w:hAnsi="Verdana"/>
                      <w:sz w:val="16"/>
                      <w:szCs w:val="16"/>
                    </w:rPr>
                    <w:t xml:space="preserve"> te stimuleren</w:t>
                  </w:r>
                  <w:r w:rsidR="00854240">
                    <w:rPr>
                      <w:rFonts w:ascii="Verdana" w:hAnsi="Verdana"/>
                      <w:sz w:val="16"/>
                      <w:szCs w:val="16"/>
                    </w:rPr>
                    <w:t xml:space="preserve"> hun</w:t>
                  </w:r>
                  <w:r w:rsidRPr="00563BEB">
                    <w:rPr>
                      <w:rFonts w:ascii="Verdana" w:hAnsi="Verdana"/>
                      <w:sz w:val="16"/>
                      <w:szCs w:val="16"/>
                    </w:rPr>
                    <w:t xml:space="preserve"> capaciteit uit te breiden, zodat er </w:t>
                  </w:r>
                  <w:r w:rsidR="00AF57E0">
                    <w:rPr>
                      <w:rFonts w:ascii="Verdana" w:hAnsi="Verdana"/>
                      <w:sz w:val="16"/>
                      <w:szCs w:val="16"/>
                    </w:rPr>
                    <w:t>op de</w:t>
                  </w:r>
                  <w:r w:rsidRPr="00563BEB">
                    <w:rPr>
                      <w:rFonts w:ascii="Verdana" w:hAnsi="Verdana"/>
                      <w:sz w:val="16"/>
                      <w:szCs w:val="16"/>
                    </w:rPr>
                    <w:t xml:space="preserve"> lange termijn voldoende capaciteit is om de fluctuatie in de vraag naar tbs (beveiligingsniveau 4) plekken op te vangen. Particuliere </w:t>
                  </w:r>
                  <w:proofErr w:type="spellStart"/>
                  <w:r w:rsidRPr="00563BEB">
                    <w:rPr>
                      <w:rFonts w:ascii="Verdana" w:hAnsi="Verdana"/>
                      <w:sz w:val="16"/>
                      <w:szCs w:val="16"/>
                    </w:rPr>
                    <w:t>FPC’s</w:t>
                  </w:r>
                  <w:proofErr w:type="spellEnd"/>
                  <w:r w:rsidRPr="00563BEB">
                    <w:rPr>
                      <w:rFonts w:ascii="Verdana" w:hAnsi="Verdana"/>
                      <w:sz w:val="16"/>
                      <w:szCs w:val="16"/>
                    </w:rPr>
                    <w:t xml:space="preserve"> breiden onvoldoende uit, omdat onder andere het financiële risico dat ze lopen te groot is. Dit is onwenselijk nu er een tekort aan tbs plaatsen in </w:t>
                  </w:r>
                  <w:proofErr w:type="spellStart"/>
                  <w:r w:rsidRPr="00563BEB">
                    <w:rPr>
                      <w:rFonts w:ascii="Verdana" w:hAnsi="Verdana"/>
                      <w:sz w:val="16"/>
                      <w:szCs w:val="16"/>
                    </w:rPr>
                    <w:t>FPC’s</w:t>
                  </w:r>
                  <w:proofErr w:type="spellEnd"/>
                  <w:r w:rsidRPr="00563BEB">
                    <w:rPr>
                      <w:rFonts w:ascii="Verdana" w:hAnsi="Verdana"/>
                      <w:sz w:val="16"/>
                      <w:szCs w:val="16"/>
                    </w:rPr>
                    <w:t xml:space="preserve"> is. Tevens voorspelt het prognosemodel justitiële ketens (PMJ) dat de behoefte aan tbs plaatsen de komende jaren naar verwachting verder zal oplopen. Het aanbod van tbs plaatsen blijft dus sterk achter op de vraag/behoefte aan tbs plaatsen. Dit heeft onder andere tot gevolg dat een aantal tbs-patiënten langer dan de opgelegde gevangenisstraf in het gevangeniswezen moet verblijven (als zogenoemde tbs-passant), terwijl in het gevangeniswezen de druk op beschikbare capaciteit reeds zeer hoog is. </w:t>
                  </w:r>
                </w:p>
                <w:p w:rsidRPr="00563BEB" w:rsidR="000A3227" w:rsidP="000A3227" w:rsidRDefault="00A32EBF" w14:paraId="2636826E" w14:textId="366C31EC">
                  <w:pPr>
                    <w:rPr>
                      <w:rFonts w:ascii="Verdana" w:hAnsi="Verdana"/>
                      <w:sz w:val="16"/>
                      <w:szCs w:val="16"/>
                    </w:rPr>
                  </w:pPr>
                  <w:r>
                    <w:rPr>
                      <w:rFonts w:ascii="Verdana" w:hAnsi="Verdana"/>
                      <w:sz w:val="16"/>
                      <w:szCs w:val="16"/>
                    </w:rPr>
                    <w:t>Daarnaast leidt u</w:t>
                  </w:r>
                  <w:r w:rsidRPr="00563BEB" w:rsidR="000A3227">
                    <w:rPr>
                      <w:rFonts w:ascii="Verdana" w:hAnsi="Verdana"/>
                      <w:sz w:val="16"/>
                      <w:szCs w:val="16"/>
                    </w:rPr>
                    <w:t xml:space="preserve">itbreiding en renovatie van tbs-capaciteit in de huidige situatie dus ook tot meer gevangeniscapaciteit, omdat </w:t>
                  </w:r>
                  <w:r>
                    <w:rPr>
                      <w:rFonts w:ascii="Verdana" w:hAnsi="Verdana"/>
                      <w:sz w:val="16"/>
                      <w:szCs w:val="16"/>
                    </w:rPr>
                    <w:t xml:space="preserve">hiermee </w:t>
                  </w:r>
                  <w:r w:rsidRPr="00563BEB" w:rsidR="000A3227">
                    <w:rPr>
                      <w:rFonts w:ascii="Verdana" w:hAnsi="Verdana"/>
                      <w:sz w:val="16"/>
                      <w:szCs w:val="16"/>
                    </w:rPr>
                    <w:t xml:space="preserve">de doorstroming vanuit het gevangeniswezen naar een tbs-kliniek wordt bevorderd. </w:t>
                  </w:r>
                </w:p>
                <w:p w:rsidRPr="00563BEB" w:rsidR="00962708" w:rsidRDefault="00962708" w14:paraId="24EAC6A6" w14:textId="77777777">
                  <w:pPr>
                    <w:rPr>
                      <w:rFonts w:ascii="Verdana" w:hAnsi="Verdana" w:cstheme="minorHAnsi"/>
                      <w:b/>
                      <w:sz w:val="16"/>
                      <w:szCs w:val="16"/>
                    </w:rPr>
                  </w:pPr>
                </w:p>
              </w:tc>
            </w:tr>
            <w:tr w:rsidRPr="00563BEB" w:rsidR="00962708" w:rsidTr="006573B2" w14:paraId="683110B9" w14:textId="77777777">
              <w:trPr>
                <w:trHeight w:val="55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0A3227" w:rsidR="00962708" w:rsidRDefault="00962708" w14:paraId="175479C0" w14:textId="77777777">
                  <w:pPr>
                    <w:pStyle w:val="TableParagraph"/>
                    <w:ind w:left="103" w:right="231"/>
                    <w:rPr>
                      <w:rFonts w:cstheme="minorHAnsi"/>
                      <w:b/>
                      <w:color w:val="FFFFFF"/>
                      <w:sz w:val="16"/>
                      <w:szCs w:val="16"/>
                    </w:rPr>
                  </w:pPr>
                </w:p>
                <w:p w:rsidR="00962708" w:rsidP="00D439E5" w:rsidRDefault="00962708" w14:paraId="1ECF896D" w14:textId="77777777">
                  <w:pPr>
                    <w:pStyle w:val="TableParagraph"/>
                    <w:numPr>
                      <w:ilvl w:val="0"/>
                      <w:numId w:val="1"/>
                    </w:numPr>
                    <w:ind w:right="231"/>
                    <w:rPr>
                      <w:rFonts w:cstheme="minorHAnsi"/>
                      <w:b/>
                      <w:sz w:val="16"/>
                      <w:szCs w:val="16"/>
                    </w:rPr>
                  </w:pPr>
                  <w:r>
                    <w:rPr>
                      <w:rFonts w:cstheme="minorHAnsi"/>
                      <w:b/>
                      <w:color w:val="FFFFFF"/>
                      <w:sz w:val="16"/>
                      <w:szCs w:val="16"/>
                    </w:rPr>
                    <w:t>Beleidsinstrument(en)</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563BEB" w:rsidR="00382FF1" w:rsidP="00382FF1" w:rsidRDefault="00382FF1" w14:paraId="39474004" w14:textId="0DAC6D64">
                  <w:pPr>
                    <w:rPr>
                      <w:rFonts w:ascii="Verdana" w:hAnsi="Verdana"/>
                      <w:sz w:val="16"/>
                      <w:szCs w:val="16"/>
                    </w:rPr>
                  </w:pPr>
                  <w:r w:rsidRPr="00563BEB">
                    <w:rPr>
                      <w:rFonts w:ascii="Verdana" w:hAnsi="Verdana"/>
                      <w:sz w:val="16"/>
                      <w:szCs w:val="16"/>
                    </w:rPr>
                    <w:t xml:space="preserve">Om het doel te bereiken wordt </w:t>
                  </w:r>
                  <w:r w:rsidR="00A32EBF">
                    <w:rPr>
                      <w:rFonts w:ascii="Verdana" w:hAnsi="Verdana"/>
                      <w:sz w:val="16"/>
                      <w:szCs w:val="16"/>
                    </w:rPr>
                    <w:t xml:space="preserve">conform het Regeerprogramma </w:t>
                  </w:r>
                  <w:r w:rsidRPr="00563BEB">
                    <w:rPr>
                      <w:rFonts w:ascii="Verdana" w:hAnsi="Verdana"/>
                      <w:sz w:val="16"/>
                      <w:szCs w:val="16"/>
                    </w:rPr>
                    <w:t xml:space="preserve">een garantieregeling </w:t>
                  </w:r>
                  <w:r w:rsidR="00A32EBF">
                    <w:rPr>
                      <w:rFonts w:ascii="Verdana" w:hAnsi="Verdana"/>
                      <w:sz w:val="16"/>
                      <w:szCs w:val="16"/>
                    </w:rPr>
                    <w:t>in het leven geroepen</w:t>
                  </w:r>
                  <w:r w:rsidRPr="00563BEB">
                    <w:rPr>
                      <w:rFonts w:ascii="Verdana" w:hAnsi="Verdana"/>
                      <w:sz w:val="16"/>
                      <w:szCs w:val="16"/>
                    </w:rPr>
                    <w:t xml:space="preserve">. </w:t>
                  </w:r>
                  <w:r w:rsidRPr="009C02F3" w:rsidR="009C02F3">
                    <w:rPr>
                      <w:rFonts w:ascii="Verdana" w:hAnsi="Verdana"/>
                      <w:sz w:val="16"/>
                      <w:szCs w:val="16"/>
                    </w:rPr>
                    <w:t xml:space="preserve">Door als overheid garant te staan voor een deel van de lening, kunnen </w:t>
                  </w:r>
                  <w:proofErr w:type="spellStart"/>
                  <w:r w:rsidRPr="009C02F3" w:rsidR="009C02F3">
                    <w:rPr>
                      <w:rFonts w:ascii="Verdana" w:hAnsi="Verdana"/>
                      <w:sz w:val="16"/>
                      <w:szCs w:val="16"/>
                    </w:rPr>
                    <w:t>FPC’s</w:t>
                  </w:r>
                  <w:proofErr w:type="spellEnd"/>
                  <w:r w:rsidRPr="009C02F3" w:rsidR="009C02F3">
                    <w:rPr>
                      <w:rFonts w:ascii="Verdana" w:hAnsi="Verdana"/>
                      <w:sz w:val="16"/>
                      <w:szCs w:val="16"/>
                    </w:rPr>
                    <w:t xml:space="preserve"> tegen een lagere rente een lening afsluiten voor de beoogde uitbreiding</w:t>
                  </w:r>
                  <w:r w:rsidR="009C02F3">
                    <w:rPr>
                      <w:rFonts w:ascii="Verdana" w:hAnsi="Verdana"/>
                      <w:sz w:val="16"/>
                      <w:szCs w:val="16"/>
                    </w:rPr>
                    <w:t xml:space="preserve"> of renovatie.</w:t>
                  </w:r>
                  <w:r w:rsidRPr="009C02F3" w:rsidR="009C02F3">
                    <w:rPr>
                      <w:rFonts w:ascii="Verdana" w:hAnsi="Verdana"/>
                      <w:sz w:val="20"/>
                      <w:szCs w:val="20"/>
                    </w:rPr>
                    <w:t xml:space="preserve"> </w:t>
                  </w:r>
                  <w:r w:rsidRPr="009C02F3" w:rsidR="009C02F3">
                    <w:rPr>
                      <w:rFonts w:ascii="Verdana" w:hAnsi="Verdana"/>
                      <w:sz w:val="16"/>
                      <w:szCs w:val="16"/>
                    </w:rPr>
                    <w:t xml:space="preserve">Dat maakt het voor particuliere </w:t>
                  </w:r>
                  <w:proofErr w:type="spellStart"/>
                  <w:r w:rsidRPr="009C02F3" w:rsidR="009C02F3">
                    <w:rPr>
                      <w:rFonts w:ascii="Verdana" w:hAnsi="Verdana"/>
                      <w:sz w:val="16"/>
                      <w:szCs w:val="16"/>
                    </w:rPr>
                    <w:t>FPC’s</w:t>
                  </w:r>
                  <w:proofErr w:type="spellEnd"/>
                  <w:r w:rsidRPr="009C02F3" w:rsidR="009C02F3">
                    <w:rPr>
                      <w:rFonts w:ascii="Verdana" w:hAnsi="Verdana"/>
                      <w:sz w:val="16"/>
                      <w:szCs w:val="16"/>
                    </w:rPr>
                    <w:t xml:space="preserve"> aantrekkelijker om te investeren</w:t>
                  </w:r>
                  <w:r w:rsidR="009C02F3">
                    <w:rPr>
                      <w:rFonts w:ascii="Verdana" w:hAnsi="Verdana"/>
                      <w:sz w:val="16"/>
                      <w:szCs w:val="16"/>
                    </w:rPr>
                    <w:t xml:space="preserve"> in meer capaciteit. </w:t>
                  </w:r>
                </w:p>
                <w:p w:rsidRPr="00563BEB" w:rsidR="00962708" w:rsidRDefault="00962708" w14:paraId="1AD7E9CD" w14:textId="77777777">
                  <w:pPr>
                    <w:rPr>
                      <w:rFonts w:ascii="Verdana" w:hAnsi="Verdana" w:cstheme="minorHAnsi"/>
                      <w:b/>
                      <w:sz w:val="16"/>
                      <w:szCs w:val="16"/>
                    </w:rPr>
                  </w:pPr>
                </w:p>
              </w:tc>
            </w:tr>
            <w:tr w:rsidR="00962708" w:rsidTr="006573B2" w14:paraId="06C477BE" w14:textId="77777777">
              <w:trPr>
                <w:trHeight w:val="645"/>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962708" w:rsidR="00962708" w:rsidRDefault="00962708" w14:paraId="3D5B6C56" w14:textId="77777777">
                  <w:pPr>
                    <w:pStyle w:val="TableParagraph"/>
                    <w:spacing w:before="144"/>
                    <w:ind w:left="198" w:right="506"/>
                    <w:rPr>
                      <w:rFonts w:cstheme="minorHAnsi"/>
                      <w:b/>
                      <w:sz w:val="16"/>
                      <w:szCs w:val="16"/>
                    </w:rPr>
                  </w:pPr>
                  <w:r>
                    <w:rPr>
                      <w:rFonts w:cstheme="minorHAnsi"/>
                      <w:b/>
                      <w:color w:val="FFFFFF"/>
                      <w:sz w:val="16"/>
                      <w:szCs w:val="16"/>
                    </w:rPr>
                    <w:t>3A. Financiële gevolgen voor het Rijk</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001015F3" w:rsidRDefault="00EC5021" w14:paraId="17126352" w14:textId="77777777">
                  <w:pPr>
                    <w:rPr>
                      <w:rFonts w:ascii="Verdana" w:hAnsi="Verdana"/>
                      <w:sz w:val="16"/>
                      <w:szCs w:val="16"/>
                    </w:rPr>
                  </w:pPr>
                  <w:proofErr w:type="spellStart"/>
                  <w:r w:rsidRPr="00563BEB">
                    <w:rPr>
                      <w:rFonts w:ascii="Verdana" w:hAnsi="Verdana"/>
                      <w:sz w:val="16"/>
                      <w:szCs w:val="16"/>
                    </w:rPr>
                    <w:t>JenV</w:t>
                  </w:r>
                  <w:proofErr w:type="spellEnd"/>
                  <w:r w:rsidRPr="00563BEB">
                    <w:rPr>
                      <w:rFonts w:ascii="Verdana" w:hAnsi="Verdana"/>
                      <w:sz w:val="16"/>
                      <w:szCs w:val="16"/>
                    </w:rPr>
                    <w:t xml:space="preserve"> kan garant staan voor in totaal €300 mln. aan leningen die </w:t>
                  </w:r>
                  <w:proofErr w:type="spellStart"/>
                  <w:r w:rsidRPr="00563BEB">
                    <w:rPr>
                      <w:rFonts w:ascii="Verdana" w:hAnsi="Verdana"/>
                      <w:sz w:val="16"/>
                      <w:szCs w:val="16"/>
                    </w:rPr>
                    <w:t>FPC’s</w:t>
                  </w:r>
                  <w:proofErr w:type="spellEnd"/>
                  <w:r w:rsidRPr="00563BEB">
                    <w:rPr>
                      <w:rFonts w:ascii="Verdana" w:hAnsi="Verdana"/>
                      <w:sz w:val="16"/>
                      <w:szCs w:val="16"/>
                    </w:rPr>
                    <w:t xml:space="preserve"> aangaan voor eventuele uitbreiding</w:t>
                  </w:r>
                  <w:r w:rsidR="00A32EBF">
                    <w:rPr>
                      <w:rFonts w:ascii="Verdana" w:hAnsi="Verdana"/>
                      <w:sz w:val="16"/>
                      <w:szCs w:val="16"/>
                    </w:rPr>
                    <w:t xml:space="preserve"> of renovatie</w:t>
                  </w:r>
                  <w:r w:rsidRPr="00563BEB">
                    <w:rPr>
                      <w:rFonts w:ascii="Verdana" w:hAnsi="Verdana"/>
                      <w:sz w:val="16"/>
                      <w:szCs w:val="16"/>
                    </w:rPr>
                    <w:t xml:space="preserve">. </w:t>
                  </w:r>
                </w:p>
                <w:p w:rsidRPr="001015F3" w:rsidR="001015F3" w:rsidP="001015F3" w:rsidRDefault="001015F3" w14:paraId="50329497" w14:textId="77777777">
                  <w:pPr>
                    <w:rPr>
                      <w:rFonts w:ascii="Verdana" w:hAnsi="Verdana"/>
                      <w:sz w:val="16"/>
                      <w:szCs w:val="16"/>
                    </w:rPr>
                  </w:pPr>
                  <w:r w:rsidRPr="001015F3">
                    <w:rPr>
                      <w:rFonts w:ascii="Verdana" w:hAnsi="Verdana"/>
                      <w:sz w:val="16"/>
                      <w:szCs w:val="16"/>
                    </w:rPr>
                    <w:t>Er wordt een disagio/premie bij de eindgebruiker (zorginstelling) bij het afsluiten van een garantstelling gevraagd van 0,25% (van de gemiddelde restschuld over de gehele looptijd van een lening).</w:t>
                  </w:r>
                </w:p>
                <w:p w:rsidRPr="001015F3" w:rsidR="00962708" w:rsidRDefault="001015F3" w14:paraId="775804FE" w14:textId="1DB671C3">
                  <w:pPr>
                    <w:rPr>
                      <w:rFonts w:ascii="Verdana" w:hAnsi="Verdana"/>
                      <w:sz w:val="16"/>
                      <w:szCs w:val="16"/>
                    </w:rPr>
                  </w:pPr>
                  <w:r w:rsidRPr="001015F3">
                    <w:rPr>
                      <w:rFonts w:ascii="Verdana" w:hAnsi="Verdana"/>
                      <w:sz w:val="16"/>
                      <w:szCs w:val="16"/>
                    </w:rPr>
                    <w:t xml:space="preserve">Deze premie is niet kostendekkend. Omdat er sprake is van </w:t>
                  </w:r>
                  <w:proofErr w:type="spellStart"/>
                  <w:r w:rsidRPr="001015F3">
                    <w:rPr>
                      <w:rFonts w:ascii="Verdana" w:hAnsi="Verdana"/>
                      <w:sz w:val="16"/>
                      <w:szCs w:val="16"/>
                    </w:rPr>
                    <w:t>marktfalen</w:t>
                  </w:r>
                  <w:proofErr w:type="spellEnd"/>
                  <w:r w:rsidRPr="001015F3">
                    <w:rPr>
                      <w:rFonts w:ascii="Verdana" w:hAnsi="Verdana"/>
                      <w:sz w:val="16"/>
                      <w:szCs w:val="16"/>
                    </w:rPr>
                    <w:t xml:space="preserve"> en de urgentie (</w:t>
                  </w:r>
                  <w:proofErr w:type="spellStart"/>
                  <w:r w:rsidRPr="001015F3">
                    <w:rPr>
                      <w:rFonts w:ascii="Verdana" w:hAnsi="Verdana"/>
                      <w:sz w:val="16"/>
                      <w:szCs w:val="16"/>
                    </w:rPr>
                    <w:t>capacitaire</w:t>
                  </w:r>
                  <w:proofErr w:type="spellEnd"/>
                  <w:r w:rsidRPr="001015F3">
                    <w:rPr>
                      <w:rFonts w:ascii="Verdana" w:hAnsi="Verdana"/>
                      <w:sz w:val="16"/>
                      <w:szCs w:val="16"/>
                    </w:rPr>
                    <w:t xml:space="preserve"> krapte in aantal tbs-plekken) zeer groot is, </w:t>
                  </w:r>
                  <w:r>
                    <w:rPr>
                      <w:rFonts w:ascii="Verdana" w:hAnsi="Verdana"/>
                      <w:sz w:val="16"/>
                      <w:szCs w:val="16"/>
                    </w:rPr>
                    <w:t>zal</w:t>
                  </w:r>
                  <w:r w:rsidRPr="001015F3">
                    <w:rPr>
                      <w:rFonts w:ascii="Verdana" w:hAnsi="Verdana"/>
                      <w:sz w:val="16"/>
                      <w:szCs w:val="16"/>
                    </w:rPr>
                    <w:t xml:space="preserve"> </w:t>
                  </w:r>
                  <w:proofErr w:type="spellStart"/>
                  <w:r w:rsidRPr="001015F3">
                    <w:rPr>
                      <w:rFonts w:ascii="Verdana" w:hAnsi="Verdana"/>
                      <w:sz w:val="16"/>
                      <w:szCs w:val="16"/>
                    </w:rPr>
                    <w:t>JenV</w:t>
                  </w:r>
                  <w:proofErr w:type="spellEnd"/>
                  <w:r w:rsidRPr="001015F3">
                    <w:rPr>
                      <w:rFonts w:ascii="Verdana" w:hAnsi="Verdana"/>
                      <w:sz w:val="16"/>
                      <w:szCs w:val="16"/>
                    </w:rPr>
                    <w:t xml:space="preserve"> €24 mln</w:t>
                  </w:r>
                  <w:r>
                    <w:rPr>
                      <w:rFonts w:ascii="Verdana" w:hAnsi="Verdana"/>
                      <w:sz w:val="16"/>
                      <w:szCs w:val="16"/>
                    </w:rPr>
                    <w:t>.</w:t>
                  </w:r>
                  <w:r w:rsidRPr="001015F3">
                    <w:rPr>
                      <w:rFonts w:ascii="Verdana" w:hAnsi="Verdana"/>
                      <w:sz w:val="16"/>
                      <w:szCs w:val="16"/>
                    </w:rPr>
                    <w:t xml:space="preserve"> uit eigen middelen in een begrotingsreserve afstorten die als risicovoorziening dient (bij €300 mln</w:t>
                  </w:r>
                  <w:r w:rsidR="00D16ACD">
                    <w:rPr>
                      <w:rFonts w:ascii="Verdana" w:hAnsi="Verdana"/>
                      <w:sz w:val="16"/>
                      <w:szCs w:val="16"/>
                    </w:rPr>
                    <w:t>.</w:t>
                  </w:r>
                  <w:r w:rsidRPr="001015F3">
                    <w:rPr>
                      <w:rFonts w:ascii="Verdana" w:hAnsi="Verdana"/>
                      <w:sz w:val="16"/>
                      <w:szCs w:val="16"/>
                    </w:rPr>
                    <w:t xml:space="preserve"> aan garantieverstrekking).   </w:t>
                  </w:r>
                </w:p>
              </w:tc>
            </w:tr>
            <w:tr w:rsidR="00962708" w:rsidTr="006573B2" w14:paraId="25AA4968" w14:textId="77777777">
              <w:trPr>
                <w:trHeight w:val="714"/>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962708" w:rsidR="00962708" w:rsidRDefault="00962708" w14:paraId="3A32640E" w14:textId="77777777">
                  <w:pPr>
                    <w:pStyle w:val="TableParagraph"/>
                    <w:spacing w:before="146"/>
                    <w:ind w:left="198" w:right="92"/>
                    <w:rPr>
                      <w:rFonts w:cstheme="minorHAnsi"/>
                      <w:b/>
                      <w:sz w:val="16"/>
                      <w:szCs w:val="16"/>
                    </w:rPr>
                  </w:pPr>
                  <w:r>
                    <w:rPr>
                      <w:rFonts w:cstheme="minorHAnsi"/>
                      <w:b/>
                      <w:color w:val="FFFFFF"/>
                      <w:sz w:val="16"/>
                      <w:szCs w:val="16"/>
                    </w:rPr>
                    <w:t xml:space="preserve">3B. Financiële gevolgen voor maatschappelijke sectoren </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563BEB" w:rsidR="00962708" w:rsidRDefault="00F67A20" w14:paraId="3A35311F" w14:textId="1EB9A87E">
                  <w:pPr>
                    <w:rPr>
                      <w:rFonts w:ascii="Verdana" w:hAnsi="Verdana" w:cstheme="minorHAnsi"/>
                      <w:b/>
                      <w:sz w:val="16"/>
                      <w:szCs w:val="16"/>
                    </w:rPr>
                  </w:pPr>
                  <w:r w:rsidRPr="00563BEB">
                    <w:rPr>
                      <w:rFonts w:ascii="Verdana" w:hAnsi="Verdana"/>
                      <w:sz w:val="16"/>
                      <w:szCs w:val="16"/>
                    </w:rPr>
                    <w:t>Met een garantstelling door het Rijk wordt</w:t>
                  </w:r>
                  <w:r w:rsidR="009C02F3">
                    <w:rPr>
                      <w:rFonts w:ascii="Verdana" w:hAnsi="Verdana"/>
                      <w:sz w:val="16"/>
                      <w:szCs w:val="16"/>
                    </w:rPr>
                    <w:t xml:space="preserve"> een van het financiële risico van een lening </w:t>
                  </w:r>
                  <w:proofErr w:type="spellStart"/>
                  <w:r w:rsidR="009C02F3">
                    <w:rPr>
                      <w:rFonts w:ascii="Verdana" w:hAnsi="Verdana"/>
                      <w:sz w:val="16"/>
                      <w:szCs w:val="16"/>
                    </w:rPr>
                    <w:t>gereduceer</w:t>
                  </w:r>
                  <w:proofErr w:type="spellEnd"/>
                  <w:r w:rsidR="009C02F3">
                    <w:rPr>
                      <w:rFonts w:ascii="Verdana" w:hAnsi="Verdana"/>
                      <w:sz w:val="16"/>
                      <w:szCs w:val="16"/>
                    </w:rPr>
                    <w:t>. Hierdoor zijn</w:t>
                  </w:r>
                  <w:r w:rsidRPr="00563BEB">
                    <w:rPr>
                      <w:rFonts w:ascii="Verdana" w:hAnsi="Verdana"/>
                      <w:sz w:val="16"/>
                      <w:szCs w:val="16"/>
                    </w:rPr>
                    <w:t xml:space="preserve"> banken </w:t>
                  </w:r>
                  <w:r w:rsidR="00A32EBF">
                    <w:rPr>
                      <w:rFonts w:ascii="Verdana" w:hAnsi="Verdana"/>
                      <w:sz w:val="16"/>
                      <w:szCs w:val="16"/>
                    </w:rPr>
                    <w:t>eerder</w:t>
                  </w:r>
                  <w:r w:rsidRPr="00563BEB">
                    <w:rPr>
                      <w:rFonts w:ascii="Verdana" w:hAnsi="Verdana"/>
                      <w:sz w:val="16"/>
                      <w:szCs w:val="16"/>
                    </w:rPr>
                    <w:t xml:space="preserve"> geneigd zijn een financiering af te geven en</w:t>
                  </w:r>
                  <w:r w:rsidR="009C02F3">
                    <w:rPr>
                      <w:rFonts w:ascii="Verdana" w:hAnsi="Verdana"/>
                      <w:sz w:val="16"/>
                      <w:szCs w:val="16"/>
                    </w:rPr>
                    <w:t xml:space="preserve"> is het voor aantrekkelijker om te investeren</w:t>
                  </w:r>
                  <w:r w:rsidRPr="00563BEB">
                    <w:rPr>
                      <w:rFonts w:ascii="Verdana" w:hAnsi="Verdana"/>
                      <w:sz w:val="16"/>
                      <w:szCs w:val="16"/>
                    </w:rPr>
                    <w:t xml:space="preserve"> in uitbreiding </w:t>
                  </w:r>
                  <w:r w:rsidR="009C02F3">
                    <w:rPr>
                      <w:rFonts w:ascii="Verdana" w:hAnsi="Verdana"/>
                      <w:sz w:val="16"/>
                      <w:szCs w:val="16"/>
                    </w:rPr>
                    <w:t>of</w:t>
                  </w:r>
                  <w:r w:rsidRPr="00563BEB">
                    <w:rPr>
                      <w:rFonts w:ascii="Verdana" w:hAnsi="Verdana"/>
                      <w:sz w:val="16"/>
                      <w:szCs w:val="16"/>
                    </w:rPr>
                    <w:t xml:space="preserve"> in stand houding van capaciteit. Bovendien kan door </w:t>
                  </w:r>
                  <w:proofErr w:type="spellStart"/>
                  <w:r w:rsidRPr="00563BEB">
                    <w:rPr>
                      <w:rFonts w:ascii="Verdana" w:hAnsi="Verdana"/>
                      <w:sz w:val="16"/>
                      <w:szCs w:val="16"/>
                    </w:rPr>
                    <w:t>FPC’s</w:t>
                  </w:r>
                  <w:proofErr w:type="spellEnd"/>
                  <w:r w:rsidRPr="00563BEB">
                    <w:rPr>
                      <w:rFonts w:ascii="Verdana" w:hAnsi="Verdana"/>
                      <w:sz w:val="16"/>
                      <w:szCs w:val="16"/>
                    </w:rPr>
                    <w:t xml:space="preserve"> door </w:t>
                  </w:r>
                  <w:r w:rsidRPr="00563BEB" w:rsidR="00036338">
                    <w:rPr>
                      <w:rFonts w:ascii="Verdana" w:hAnsi="Verdana"/>
                      <w:sz w:val="16"/>
                      <w:szCs w:val="16"/>
                    </w:rPr>
                    <w:t>de hiervoor genoemde risicobeperking</w:t>
                  </w:r>
                  <w:r w:rsidRPr="00563BEB">
                    <w:rPr>
                      <w:rFonts w:ascii="Verdana" w:hAnsi="Verdana"/>
                      <w:sz w:val="16"/>
                      <w:szCs w:val="16"/>
                    </w:rPr>
                    <w:t xml:space="preserve"> financiering verkregen worden tegen gunstigere voorwaarden. Een kenmerk van een garantieregeling is dat deze al direct aan de voorkant tot uiting komt indien klinieken capaciteit willen uitbreiden of in stand willen houden (</w:t>
                  </w:r>
                  <w:r w:rsidR="009C02F3">
                    <w:rPr>
                      <w:rFonts w:ascii="Verdana" w:hAnsi="Verdana"/>
                      <w:sz w:val="16"/>
                      <w:szCs w:val="16"/>
                    </w:rPr>
                    <w:t>schatting is ca.</w:t>
                  </w:r>
                  <w:r w:rsidRPr="00563BEB">
                    <w:rPr>
                      <w:rFonts w:ascii="Verdana" w:hAnsi="Verdana"/>
                      <w:sz w:val="16"/>
                      <w:szCs w:val="16"/>
                    </w:rPr>
                    <w:t xml:space="preserve"> 1% </w:t>
                  </w:r>
                  <w:r w:rsidR="009C02F3">
                    <w:rPr>
                      <w:rFonts w:ascii="Verdana" w:hAnsi="Verdana"/>
                      <w:sz w:val="16"/>
                      <w:szCs w:val="16"/>
                    </w:rPr>
                    <w:t>rentevoordeel</w:t>
                  </w:r>
                  <w:r w:rsidRPr="00563BEB">
                    <w:rPr>
                      <w:rFonts w:ascii="Verdana" w:hAnsi="Verdana"/>
                      <w:sz w:val="16"/>
                      <w:szCs w:val="16"/>
                    </w:rPr>
                    <w:t>)..</w:t>
                  </w:r>
                </w:p>
              </w:tc>
            </w:tr>
            <w:tr w:rsidR="00962708" w:rsidTr="006573B2" w14:paraId="18A7C0D0" w14:textId="77777777">
              <w:trPr>
                <w:trHeight w:val="766"/>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hideMark/>
                </w:tcPr>
                <w:p w:rsidR="00962708" w:rsidP="00D439E5" w:rsidRDefault="00962708" w14:paraId="10CED7C7" w14:textId="77777777">
                  <w:pPr>
                    <w:pStyle w:val="TableParagraph"/>
                    <w:numPr>
                      <w:ilvl w:val="0"/>
                      <w:numId w:val="2"/>
                    </w:numPr>
                    <w:spacing w:before="141"/>
                    <w:ind w:right="829"/>
                    <w:rPr>
                      <w:rFonts w:cstheme="minorHAnsi"/>
                      <w:b/>
                      <w:sz w:val="16"/>
                      <w:szCs w:val="16"/>
                      <w:lang w:val="en-US"/>
                    </w:rPr>
                  </w:pPr>
                  <w:r>
                    <w:rPr>
                      <w:rFonts w:cstheme="minorHAnsi"/>
                      <w:b/>
                      <w:color w:val="FFFFFF"/>
                      <w:sz w:val="16"/>
                      <w:szCs w:val="16"/>
                    </w:rPr>
                    <w:lastRenderedPageBreak/>
                    <w:t>Nagestreefde doeltreffendheid</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1015F3" w:rsidR="00962708" w:rsidRDefault="00563BEB" w14:paraId="6A389B39" w14:textId="18D86C0C">
                  <w:pPr>
                    <w:rPr>
                      <w:rStyle w:val="cf01"/>
                      <w:rFonts w:ascii="Verdana" w:hAnsi="Verdana"/>
                      <w:sz w:val="16"/>
                      <w:szCs w:val="16"/>
                    </w:rPr>
                  </w:pPr>
                  <w:r w:rsidRPr="00854240">
                    <w:rPr>
                      <w:rStyle w:val="cf01"/>
                      <w:rFonts w:ascii="Verdana" w:hAnsi="Verdana"/>
                      <w:sz w:val="16"/>
                      <w:szCs w:val="16"/>
                    </w:rPr>
                    <w:t xml:space="preserve">Met de garantstelling door het Rijk wordt een deel van het risico bij het afsluiten van een lening beperkt, waardoor banken </w:t>
                  </w:r>
                  <w:r w:rsidR="00A32EBF">
                    <w:rPr>
                      <w:rStyle w:val="cf01"/>
                      <w:rFonts w:ascii="Verdana" w:hAnsi="Verdana"/>
                      <w:sz w:val="16"/>
                      <w:szCs w:val="16"/>
                    </w:rPr>
                    <w:t>e</w:t>
                  </w:r>
                  <w:r w:rsidRPr="001015F3" w:rsidR="00A32EBF">
                    <w:rPr>
                      <w:rStyle w:val="cf01"/>
                      <w:rFonts w:ascii="Verdana" w:hAnsi="Verdana"/>
                      <w:sz w:val="16"/>
                      <w:szCs w:val="16"/>
                    </w:rPr>
                    <w:t>erder</w:t>
                  </w:r>
                  <w:r w:rsidRPr="00854240">
                    <w:rPr>
                      <w:rStyle w:val="cf01"/>
                      <w:rFonts w:ascii="Verdana" w:hAnsi="Verdana"/>
                      <w:sz w:val="16"/>
                      <w:szCs w:val="16"/>
                    </w:rPr>
                    <w:t xml:space="preserve"> geneigd zijn een financiering af te geven. Hierdoor is het</w:t>
                  </w:r>
                  <w:r w:rsidRPr="00854240" w:rsidR="00854240">
                    <w:rPr>
                      <w:rStyle w:val="cf01"/>
                      <w:rFonts w:ascii="Verdana" w:hAnsi="Verdana"/>
                      <w:sz w:val="16"/>
                      <w:szCs w:val="16"/>
                    </w:rPr>
                    <w:t xml:space="preserve"> ook</w:t>
                  </w:r>
                  <w:r w:rsidRPr="00854240">
                    <w:rPr>
                      <w:rStyle w:val="cf01"/>
                      <w:rFonts w:ascii="Verdana" w:hAnsi="Verdana"/>
                      <w:sz w:val="16"/>
                      <w:szCs w:val="16"/>
                    </w:rPr>
                    <w:t xml:space="preserve"> aantrekkelijker voor </w:t>
                  </w:r>
                  <w:r w:rsidR="000C573C">
                    <w:rPr>
                      <w:rStyle w:val="cf01"/>
                      <w:rFonts w:ascii="Verdana" w:hAnsi="Verdana"/>
                      <w:sz w:val="16"/>
                      <w:szCs w:val="16"/>
                    </w:rPr>
                    <w:t xml:space="preserve">particuliere </w:t>
                  </w:r>
                  <w:proofErr w:type="spellStart"/>
                  <w:r w:rsidRPr="00854240">
                    <w:rPr>
                      <w:rStyle w:val="cf01"/>
                      <w:rFonts w:ascii="Verdana" w:hAnsi="Verdana"/>
                      <w:sz w:val="16"/>
                      <w:szCs w:val="16"/>
                    </w:rPr>
                    <w:t>FPC’s</w:t>
                  </w:r>
                  <w:proofErr w:type="spellEnd"/>
                  <w:r w:rsidRPr="00854240">
                    <w:rPr>
                      <w:rStyle w:val="cf01"/>
                      <w:rFonts w:ascii="Verdana" w:hAnsi="Verdana"/>
                      <w:sz w:val="16"/>
                      <w:szCs w:val="16"/>
                    </w:rPr>
                    <w:t xml:space="preserve"> om te investeren in uitbreiding en in stand houding van capaciteit. De voorgestelde garantieregeling is derhalve naar verwachti</w:t>
                  </w:r>
                  <w:r w:rsidRPr="00854240" w:rsidR="00854240">
                    <w:rPr>
                      <w:rStyle w:val="cf01"/>
                      <w:rFonts w:ascii="Verdana" w:hAnsi="Verdana"/>
                      <w:sz w:val="16"/>
                      <w:szCs w:val="16"/>
                    </w:rPr>
                    <w:t>n</w:t>
                  </w:r>
                  <w:r w:rsidRPr="00854240">
                    <w:rPr>
                      <w:rStyle w:val="cf01"/>
                      <w:rFonts w:ascii="Verdana" w:hAnsi="Verdana"/>
                      <w:sz w:val="16"/>
                      <w:szCs w:val="16"/>
                    </w:rPr>
                    <w:t>g doeltreffend</w:t>
                  </w:r>
                  <w:r w:rsidRPr="00854240" w:rsidR="00854240">
                    <w:rPr>
                      <w:rStyle w:val="cf01"/>
                      <w:rFonts w:ascii="Verdana" w:hAnsi="Verdana"/>
                      <w:sz w:val="16"/>
                      <w:szCs w:val="16"/>
                    </w:rPr>
                    <w:t xml:space="preserve">. </w:t>
                  </w:r>
                  <w:r w:rsidR="001015F3">
                    <w:rPr>
                      <w:rStyle w:val="cf01"/>
                      <w:rFonts w:ascii="Verdana" w:hAnsi="Verdana"/>
                      <w:sz w:val="16"/>
                      <w:szCs w:val="16"/>
                    </w:rPr>
                    <w:t>D</w:t>
                  </w:r>
                  <w:r w:rsidRPr="001015F3" w:rsidR="001015F3">
                    <w:rPr>
                      <w:rStyle w:val="cf01"/>
                      <w:rFonts w:ascii="Verdana" w:hAnsi="Verdana"/>
                      <w:sz w:val="16"/>
                      <w:szCs w:val="16"/>
                    </w:rPr>
                    <w:t xml:space="preserve">it blijkt onder meer uit de evaluatie van het Waarborgfonds Zorg die een garantieregeling voor de reguliere zorg beheert.  </w:t>
                  </w:r>
                </w:p>
              </w:tc>
            </w:tr>
            <w:tr w:rsidR="00962708" w:rsidTr="006573B2" w14:paraId="2735E020"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360686" w:rsidR="00962708" w:rsidRDefault="00962708" w14:paraId="769C9CA3" w14:textId="77777777">
                  <w:pPr>
                    <w:pStyle w:val="TableParagraph"/>
                    <w:rPr>
                      <w:rFonts w:asciiTheme="minorHAnsi" w:hAnsiTheme="minorHAnsi" w:cstheme="minorHAnsi"/>
                      <w:i/>
                      <w:sz w:val="16"/>
                      <w:szCs w:val="16"/>
                    </w:rPr>
                  </w:pPr>
                </w:p>
                <w:p w:rsidR="00962708" w:rsidP="00D439E5" w:rsidRDefault="00962708" w14:paraId="71321871" w14:textId="77777777">
                  <w:pPr>
                    <w:pStyle w:val="TableParagraph"/>
                    <w:numPr>
                      <w:ilvl w:val="0"/>
                      <w:numId w:val="2"/>
                    </w:numPr>
                    <w:ind w:right="1066"/>
                    <w:rPr>
                      <w:rFonts w:cstheme="minorHAnsi"/>
                      <w:b/>
                      <w:sz w:val="16"/>
                      <w:szCs w:val="16"/>
                    </w:rPr>
                  </w:pPr>
                  <w:r>
                    <w:rPr>
                      <w:rFonts w:cstheme="minorHAnsi"/>
                      <w:b/>
                      <w:color w:val="FFFFFF"/>
                      <w:sz w:val="16"/>
                      <w:szCs w:val="16"/>
                    </w:rPr>
                    <w:t>Nagestreefde doelmatigheid</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1015F3" w:rsidR="001015F3" w:rsidP="001015F3" w:rsidRDefault="001015F3" w14:paraId="2F69C6DB" w14:textId="4B53CDE9">
                  <w:pPr>
                    <w:rPr>
                      <w:rStyle w:val="cf01"/>
                      <w:rFonts w:ascii="Verdana" w:hAnsi="Verdana"/>
                      <w:sz w:val="16"/>
                      <w:szCs w:val="16"/>
                    </w:rPr>
                  </w:pPr>
                  <w:r w:rsidRPr="001015F3">
                    <w:rPr>
                      <w:rStyle w:val="cf01"/>
                      <w:rFonts w:ascii="Verdana" w:hAnsi="Verdana"/>
                      <w:sz w:val="16"/>
                      <w:szCs w:val="16"/>
                    </w:rPr>
                    <w:t>Met dit instrument wordt gericht een deel van de problematiek aangepakt die binnen de forensische zorgsector speelt. Het is bij uitbreiding/renovatie van capaciteit en het daarvoor financiering zoeken een bewezen effectief instrument</w:t>
                  </w:r>
                  <w:r>
                    <w:rPr>
                      <w:rStyle w:val="cf01"/>
                      <w:rFonts w:ascii="Verdana" w:hAnsi="Verdana"/>
                      <w:sz w:val="16"/>
                      <w:szCs w:val="16"/>
                    </w:rPr>
                    <w:t xml:space="preserve">. </w:t>
                  </w:r>
                  <w:r w:rsidRPr="001015F3">
                    <w:rPr>
                      <w:rStyle w:val="cf01"/>
                      <w:rFonts w:ascii="Verdana" w:hAnsi="Verdana"/>
                      <w:sz w:val="16"/>
                      <w:szCs w:val="16"/>
                    </w:rPr>
                    <w:t xml:space="preserve">Uitvoering zal door een professionele partij worden gedaan die ervaring heeft met garantstellingen. </w:t>
                  </w:r>
                </w:p>
                <w:p w:rsidRPr="001015F3" w:rsidR="001015F3" w:rsidP="001015F3" w:rsidRDefault="001015F3" w14:paraId="07FE8911" w14:textId="77777777">
                  <w:pPr>
                    <w:rPr>
                      <w:rStyle w:val="cf01"/>
                      <w:rFonts w:ascii="Verdana" w:hAnsi="Verdana"/>
                      <w:sz w:val="16"/>
                      <w:szCs w:val="16"/>
                    </w:rPr>
                  </w:pPr>
                  <w:r w:rsidRPr="001015F3">
                    <w:rPr>
                      <w:rStyle w:val="cf01"/>
                      <w:rFonts w:ascii="Verdana" w:hAnsi="Verdana"/>
                      <w:sz w:val="16"/>
                      <w:szCs w:val="16"/>
                    </w:rPr>
                    <w:t xml:space="preserve">Naar verwachting zullen de uitvoeringskosten tussen € 200.000,- en € 350.000,- op jaarbasis liggen indien tot aan € 300 </w:t>
                  </w:r>
                  <w:proofErr w:type="spellStart"/>
                  <w:r w:rsidRPr="001015F3">
                    <w:rPr>
                      <w:rStyle w:val="cf01"/>
                      <w:rFonts w:ascii="Verdana" w:hAnsi="Verdana"/>
                      <w:sz w:val="16"/>
                      <w:szCs w:val="16"/>
                    </w:rPr>
                    <w:t>mln</w:t>
                  </w:r>
                  <w:proofErr w:type="spellEnd"/>
                  <w:r w:rsidRPr="001015F3">
                    <w:rPr>
                      <w:rStyle w:val="cf01"/>
                      <w:rFonts w:ascii="Verdana" w:hAnsi="Verdana"/>
                      <w:sz w:val="16"/>
                      <w:szCs w:val="16"/>
                    </w:rPr>
                    <w:t xml:space="preserve"> garant wordt gestaan. </w:t>
                  </w:r>
                </w:p>
                <w:p w:rsidRPr="001015F3" w:rsidR="00962708" w:rsidP="001015F3" w:rsidRDefault="00962708" w14:paraId="29E09160" w14:textId="4ADD0BEB">
                  <w:pPr>
                    <w:rPr>
                      <w:rStyle w:val="cf01"/>
                      <w:rFonts w:ascii="Verdana" w:hAnsi="Verdana"/>
                      <w:sz w:val="16"/>
                      <w:szCs w:val="16"/>
                    </w:rPr>
                  </w:pPr>
                </w:p>
              </w:tc>
            </w:tr>
            <w:tr w:rsidR="00962708" w:rsidTr="006573B2" w14:paraId="3E550EDF" w14:textId="77777777">
              <w:trPr>
                <w:trHeight w:val="788"/>
              </w:trPr>
              <w:tc>
                <w:tcPr>
                  <w:tcW w:w="3499" w:type="dxa"/>
                  <w:tcBorders>
                    <w:top w:val="single" w:color="FFFFFF" w:sz="4" w:space="0"/>
                    <w:left w:val="nil"/>
                    <w:bottom w:val="single" w:color="FFFFFF" w:sz="4" w:space="0"/>
                    <w:right w:val="single" w:color="FFFFFF" w:sz="4" w:space="0"/>
                  </w:tcBorders>
                  <w:shd w:val="clear" w:color="auto" w:fill="C45911" w:themeFill="accent2" w:themeFillShade="BF"/>
                </w:tcPr>
                <w:p w:rsidRPr="00076D6D" w:rsidR="00962708" w:rsidRDefault="00962708" w14:paraId="58E3F3B4" w14:textId="77777777">
                  <w:pPr>
                    <w:pStyle w:val="TableParagraph"/>
                    <w:ind w:left="103" w:right="1066"/>
                    <w:rPr>
                      <w:rFonts w:cstheme="minorHAnsi"/>
                      <w:b/>
                      <w:color w:val="FFFFFF"/>
                      <w:sz w:val="16"/>
                      <w:szCs w:val="16"/>
                    </w:rPr>
                  </w:pPr>
                </w:p>
                <w:p w:rsidR="00962708" w:rsidP="00D439E5" w:rsidRDefault="00962708" w14:paraId="3C09368E" w14:textId="77777777">
                  <w:pPr>
                    <w:pStyle w:val="TableParagraph"/>
                    <w:numPr>
                      <w:ilvl w:val="0"/>
                      <w:numId w:val="2"/>
                    </w:numPr>
                    <w:ind w:right="1066"/>
                    <w:rPr>
                      <w:rFonts w:cstheme="minorHAnsi"/>
                      <w:sz w:val="16"/>
                      <w:szCs w:val="16"/>
                    </w:rPr>
                  </w:pPr>
                  <w:r>
                    <w:rPr>
                      <w:rFonts w:cstheme="minorHAnsi"/>
                      <w:b/>
                      <w:color w:val="FFFFFF"/>
                      <w:sz w:val="16"/>
                      <w:szCs w:val="16"/>
                    </w:rPr>
                    <w:t>Evaluatieparagraaf</w:t>
                  </w:r>
                </w:p>
              </w:tc>
              <w:tc>
                <w:tcPr>
                  <w:tcW w:w="407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008F5195" w:rsidP="008F5195" w:rsidRDefault="00121E1B" w14:paraId="2A59C884" w14:textId="77777777">
                  <w:pPr>
                    <w:rPr>
                      <w:rFonts w:cstheme="minorBidi"/>
                      <w:sz w:val="18"/>
                      <w:szCs w:val="18"/>
                    </w:rPr>
                  </w:pPr>
                  <w:r w:rsidRPr="00854240">
                    <w:rPr>
                      <w:rStyle w:val="cf01"/>
                      <w:rFonts w:ascii="Verdana" w:hAnsi="Verdana"/>
                      <w:sz w:val="16"/>
                      <w:szCs w:val="16"/>
                    </w:rPr>
                    <w:t xml:space="preserve">Het voornemen is om het beheer van de garantieregeling uit te besteden aan een </w:t>
                  </w:r>
                  <w:r w:rsidR="008F5195">
                    <w:rPr>
                      <w:rStyle w:val="cf01"/>
                      <w:rFonts w:ascii="Verdana" w:hAnsi="Verdana"/>
                      <w:sz w:val="16"/>
                      <w:szCs w:val="16"/>
                    </w:rPr>
                    <w:t xml:space="preserve">externe en </w:t>
                  </w:r>
                  <w:proofErr w:type="spellStart"/>
                  <w:r w:rsidR="008F5195">
                    <w:rPr>
                      <w:rStyle w:val="cf01"/>
                      <w:rFonts w:ascii="Verdana" w:hAnsi="Verdana"/>
                      <w:sz w:val="16"/>
                      <w:szCs w:val="16"/>
                    </w:rPr>
                    <w:t>professionle</w:t>
                  </w:r>
                  <w:proofErr w:type="spellEnd"/>
                  <w:r w:rsidRPr="00854240">
                    <w:rPr>
                      <w:rStyle w:val="cf01"/>
                      <w:rFonts w:ascii="Verdana" w:hAnsi="Verdana"/>
                      <w:sz w:val="16"/>
                      <w:szCs w:val="16"/>
                    </w:rPr>
                    <w:t xml:space="preserve"> </w:t>
                  </w:r>
                  <w:proofErr w:type="spellStart"/>
                  <w:r w:rsidRPr="00854240">
                    <w:rPr>
                      <w:rStyle w:val="cf01"/>
                      <w:rFonts w:ascii="Verdana" w:hAnsi="Verdana"/>
                      <w:sz w:val="16"/>
                      <w:szCs w:val="16"/>
                    </w:rPr>
                    <w:t>beheerspartij</w:t>
                  </w:r>
                  <w:proofErr w:type="spellEnd"/>
                  <w:r w:rsidRPr="00854240">
                    <w:rPr>
                      <w:rStyle w:val="cf01"/>
                      <w:rFonts w:ascii="Verdana" w:hAnsi="Verdana"/>
                      <w:sz w:val="16"/>
                      <w:szCs w:val="16"/>
                    </w:rPr>
                    <w:t xml:space="preserve">. Deze beoordeelt jaarlijks de financiële positie van de </w:t>
                  </w:r>
                  <w:proofErr w:type="spellStart"/>
                  <w:r w:rsidRPr="00854240">
                    <w:rPr>
                      <w:rStyle w:val="cf01"/>
                      <w:rFonts w:ascii="Verdana" w:hAnsi="Verdana"/>
                      <w:sz w:val="16"/>
                      <w:szCs w:val="16"/>
                    </w:rPr>
                    <w:t>FPC’s</w:t>
                  </w:r>
                  <w:proofErr w:type="spellEnd"/>
                  <w:r w:rsidRPr="00854240">
                    <w:rPr>
                      <w:rStyle w:val="cf01"/>
                      <w:rFonts w:ascii="Verdana" w:hAnsi="Verdana"/>
                      <w:sz w:val="16"/>
                      <w:szCs w:val="16"/>
                    </w:rPr>
                    <w:t xml:space="preserve"> die gebruikmaken van de garantieregeling.</w:t>
                  </w:r>
                  <w:r w:rsidRPr="008F5195" w:rsidR="008F5195">
                    <w:rPr>
                      <w:rFonts w:cstheme="minorBidi"/>
                      <w:sz w:val="18"/>
                      <w:szCs w:val="18"/>
                    </w:rPr>
                    <w:t xml:space="preserve"> </w:t>
                  </w:r>
                </w:p>
                <w:p w:rsidRPr="008F5195" w:rsidR="008F5195" w:rsidP="008F5195" w:rsidRDefault="008E64E5" w14:paraId="7C752A59" w14:textId="6337B028">
                  <w:pPr>
                    <w:rPr>
                      <w:rStyle w:val="cf01"/>
                      <w:rFonts w:ascii="Verdana" w:hAnsi="Verdana"/>
                      <w:sz w:val="16"/>
                      <w:szCs w:val="16"/>
                    </w:rPr>
                  </w:pPr>
                  <w:r>
                    <w:rPr>
                      <w:rStyle w:val="cf01"/>
                      <w:rFonts w:ascii="Verdana" w:hAnsi="Verdana"/>
                      <w:sz w:val="16"/>
                      <w:szCs w:val="16"/>
                    </w:rPr>
                    <w:t>Volgens planning wordt de regeling in</w:t>
                  </w:r>
                  <w:r w:rsidRPr="008F5195" w:rsidR="008F5195">
                    <w:rPr>
                      <w:rStyle w:val="cf01"/>
                      <w:rFonts w:ascii="Verdana" w:hAnsi="Verdana"/>
                      <w:sz w:val="16"/>
                      <w:szCs w:val="16"/>
                    </w:rPr>
                    <w:t xml:space="preserve"> 2031 geëvalueerd door een onafhankelijke instantie</w:t>
                  </w:r>
                  <w:r w:rsidR="008F5195">
                    <w:rPr>
                      <w:rStyle w:val="cf01"/>
                      <w:rFonts w:ascii="Verdana" w:hAnsi="Verdana"/>
                      <w:sz w:val="16"/>
                      <w:szCs w:val="16"/>
                    </w:rPr>
                    <w:t xml:space="preserve"> in afstemming met het ministerie van Financiën</w:t>
                  </w:r>
                  <w:r w:rsidRPr="008F5195" w:rsidR="008F5195">
                    <w:rPr>
                      <w:rStyle w:val="cf01"/>
                      <w:rFonts w:ascii="Verdana" w:hAnsi="Verdana"/>
                      <w:sz w:val="16"/>
                      <w:szCs w:val="16"/>
                    </w:rPr>
                    <w:t xml:space="preserve">. Hoewel de effecten dan nog niet volledig in beeld zijn (omdat onder andere de afgegeven garantstelling lange looptijd heeft), zijn </w:t>
                  </w:r>
                  <w:r w:rsidR="008F5195">
                    <w:rPr>
                      <w:rStyle w:val="cf01"/>
                      <w:rFonts w:ascii="Verdana" w:hAnsi="Verdana"/>
                      <w:sz w:val="16"/>
                      <w:szCs w:val="16"/>
                    </w:rPr>
                    <w:t>de</w:t>
                  </w:r>
                  <w:r w:rsidRPr="008F5195" w:rsidR="008F5195">
                    <w:rPr>
                      <w:rStyle w:val="cf01"/>
                      <w:rFonts w:ascii="Verdana" w:hAnsi="Verdana"/>
                      <w:sz w:val="16"/>
                      <w:szCs w:val="16"/>
                    </w:rPr>
                    <w:t xml:space="preserve"> voorlopige inzichten en ervaringen relevant. </w:t>
                  </w:r>
                  <w:r w:rsidR="008F5195">
                    <w:rPr>
                      <w:rStyle w:val="cf01"/>
                      <w:rFonts w:ascii="Verdana" w:hAnsi="Verdana"/>
                      <w:sz w:val="16"/>
                      <w:szCs w:val="16"/>
                    </w:rPr>
                    <w:t>Waar nodig</w:t>
                  </w:r>
                  <w:r w:rsidRPr="008F5195" w:rsidR="008F5195">
                    <w:rPr>
                      <w:rStyle w:val="cf01"/>
                      <w:rFonts w:ascii="Verdana" w:hAnsi="Verdana"/>
                      <w:sz w:val="16"/>
                      <w:szCs w:val="16"/>
                    </w:rPr>
                    <w:t xml:space="preserve"> zullen deze leiden tot bijstelling van </w:t>
                  </w:r>
                  <w:r w:rsidR="008F5195">
                    <w:rPr>
                      <w:rStyle w:val="cf01"/>
                      <w:rFonts w:ascii="Verdana" w:hAnsi="Verdana"/>
                      <w:sz w:val="16"/>
                      <w:szCs w:val="16"/>
                    </w:rPr>
                    <w:t xml:space="preserve">de </w:t>
                  </w:r>
                  <w:r w:rsidRPr="008F5195" w:rsidR="008F5195">
                    <w:rPr>
                      <w:rStyle w:val="cf01"/>
                      <w:rFonts w:ascii="Verdana" w:hAnsi="Verdana"/>
                      <w:sz w:val="16"/>
                      <w:szCs w:val="16"/>
                    </w:rPr>
                    <w:t>regeling met oog op meer effect en efficiency.</w:t>
                  </w:r>
                </w:p>
                <w:p w:rsidRPr="00854240" w:rsidR="00962708" w:rsidRDefault="00962708" w14:paraId="487EAA38" w14:textId="35E6A3C6">
                  <w:pPr>
                    <w:rPr>
                      <w:rFonts w:cstheme="minorHAnsi"/>
                      <w:sz w:val="16"/>
                      <w:szCs w:val="16"/>
                    </w:rPr>
                  </w:pPr>
                </w:p>
              </w:tc>
            </w:tr>
          </w:tbl>
          <w:p w:rsidRPr="00121E1B" w:rsidR="00962708" w:rsidRDefault="00962708" w14:paraId="60284366" w14:textId="77777777">
            <w:pPr>
              <w:rPr>
                <w:rFonts w:ascii="Verdana" w:hAnsi="Verdana" w:cstheme="minorBidi"/>
                <w:sz w:val="18"/>
              </w:rPr>
            </w:pPr>
          </w:p>
        </w:tc>
      </w:tr>
    </w:tbl>
    <w:p w:rsidR="00B06701" w:rsidRDefault="00B06701" w14:paraId="57255C42" w14:textId="77777777"/>
    <w:p w:rsidRPr="004958FB" w:rsidR="004958FB" w:rsidP="004958FB" w:rsidRDefault="004958FB" w14:paraId="3E225C83" w14:textId="41B5CF3E">
      <w:pPr>
        <w:rPr>
          <w:rFonts w:ascii="Verdana" w:hAnsi="Verdana"/>
          <w:sz w:val="18"/>
          <w:szCs w:val="16"/>
        </w:rPr>
      </w:pPr>
    </w:p>
    <w:sectPr w:rsidRPr="004958FB" w:rsidR="004958FB"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0B05" w14:textId="77777777" w:rsidR="006B566F" w:rsidRDefault="006B566F" w:rsidP="00962708">
      <w:r>
        <w:separator/>
      </w:r>
    </w:p>
  </w:endnote>
  <w:endnote w:type="continuationSeparator" w:id="0">
    <w:p w14:paraId="339BAEE3" w14:textId="77777777" w:rsidR="006B566F" w:rsidRDefault="006B566F" w:rsidP="0096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FA61" w14:textId="77777777" w:rsidR="006B566F" w:rsidRDefault="006B566F" w:rsidP="00962708">
      <w:r>
        <w:separator/>
      </w:r>
    </w:p>
  </w:footnote>
  <w:footnote w:type="continuationSeparator" w:id="0">
    <w:p w14:paraId="071A0CB6" w14:textId="77777777" w:rsidR="006B566F" w:rsidRDefault="006B566F" w:rsidP="00962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F4173"/>
    <w:multiLevelType w:val="hybridMultilevel"/>
    <w:tmpl w:val="521ED24E"/>
    <w:lvl w:ilvl="0" w:tplc="8D7EB0EE">
      <w:start w:val="4"/>
      <w:numFmt w:val="decimal"/>
      <w:lvlText w:val="%1."/>
      <w:lvlJc w:val="left"/>
      <w:pPr>
        <w:ind w:left="720" w:hanging="360"/>
      </w:pPr>
      <w:rPr>
        <w:color w:val="FFFFFF"/>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40365E7"/>
    <w:multiLevelType w:val="hybridMultilevel"/>
    <w:tmpl w:val="730C3674"/>
    <w:lvl w:ilvl="0" w:tplc="57D4BBC8">
      <w:start w:val="1"/>
      <w:numFmt w:val="decimal"/>
      <w:lvlText w:val="%1."/>
      <w:lvlJc w:val="left"/>
      <w:pPr>
        <w:ind w:left="463" w:hanging="360"/>
      </w:pPr>
      <w:rPr>
        <w:color w:val="FFFFFF"/>
      </w:rPr>
    </w:lvl>
    <w:lvl w:ilvl="1" w:tplc="04130019">
      <w:start w:val="1"/>
      <w:numFmt w:val="lowerLetter"/>
      <w:lvlText w:val="%2."/>
      <w:lvlJc w:val="left"/>
      <w:pPr>
        <w:ind w:left="1183" w:hanging="360"/>
      </w:pPr>
    </w:lvl>
    <w:lvl w:ilvl="2" w:tplc="0413001B">
      <w:start w:val="1"/>
      <w:numFmt w:val="lowerRoman"/>
      <w:lvlText w:val="%3."/>
      <w:lvlJc w:val="right"/>
      <w:pPr>
        <w:ind w:left="1903" w:hanging="180"/>
      </w:pPr>
    </w:lvl>
    <w:lvl w:ilvl="3" w:tplc="0413000F">
      <w:start w:val="1"/>
      <w:numFmt w:val="decimal"/>
      <w:lvlText w:val="%4."/>
      <w:lvlJc w:val="left"/>
      <w:pPr>
        <w:ind w:left="2623" w:hanging="360"/>
      </w:pPr>
    </w:lvl>
    <w:lvl w:ilvl="4" w:tplc="04130019">
      <w:start w:val="1"/>
      <w:numFmt w:val="lowerLetter"/>
      <w:lvlText w:val="%5."/>
      <w:lvlJc w:val="left"/>
      <w:pPr>
        <w:ind w:left="3343" w:hanging="360"/>
      </w:pPr>
    </w:lvl>
    <w:lvl w:ilvl="5" w:tplc="0413001B">
      <w:start w:val="1"/>
      <w:numFmt w:val="lowerRoman"/>
      <w:lvlText w:val="%6."/>
      <w:lvlJc w:val="right"/>
      <w:pPr>
        <w:ind w:left="4063" w:hanging="180"/>
      </w:pPr>
    </w:lvl>
    <w:lvl w:ilvl="6" w:tplc="0413000F">
      <w:start w:val="1"/>
      <w:numFmt w:val="decimal"/>
      <w:lvlText w:val="%7."/>
      <w:lvlJc w:val="left"/>
      <w:pPr>
        <w:ind w:left="4783" w:hanging="360"/>
      </w:pPr>
    </w:lvl>
    <w:lvl w:ilvl="7" w:tplc="04130019">
      <w:start w:val="1"/>
      <w:numFmt w:val="lowerLetter"/>
      <w:lvlText w:val="%8."/>
      <w:lvlJc w:val="left"/>
      <w:pPr>
        <w:ind w:left="5503" w:hanging="360"/>
      </w:pPr>
    </w:lvl>
    <w:lvl w:ilvl="8" w:tplc="0413001B">
      <w:start w:val="1"/>
      <w:numFmt w:val="lowerRoman"/>
      <w:lvlText w:val="%9."/>
      <w:lvlJc w:val="right"/>
      <w:pPr>
        <w:ind w:left="6223" w:hanging="180"/>
      </w:pPr>
    </w:lvl>
  </w:abstractNum>
  <w:num w:numId="1" w16cid:durableId="796991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31886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08"/>
    <w:rsid w:val="00005B52"/>
    <w:rsid w:val="00036338"/>
    <w:rsid w:val="00076362"/>
    <w:rsid w:val="00076D6D"/>
    <w:rsid w:val="000A3227"/>
    <w:rsid w:val="000C573C"/>
    <w:rsid w:val="001015F3"/>
    <w:rsid w:val="00121E1B"/>
    <w:rsid w:val="001424B0"/>
    <w:rsid w:val="001E6A24"/>
    <w:rsid w:val="00350D65"/>
    <w:rsid w:val="00360686"/>
    <w:rsid w:val="00382FF1"/>
    <w:rsid w:val="004958FB"/>
    <w:rsid w:val="00503F9D"/>
    <w:rsid w:val="00563BEB"/>
    <w:rsid w:val="005D5F7A"/>
    <w:rsid w:val="00651D56"/>
    <w:rsid w:val="006544BB"/>
    <w:rsid w:val="006573B2"/>
    <w:rsid w:val="00660093"/>
    <w:rsid w:val="00663FE5"/>
    <w:rsid w:val="006A3443"/>
    <w:rsid w:val="006B566F"/>
    <w:rsid w:val="00792DA7"/>
    <w:rsid w:val="0084513F"/>
    <w:rsid w:val="00854240"/>
    <w:rsid w:val="008E64E5"/>
    <w:rsid w:val="008F5195"/>
    <w:rsid w:val="00962708"/>
    <w:rsid w:val="009C02F3"/>
    <w:rsid w:val="00A02C37"/>
    <w:rsid w:val="00A32EBF"/>
    <w:rsid w:val="00AF57E0"/>
    <w:rsid w:val="00AF637E"/>
    <w:rsid w:val="00B030DF"/>
    <w:rsid w:val="00B06701"/>
    <w:rsid w:val="00B10060"/>
    <w:rsid w:val="00B331EA"/>
    <w:rsid w:val="00D16ACD"/>
    <w:rsid w:val="00D770EB"/>
    <w:rsid w:val="00E10303"/>
    <w:rsid w:val="00EB78FB"/>
    <w:rsid w:val="00EC5021"/>
    <w:rsid w:val="00F6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E8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2708"/>
    <w:pPr>
      <w:spacing w:after="0" w:line="240" w:lineRule="auto"/>
    </w:pPr>
    <w:rPr>
      <w:rFonts w:ascii="Calibri" w:hAnsi="Calibri" w:cs="Calibri"/>
      <w:sz w:val="22"/>
      <w:lang w:val="nl-NL"/>
    </w:rPr>
  </w:style>
  <w:style w:type="paragraph" w:styleId="Kop2">
    <w:name w:val="heading 2"/>
    <w:basedOn w:val="Standaard"/>
    <w:next w:val="Standaard"/>
    <w:link w:val="Kop2Char"/>
    <w:uiPriority w:val="9"/>
    <w:unhideWhenUsed/>
    <w:qFormat/>
    <w:rsid w:val="006573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leParagraph">
    <w:name w:val="Table Paragraph"/>
    <w:basedOn w:val="Standaard"/>
    <w:uiPriority w:val="1"/>
    <w:qFormat/>
    <w:rsid w:val="00962708"/>
    <w:pPr>
      <w:widowControl w:val="0"/>
      <w:autoSpaceDE w:val="0"/>
      <w:autoSpaceDN w:val="0"/>
    </w:pPr>
    <w:rPr>
      <w:rFonts w:ascii="Verdana" w:eastAsia="Verdana" w:hAnsi="Verdana" w:cs="Verdana"/>
    </w:rPr>
  </w:style>
  <w:style w:type="table" w:styleId="Tabelraster">
    <w:name w:val="Table Grid"/>
    <w:basedOn w:val="Standaardtabel"/>
    <w:uiPriority w:val="39"/>
    <w:rsid w:val="009627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62708"/>
    <w:pPr>
      <w:widowControl w:val="0"/>
      <w:autoSpaceDE w:val="0"/>
      <w:autoSpaceDN w:val="0"/>
      <w:spacing w:after="0" w:line="240" w:lineRule="auto"/>
    </w:pPr>
    <w:rPr>
      <w:rFonts w:asciiTheme="minorHAnsi" w:hAnsiTheme="minorHAnsi"/>
      <w:sz w:val="22"/>
    </w:rPr>
    <w:tblPr>
      <w:tblCellMar>
        <w:top w:w="0" w:type="dxa"/>
        <w:left w:w="0" w:type="dxa"/>
        <w:bottom w:w="0" w:type="dxa"/>
        <w:right w:w="0" w:type="dxa"/>
      </w:tblCellMar>
    </w:tblPr>
  </w:style>
  <w:style w:type="paragraph" w:customStyle="1" w:styleId="Default">
    <w:name w:val="Default"/>
    <w:rsid w:val="004958FB"/>
    <w:pPr>
      <w:autoSpaceDE w:val="0"/>
      <w:autoSpaceDN w:val="0"/>
      <w:adjustRightInd w:val="0"/>
      <w:spacing w:after="0" w:line="240" w:lineRule="auto"/>
    </w:pPr>
    <w:rPr>
      <w:rFonts w:ascii="RijksoverheidSansText" w:hAnsi="RijksoverheidSansText" w:cs="RijksoverheidSansText"/>
      <w:color w:val="000000"/>
      <w:sz w:val="24"/>
      <w:szCs w:val="24"/>
      <w:lang w:val="nl-NL"/>
    </w:rPr>
  </w:style>
  <w:style w:type="character" w:customStyle="1" w:styleId="A8">
    <w:name w:val="A8"/>
    <w:uiPriority w:val="99"/>
    <w:rsid w:val="004958FB"/>
    <w:rPr>
      <w:rFonts w:cs="RijksoverheidSansText"/>
      <w:color w:val="00558D"/>
      <w:sz w:val="16"/>
      <w:szCs w:val="16"/>
      <w:u w:val="single"/>
    </w:rPr>
  </w:style>
  <w:style w:type="character" w:customStyle="1" w:styleId="A6">
    <w:name w:val="A6"/>
    <w:uiPriority w:val="99"/>
    <w:rsid w:val="004958FB"/>
    <w:rPr>
      <w:rFonts w:cs="RijksoverheidSansText"/>
      <w:color w:val="000000"/>
      <w:sz w:val="16"/>
      <w:szCs w:val="16"/>
    </w:rPr>
  </w:style>
  <w:style w:type="character" w:customStyle="1" w:styleId="Kop2Char">
    <w:name w:val="Kop 2 Char"/>
    <w:basedOn w:val="Standaardalinea-lettertype"/>
    <w:link w:val="Kop2"/>
    <w:uiPriority w:val="9"/>
    <w:rsid w:val="006573B2"/>
    <w:rPr>
      <w:rFonts w:asciiTheme="majorHAnsi" w:eastAsiaTheme="majorEastAsia" w:hAnsiTheme="majorHAnsi" w:cstheme="majorBidi"/>
      <w:color w:val="2E74B5" w:themeColor="accent1" w:themeShade="BF"/>
      <w:sz w:val="26"/>
      <w:szCs w:val="26"/>
      <w:lang w:val="nl-NL"/>
    </w:rPr>
  </w:style>
  <w:style w:type="character" w:customStyle="1" w:styleId="cf01">
    <w:name w:val="cf01"/>
    <w:basedOn w:val="Standaardalinea-lettertype"/>
    <w:rsid w:val="00F67A20"/>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563BEB"/>
    <w:rPr>
      <w:sz w:val="16"/>
      <w:szCs w:val="16"/>
    </w:rPr>
  </w:style>
  <w:style w:type="paragraph" w:styleId="Tekstopmerking">
    <w:name w:val="annotation text"/>
    <w:basedOn w:val="Standaard"/>
    <w:link w:val="TekstopmerkingChar"/>
    <w:uiPriority w:val="99"/>
    <w:unhideWhenUsed/>
    <w:rsid w:val="00563BEB"/>
    <w:pPr>
      <w:spacing w:after="160"/>
    </w:pPr>
    <w:rPr>
      <w:rFonts w:asciiTheme="minorHAnsi" w:hAnsiTheme="minorHAnsi" w:cstheme="minorBidi"/>
      <w:kern w:val="2"/>
      <w:sz w:val="20"/>
      <w:szCs w:val="20"/>
      <w14:ligatures w14:val="standardContextual"/>
    </w:rPr>
  </w:style>
  <w:style w:type="character" w:customStyle="1" w:styleId="TekstopmerkingChar">
    <w:name w:val="Tekst opmerking Char"/>
    <w:basedOn w:val="Standaardalinea-lettertype"/>
    <w:link w:val="Tekstopmerking"/>
    <w:uiPriority w:val="99"/>
    <w:rsid w:val="00563BEB"/>
    <w:rPr>
      <w:rFonts w:asciiTheme="minorHAnsi" w:hAnsiTheme="minorHAnsi"/>
      <w:kern w:val="2"/>
      <w:sz w:val="20"/>
      <w:szCs w:val="20"/>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360686"/>
    <w:pPr>
      <w:spacing w:after="0"/>
    </w:pPr>
    <w:rPr>
      <w:rFonts w:ascii="Calibri" w:hAnsi="Calibri" w:cs="Calibri"/>
      <w:b/>
      <w:bCs/>
      <w:kern w:val="0"/>
      <w14:ligatures w14:val="none"/>
    </w:rPr>
  </w:style>
  <w:style w:type="character" w:customStyle="1" w:styleId="OnderwerpvanopmerkingChar">
    <w:name w:val="Onderwerp van opmerking Char"/>
    <w:basedOn w:val="TekstopmerkingChar"/>
    <w:link w:val="Onderwerpvanopmerking"/>
    <w:uiPriority w:val="99"/>
    <w:semiHidden/>
    <w:rsid w:val="00360686"/>
    <w:rPr>
      <w:rFonts w:ascii="Calibri" w:hAnsi="Calibri" w:cs="Calibri"/>
      <w:b/>
      <w:bCs/>
      <w:kern w:val="2"/>
      <w:sz w:val="20"/>
      <w:szCs w:val="20"/>
      <w:lang w:val="nl-NL"/>
      <w14:ligatures w14:val="standardContextual"/>
    </w:rPr>
  </w:style>
  <w:style w:type="paragraph" w:styleId="Geenafstand">
    <w:name w:val="No Spacing"/>
    <w:uiPriority w:val="1"/>
    <w:qFormat/>
    <w:rsid w:val="008F5195"/>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728</ap:Words>
  <ap:Characters>4007</ap:Characters>
  <ap:DocSecurity>0</ap:DocSecurity>
  <ap:Lines>33</ap:Lines>
  <ap:Paragraphs>9</ap:Paragraphs>
  <ap:ScaleCrop>false</ap:ScaleCrop>
  <ap:LinksUpToDate>false</ap:LinksUpToDate>
  <ap:CharactersWithSpaces>4726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2025-06-30T13:52:00.0000000Z</dcterms:created>
  <dcterms:modified xsi:type="dcterms:W3CDTF">2025-06-30T13:52:00.0000000Z</dcterms:modified>
  <version/>
  <category/>
</coreProperties>
</file>