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E1C" w:rsidRDefault="00183A6B" w14:paraId="3DC79993" w14:textId="77777777">
      <w:r w:rsidRPr="00183A6B">
        <w:t>29544</w:t>
      </w:r>
      <w:r w:rsidR="002C3E1C">
        <w:tab/>
      </w:r>
      <w:r w:rsidR="002C3E1C">
        <w:tab/>
      </w:r>
      <w:r w:rsidR="002C3E1C">
        <w:tab/>
        <w:t>Arbeidsmarktbeleid</w:t>
      </w:r>
    </w:p>
    <w:p w:rsidR="002C3E1C" w:rsidP="002C3E1C" w:rsidRDefault="002C3E1C" w14:paraId="0ADB1558" w14:textId="5AE3A32F">
      <w:pPr>
        <w:ind w:left="2124" w:hanging="2124"/>
      </w:pPr>
      <w:r>
        <w:t xml:space="preserve">Nr. </w:t>
      </w:r>
      <w:r w:rsidRPr="00183A6B">
        <w:t>1282</w:t>
      </w:r>
      <w:r>
        <w:tab/>
      </w:r>
      <w:r>
        <w:rPr>
          <w:sz w:val="24"/>
        </w:rPr>
        <w:t>Brief van de</w:t>
      </w:r>
      <w:r>
        <w:t xml:space="preserve"> minister en </w:t>
      </w:r>
      <w:r w:rsidRPr="009B5FE1">
        <w:rPr>
          <w:sz w:val="24"/>
          <w:szCs w:val="24"/>
        </w:rPr>
        <w:t>staatssecretaris van Sociale Zaken en Werkgelegenheid</w:t>
      </w:r>
      <w:r>
        <w:tab/>
      </w:r>
    </w:p>
    <w:p w:rsidR="002C3E1C" w:rsidP="002C3E1C" w:rsidRDefault="002C3E1C" w14:paraId="6F4246F1" w14:textId="08C155E0">
      <w:pPr>
        <w:ind w:left="2124" w:hanging="2124"/>
      </w:pPr>
      <w:r w:rsidRPr="00CA1499">
        <w:rPr>
          <w:sz w:val="24"/>
          <w:szCs w:val="24"/>
        </w:rPr>
        <w:t>Aan de Voorzitter van de Tweede Kamer der Staten-Generaal</w:t>
      </w:r>
    </w:p>
    <w:p w:rsidRPr="00D950EC" w:rsidR="002C3E1C" w:rsidP="002C3E1C" w:rsidRDefault="002C3E1C" w14:paraId="60FF9E16" w14:textId="280B8ED9">
      <w:pPr>
        <w:ind w:left="2124" w:hanging="2124"/>
      </w:pPr>
      <w:r>
        <w:t>Den Haag, 1 juli 2025</w:t>
      </w:r>
    </w:p>
    <w:p w:rsidR="00D950EC" w:rsidP="00D950EC" w:rsidRDefault="00D950EC" w14:paraId="034DA73C" w14:textId="77777777">
      <w:pPr>
        <w:rPr>
          <w:b/>
          <w:bCs/>
        </w:rPr>
      </w:pPr>
    </w:p>
    <w:p w:rsidRPr="00E56CB0" w:rsidR="00D950EC" w:rsidP="00D950EC" w:rsidRDefault="00D950EC" w14:paraId="5DA8902E" w14:textId="6A636CB1">
      <w:pPr>
        <w:rPr>
          <w:b/>
          <w:bCs/>
        </w:rPr>
      </w:pPr>
      <w:r w:rsidRPr="00E56CB0">
        <w:rPr>
          <w:b/>
          <w:bCs/>
        </w:rPr>
        <w:t>Inleiding</w:t>
      </w:r>
    </w:p>
    <w:p w:rsidRPr="00451EB6" w:rsidR="00D950EC" w:rsidP="00D950EC" w:rsidRDefault="00D950EC" w14:paraId="26B0221C" w14:textId="77777777">
      <w:r w:rsidRPr="009E18BD">
        <w:t xml:space="preserve">Bij deze brief ontvangt u het evaluatieonderzoek van Regioplan naar de effecten van een tweetal maatregelen in de Ziektewet en de Wet </w:t>
      </w:r>
      <w:proofErr w:type="spellStart"/>
      <w:r w:rsidRPr="009E18BD">
        <w:t>arbeidsongeschiktheids</w:t>
      </w:r>
      <w:r>
        <w:t>-</w:t>
      </w:r>
      <w:r w:rsidRPr="009E18BD">
        <w:t>voorziening</w:t>
      </w:r>
      <w:proofErr w:type="spellEnd"/>
      <w:r w:rsidRPr="009E18BD">
        <w:t xml:space="preserve"> jonggehandicapten (Wajong) op de feitelijke inkomenspositie en de arbeidsparticipatie van de personen waarop de maatregelen effect hebben. De</w:t>
      </w:r>
      <w:r>
        <w:t xml:space="preserve"> Eerste Kamer heeft middels</w:t>
      </w:r>
      <w:r w:rsidRPr="009E18BD">
        <w:t xml:space="preserve"> </w:t>
      </w:r>
      <w:r>
        <w:t xml:space="preserve">de </w:t>
      </w:r>
      <w:r w:rsidRPr="009E18BD">
        <w:t>motie Strik</w:t>
      </w:r>
      <w:r>
        <w:t xml:space="preserve"> c.s.</w:t>
      </w:r>
      <w:r w:rsidRPr="009E18BD">
        <w:rPr>
          <w:vertAlign w:val="superscript"/>
        </w:rPr>
        <w:footnoteReference w:id="1"/>
      </w:r>
      <w:r w:rsidRPr="009E18BD">
        <w:t xml:space="preserve"> om dit evaluatieonderzoek gevraagd.</w:t>
      </w:r>
      <w:r>
        <w:t xml:space="preserve"> D</w:t>
      </w:r>
      <w:r w:rsidRPr="00451EB6">
        <w:t xml:space="preserve">eze brief </w:t>
      </w:r>
      <w:r>
        <w:t xml:space="preserve">gaat </w:t>
      </w:r>
      <w:r w:rsidRPr="00451EB6">
        <w:t>in op de belangrijkste uitkomsten van het onderzoek.</w:t>
      </w:r>
    </w:p>
    <w:p w:rsidR="00D950EC" w:rsidP="00D950EC" w:rsidRDefault="00D950EC" w14:paraId="4E194724" w14:textId="77777777"/>
    <w:p w:rsidRPr="00451EB6" w:rsidR="00D950EC" w:rsidP="00D950EC" w:rsidRDefault="00D950EC" w14:paraId="3ACB080B" w14:textId="77777777">
      <w:pPr>
        <w:rPr>
          <w:b/>
          <w:bCs/>
          <w:i/>
          <w:iCs/>
        </w:rPr>
      </w:pPr>
      <w:r w:rsidRPr="00451EB6">
        <w:rPr>
          <w:b/>
          <w:bCs/>
        </w:rPr>
        <w:t>Ziektewet</w:t>
      </w:r>
    </w:p>
    <w:p w:rsidRPr="00381A93" w:rsidR="00D950EC" w:rsidP="00D950EC" w:rsidRDefault="00D950EC" w14:paraId="1A007147" w14:textId="77777777">
      <w:pPr>
        <w:rPr>
          <w:i/>
          <w:iCs/>
        </w:rPr>
      </w:pPr>
      <w:r>
        <w:rPr>
          <w:i/>
          <w:iCs/>
        </w:rPr>
        <w:t>Toelichting maatregel</w:t>
      </w:r>
    </w:p>
    <w:p w:rsidR="00D950EC" w:rsidP="00D950EC" w:rsidRDefault="00D950EC" w14:paraId="1E067E1F" w14:textId="77777777">
      <w:r w:rsidRPr="009E18BD">
        <w:t xml:space="preserve">Mensen die </w:t>
      </w:r>
      <w:r>
        <w:t>een</w:t>
      </w:r>
      <w:r w:rsidRPr="009E18BD">
        <w:t xml:space="preserve"> Ziektewet</w:t>
      </w:r>
      <w:r>
        <w:t>uitkering krijgen,</w:t>
      </w:r>
      <w:r w:rsidRPr="009E18BD">
        <w:t xml:space="preserve"> betalen </w:t>
      </w:r>
      <w:r>
        <w:t>inkomstenbelasting</w:t>
      </w:r>
      <w:r w:rsidRPr="009E18BD">
        <w:t xml:space="preserve"> over de</w:t>
      </w:r>
      <w:r>
        <w:t>ze</w:t>
      </w:r>
      <w:r w:rsidRPr="009E18BD">
        <w:t xml:space="preserve"> uitkering. Tot 1 januari 2020 </w:t>
      </w:r>
      <w:r>
        <w:t xml:space="preserve">hadden mensen die een Ziektewetuitkering ontvingen en geen werkgever hadden, recht op de </w:t>
      </w:r>
      <w:r w:rsidRPr="009E18BD">
        <w:t>arbeidskorting en de Inkomensafhankelijke Combinatiekorting (IACK)</w:t>
      </w:r>
      <w:r>
        <w:t xml:space="preserve"> over hun Ziektewetuitkering</w:t>
      </w:r>
      <w:r w:rsidRPr="009E18BD">
        <w:t xml:space="preserve">. Mensen die na 1 januari 2020 de Ziektewet instroomden en geen werkgever hebben, </w:t>
      </w:r>
      <w:r>
        <w:t>hebben geen recht meer op</w:t>
      </w:r>
      <w:r w:rsidRPr="009E18BD">
        <w:t xml:space="preserve"> deze </w:t>
      </w:r>
      <w:r>
        <w:t>heffingskortingen over hun Ziektewetuitkering</w:t>
      </w:r>
      <w:r w:rsidRPr="009E18BD">
        <w:t>.</w:t>
      </w:r>
      <w:r w:rsidRPr="005E70A0">
        <w:t xml:space="preserve"> </w:t>
      </w:r>
      <w:r w:rsidRPr="009E18BD">
        <w:t xml:space="preserve">Dit </w:t>
      </w:r>
      <w:r>
        <w:t xml:space="preserve">betekent dat de loonheffing over hun Ziektewetuitkering hoger wordt en zij </w:t>
      </w:r>
      <w:r w:rsidRPr="009E18BD">
        <w:t>dus netto een lager bedrag over</w:t>
      </w:r>
      <w:r>
        <w:t>houden</w:t>
      </w:r>
      <w:r w:rsidRPr="009E18BD">
        <w:t>.</w:t>
      </w:r>
      <w:r w:rsidRPr="005E70A0">
        <w:t xml:space="preserve"> Hiermee werd een inconsistentie </w:t>
      </w:r>
      <w:r>
        <w:t>tussen de Ziektewet en</w:t>
      </w:r>
      <w:r w:rsidRPr="005E70A0">
        <w:t xml:space="preserve"> de Werkloosheidswet opgeheven</w:t>
      </w:r>
      <w:r w:rsidRPr="002A3E27">
        <w:t>.</w:t>
      </w:r>
      <w:r w:rsidRPr="002A3E27">
        <w:rPr>
          <w:vertAlign w:val="superscript"/>
        </w:rPr>
        <w:footnoteReference w:id="2"/>
      </w:r>
      <w:r>
        <w:t xml:space="preserve"> Bij een uitkering op grond van de Werkloosheidswet was er namelijk al geen recht op d</w:t>
      </w:r>
      <w:r w:rsidRPr="005E70A0">
        <w:t>e arbeidskorting en IACK</w:t>
      </w:r>
      <w:r w:rsidRPr="001670AA">
        <w:t xml:space="preserve">. </w:t>
      </w:r>
    </w:p>
    <w:p w:rsidR="00D950EC" w:rsidP="00D950EC" w:rsidRDefault="00D950EC" w14:paraId="7A21301E" w14:textId="77777777"/>
    <w:p w:rsidR="00D950EC" w:rsidP="00D950EC" w:rsidRDefault="00D950EC" w14:paraId="663FEC54" w14:textId="77777777">
      <w:r w:rsidRPr="001670AA">
        <w:t>In</w:t>
      </w:r>
      <w:r w:rsidRPr="009E18BD">
        <w:t xml:space="preserve"> het onderzoek heeft Regioplan onderzocht wat </w:t>
      </w:r>
      <w:r>
        <w:t>bovenstaande maatregelen</w:t>
      </w:r>
      <w:r w:rsidRPr="009E18BD">
        <w:t xml:space="preserve"> beteken</w:t>
      </w:r>
      <w:r>
        <w:t>en</w:t>
      </w:r>
      <w:r w:rsidRPr="009E18BD">
        <w:t xml:space="preserve"> voor de netto</w:t>
      </w:r>
      <w:r>
        <w:t>-</w:t>
      </w:r>
      <w:r w:rsidRPr="009E18BD">
        <w:t>inkomenspositie en de arbeidsparticipatie van</w:t>
      </w:r>
      <w:r>
        <w:t xml:space="preserve"> deze mensen</w:t>
      </w:r>
      <w:r w:rsidRPr="009E18BD">
        <w:t xml:space="preserve">. </w:t>
      </w:r>
    </w:p>
    <w:p w:rsidR="00D950EC" w:rsidP="00D950EC" w:rsidRDefault="00D950EC" w14:paraId="3D5A2F0D" w14:textId="77777777"/>
    <w:p w:rsidRPr="00381A93" w:rsidR="00D950EC" w:rsidP="00D950EC" w:rsidRDefault="00D950EC" w14:paraId="47CBEC13" w14:textId="77777777">
      <w:pPr>
        <w:rPr>
          <w:i/>
          <w:iCs/>
        </w:rPr>
      </w:pPr>
      <w:r>
        <w:rPr>
          <w:i/>
          <w:iCs/>
        </w:rPr>
        <w:lastRenderedPageBreak/>
        <w:t>Uitkomsten evaluatie</w:t>
      </w:r>
    </w:p>
    <w:p w:rsidR="00D950EC" w:rsidP="00D950EC" w:rsidRDefault="00D950EC" w14:paraId="752C7362" w14:textId="77777777">
      <w:r w:rsidRPr="007E5758">
        <w:t>Uit een vergelijking</w:t>
      </w:r>
      <w:r>
        <w:t xml:space="preserve"> tussen mensen die wel en niet met de maatregel te maken hadden,</w:t>
      </w:r>
      <w:r w:rsidRPr="007E5758">
        <w:t xml:space="preserve"> </w:t>
      </w:r>
      <w:r>
        <w:t xml:space="preserve">blijkt dat mensen met een Ziektewetuitkering zonder werkgever die geen recht hadden op arbeidskorting, een lager netto-inkomen hebben dan mensen die hier wel recht op hadden. </w:t>
      </w:r>
      <w:r w:rsidRPr="007E5758">
        <w:t>Dit hangt voor het grootste deel samen met een verlaging van het</w:t>
      </w:r>
      <w:r>
        <w:t xml:space="preserve"> </w:t>
      </w:r>
      <w:r w:rsidRPr="007E5758">
        <w:t xml:space="preserve">inkomen uit uitkering. </w:t>
      </w:r>
      <w:r>
        <w:t xml:space="preserve">In het onderzoek is ook geanalyseerd in hoeverre dit netto-inkomensverschil verklaard kan worden door de maatregel. In deze analyse wordt gecontroleerd voor een veelvoud aan factoren. </w:t>
      </w:r>
    </w:p>
    <w:p w:rsidR="00D950EC" w:rsidP="00D950EC" w:rsidRDefault="00D950EC" w14:paraId="455378AD" w14:textId="77777777">
      <w:r w:rsidRPr="007E5758">
        <w:t xml:space="preserve">Uit deze analyse komt </w:t>
      </w:r>
      <w:r>
        <w:t xml:space="preserve">echter </w:t>
      </w:r>
      <w:r w:rsidRPr="007E5758">
        <w:t>naar voren dat de inkomenspositie</w:t>
      </w:r>
      <w:r>
        <w:t xml:space="preserve"> van</w:t>
      </w:r>
      <w:r w:rsidRPr="007E5758">
        <w:t xml:space="preserve"> </w:t>
      </w:r>
      <w:r>
        <w:t xml:space="preserve">mensen die geen recht hadden op de arbeidskorting </w:t>
      </w:r>
      <w:r w:rsidRPr="007E5758">
        <w:t xml:space="preserve">juist hoger is dan </w:t>
      </w:r>
      <w:r>
        <w:t>die van</w:t>
      </w:r>
      <w:r w:rsidRPr="007E5758">
        <w:t xml:space="preserve"> </w:t>
      </w:r>
      <w:r>
        <w:t>mensen die hier wel recht op hadden.</w:t>
      </w:r>
      <w:r w:rsidRPr="007E5758">
        <w:t xml:space="preserve"> Deze uitkomst </w:t>
      </w:r>
      <w:r>
        <w:t>gaat in</w:t>
      </w:r>
      <w:r w:rsidRPr="007E5758">
        <w:t xml:space="preserve"> </w:t>
      </w:r>
      <w:r>
        <w:t>tegen de verwachting. Het geen recht hebben op  d</w:t>
      </w:r>
      <w:r w:rsidRPr="007E5758">
        <w:t>e arbeidskorting zorg</w:t>
      </w:r>
      <w:r>
        <w:t>t namelijk</w:t>
      </w:r>
      <w:r w:rsidRPr="007E5758">
        <w:t xml:space="preserve"> voor een lager inkomen. Het is echter mogelijk dat mensen die te maken kregen met </w:t>
      </w:r>
      <w:r>
        <w:t xml:space="preserve">het niet toepassen van </w:t>
      </w:r>
      <w:r w:rsidRPr="007E5758">
        <w:t>de arbeidskorting</w:t>
      </w:r>
      <w:r>
        <w:t xml:space="preserve"> </w:t>
      </w:r>
      <w:r w:rsidRPr="007E5758">
        <w:t>de daling in inkomen</w:t>
      </w:r>
      <w:r>
        <w:t xml:space="preserve"> hebben weten </w:t>
      </w:r>
      <w:r w:rsidRPr="007E5758">
        <w:t>op te vangen</w:t>
      </w:r>
      <w:r>
        <w:t xml:space="preserve"> door meer te werken of eerder weer aan de slag te gaan</w:t>
      </w:r>
      <w:r w:rsidRPr="007E5758">
        <w:t xml:space="preserve">. </w:t>
      </w:r>
      <w:r>
        <w:t>Het onderzoek kan deze aanname maar deels onderbouwen</w:t>
      </w:r>
      <w:r w:rsidRPr="007E5758">
        <w:t xml:space="preserve">. Uit het onderzoek blijkt namelijk wel dat de kans om aan het werk te gaan </w:t>
      </w:r>
      <w:r>
        <w:t xml:space="preserve">voor mensen die geen recht hadden op de arbeidskorting </w:t>
      </w:r>
      <w:r w:rsidRPr="007E5758">
        <w:t xml:space="preserve">groter is dan voor </w:t>
      </w:r>
      <w:r>
        <w:t>mensen die dit recht wel hadden. M</w:t>
      </w:r>
      <w:r w:rsidRPr="007E5758">
        <w:t xml:space="preserve">aar </w:t>
      </w:r>
      <w:r>
        <w:t xml:space="preserve">het blijkt </w:t>
      </w:r>
      <w:r w:rsidRPr="007E5758">
        <w:t>ook dat de maatregel geen effect heeft gehad op de duurzame uitstroom naar werk van Ziektewetgerechtigden. Bovendien laten andere vergelijkingen</w:t>
      </w:r>
      <w:r>
        <w:t xml:space="preserve">, </w:t>
      </w:r>
      <w:r w:rsidRPr="007E5758">
        <w:t xml:space="preserve">ook tussen groepen die beiden wel of beiden niet met de maatregel te maken hebben gekregen, soortgelijke veranderingen zien. </w:t>
      </w:r>
      <w:r>
        <w:t xml:space="preserve">Het onderzoek kan maar in beperkte mate onderbouwen dat de maatregel een positief effect heeft gehad op de </w:t>
      </w:r>
      <w:r>
        <w:br/>
        <w:t xml:space="preserve">netto-inkomenspositie. </w:t>
      </w:r>
    </w:p>
    <w:p w:rsidR="00D950EC" w:rsidP="00D950EC" w:rsidRDefault="00D950EC" w14:paraId="2E496B47" w14:textId="77777777"/>
    <w:p w:rsidR="00D950EC" w:rsidP="00D950EC" w:rsidRDefault="00D950EC" w14:paraId="51A541E2" w14:textId="77777777">
      <w:r>
        <w:t>Personen</w:t>
      </w:r>
      <w:r w:rsidRPr="007E5758">
        <w:t xml:space="preserve"> die recht hebben op IACK </w:t>
      </w:r>
      <w:r>
        <w:t xml:space="preserve">maken </w:t>
      </w:r>
      <w:r w:rsidRPr="007E5758">
        <w:t>per definitie ook gebruik van arbeidskorting</w:t>
      </w:r>
      <w:r>
        <w:t>. Als mensen geen recht hebben op beide heffingskortingen</w:t>
      </w:r>
      <w:r w:rsidRPr="007E5758">
        <w:t>, valt de daling in inkomen voor hen</w:t>
      </w:r>
      <w:r>
        <w:t xml:space="preserve"> dus</w:t>
      </w:r>
      <w:r w:rsidRPr="007E5758">
        <w:t xml:space="preserve"> hoger uit</w:t>
      </w:r>
      <w:r>
        <w:t xml:space="preserve"> dan voor mensen die alleen geen recht meer hadden op de arbeidskorting</w:t>
      </w:r>
      <w:r w:rsidRPr="007E5758">
        <w:t xml:space="preserve">. De kwantitatieve analyses in </w:t>
      </w:r>
      <w:r>
        <w:t>he</w:t>
      </w:r>
      <w:r w:rsidRPr="007E5758">
        <w:t xml:space="preserve">t onderzoek bevestigen dit. </w:t>
      </w:r>
      <w:r>
        <w:t xml:space="preserve">De inkomensdaling is zo groot dat we er rekening mee moeten houden </w:t>
      </w:r>
      <w:r w:rsidRPr="007E5758">
        <w:t xml:space="preserve">dat </w:t>
      </w:r>
      <w:r>
        <w:t>mensen om wie dit gaat de noodzaak zullen ervaren om te moeten reageren. Maar d</w:t>
      </w:r>
      <w:r w:rsidRPr="007E5758">
        <w:t>e kwantitatieve analyses tonen aan dat de Ziektewetduur voor personen die</w:t>
      </w:r>
      <w:r>
        <w:t xml:space="preserve"> geen recht hadden op</w:t>
      </w:r>
      <w:r w:rsidRPr="007E5758">
        <w:t xml:space="preserve"> </w:t>
      </w:r>
      <w:r>
        <w:t xml:space="preserve">beide heffingskortingen </w:t>
      </w:r>
      <w:r w:rsidRPr="007E5758">
        <w:t>juist relatief lang is</w:t>
      </w:r>
      <w:r>
        <w:t xml:space="preserve">. Ook is de </w:t>
      </w:r>
      <w:r w:rsidRPr="007E5758">
        <w:t>kans</w:t>
      </w:r>
      <w:r>
        <w:t xml:space="preserve"> juist kleiner</w:t>
      </w:r>
      <w:r w:rsidRPr="007E5758">
        <w:t xml:space="preserve"> dat zij zich binnen 24 maanden na de instroom in de Ziektewet weer beter melden en het werk hervatten. Personen </w:t>
      </w:r>
      <w:r>
        <w:t xml:space="preserve">die geen recht hadden op beide heffingskortingen, </w:t>
      </w:r>
      <w:r w:rsidRPr="007E5758">
        <w:t xml:space="preserve">hebben een minder grote kans op een duurzame werkhervatting dan personen </w:t>
      </w:r>
      <w:r>
        <w:t>die dit recht wel hadden (</w:t>
      </w:r>
      <w:r w:rsidRPr="007E5758">
        <w:t>gecontroleerd voor groepssamenstelling</w:t>
      </w:r>
      <w:r>
        <w:t>)</w:t>
      </w:r>
      <w:r w:rsidRPr="007E5758">
        <w:t>. Deze uitkomsten suggereren dat het schrappen van de IACK tot een lager inkomen</w:t>
      </w:r>
      <w:r>
        <w:t>,</w:t>
      </w:r>
      <w:r w:rsidRPr="007E5758">
        <w:t xml:space="preserve"> en niet tot meer arbeidsparticipatie he</w:t>
      </w:r>
      <w:r>
        <w:t>eft</w:t>
      </w:r>
      <w:r w:rsidRPr="007E5758">
        <w:t xml:space="preserve"> geleid. Ook voor deze analyses geldt dat het mogelijk </w:t>
      </w:r>
      <w:r w:rsidRPr="007E5758">
        <w:lastRenderedPageBreak/>
        <w:t>is dat er andere</w:t>
      </w:r>
      <w:r>
        <w:t>, moeilijk te duiden</w:t>
      </w:r>
      <w:r w:rsidRPr="007E5758">
        <w:t xml:space="preserve"> factoren die </w:t>
      </w:r>
      <w:r>
        <w:t>niet mee zijn genomen</w:t>
      </w:r>
      <w:r w:rsidRPr="007E5758">
        <w:t xml:space="preserve"> in het onderzoek een rol spelen in het verklaren van de verschillen tussen cohorten.</w:t>
      </w:r>
    </w:p>
    <w:p w:rsidR="00D950EC" w:rsidP="00D950EC" w:rsidRDefault="00D950EC" w14:paraId="4BDD52B1" w14:textId="77777777"/>
    <w:p w:rsidRPr="00E5799C" w:rsidR="00D950EC" w:rsidP="00D950EC" w:rsidRDefault="00D950EC" w14:paraId="04BA371B" w14:textId="77777777">
      <w:r>
        <w:t>Uit het onderzoek komt naar voren dat het</w:t>
      </w:r>
      <w:r w:rsidRPr="00E5799C">
        <w:t xml:space="preserve"> </w:t>
      </w:r>
      <w:r>
        <w:t xml:space="preserve">geen recht meer hebben op </w:t>
      </w:r>
      <w:r w:rsidRPr="00E5799C">
        <w:t xml:space="preserve">de arbeidskorting en </w:t>
      </w:r>
      <w:r>
        <w:t xml:space="preserve">eventueel </w:t>
      </w:r>
      <w:r w:rsidRPr="00E5799C">
        <w:t>IACK voor mensen in de Ziektewet zonder werkgever invloed</w:t>
      </w:r>
      <w:r>
        <w:t xml:space="preserve"> heeft</w:t>
      </w:r>
      <w:r w:rsidRPr="00E5799C">
        <w:t xml:space="preserve"> op de netto-inkomenspositie. Het lijkt er niet op dat deze mensen weer sneller aan het werk gaan. De onderzoekers kunnen ech</w:t>
      </w:r>
      <w:r>
        <w:t>ter</w:t>
      </w:r>
      <w:r w:rsidRPr="00E5799C">
        <w:t xml:space="preserve"> niet met zekerheid zeggen of deze effecten (volledig) het gevolg zijn van het </w:t>
      </w:r>
      <w:r>
        <w:t>geen recht meer hebben op</w:t>
      </w:r>
      <w:r w:rsidRPr="00E5799C">
        <w:t xml:space="preserve"> beide heffingskortingen.</w:t>
      </w:r>
      <w:r>
        <w:t xml:space="preserve"> Er zijn dus geen harde conclusies te trekken op basis van dit onderzoek.</w:t>
      </w:r>
      <w:r w:rsidRPr="00E5799C">
        <w:t xml:space="preserve"> De maatregel heeft echter wel een </w:t>
      </w:r>
      <w:r w:rsidRPr="003F40CA">
        <w:t>onwenselijk verschil tussen de Ziektewet en de Werkloosheidswet opgeheven. Verder voert UWV momenteel drie pilots uit om de re-integratie en duurzame werkhervatting vanuit de dienstverlening in de Ziektewet te verbeteren.</w:t>
      </w:r>
      <w:r w:rsidRPr="00E5799C">
        <w:t xml:space="preserve"> </w:t>
      </w:r>
      <w:r>
        <w:t>Met deze pilots onderzoekt UWV welke begeleiding het meest effectief is bij de terugkeer naar werk.</w:t>
      </w:r>
      <w:r w:rsidRPr="00E5799C">
        <w:t xml:space="preserve"> Dit helpt ook mensen die</w:t>
      </w:r>
      <w:r>
        <w:t xml:space="preserve"> geen recht meer hebben op</w:t>
      </w:r>
      <w:r w:rsidRPr="00E5799C">
        <w:t xml:space="preserve"> deze heffingskortingen.</w:t>
      </w:r>
    </w:p>
    <w:p w:rsidR="00D950EC" w:rsidP="00D950EC" w:rsidRDefault="00D950EC" w14:paraId="76E0C260" w14:textId="77777777">
      <w:pPr>
        <w:spacing w:line="240" w:lineRule="auto"/>
        <w:rPr>
          <w:b/>
          <w:bCs/>
        </w:rPr>
      </w:pPr>
    </w:p>
    <w:p w:rsidRPr="00451EB6" w:rsidR="00D950EC" w:rsidP="00D950EC" w:rsidRDefault="00D950EC" w14:paraId="04FA6189" w14:textId="77777777">
      <w:pPr>
        <w:rPr>
          <w:b/>
          <w:bCs/>
        </w:rPr>
      </w:pPr>
      <w:r w:rsidRPr="00451EB6">
        <w:rPr>
          <w:b/>
          <w:bCs/>
        </w:rPr>
        <w:t>Wajong</w:t>
      </w:r>
    </w:p>
    <w:p w:rsidRPr="00381A93" w:rsidR="00D950EC" w:rsidP="00D950EC" w:rsidRDefault="00D950EC" w14:paraId="147C7CAB" w14:textId="77777777">
      <w:pPr>
        <w:rPr>
          <w:i/>
          <w:iCs/>
        </w:rPr>
      </w:pPr>
      <w:r>
        <w:rPr>
          <w:i/>
          <w:iCs/>
        </w:rPr>
        <w:t>Toelichting maatregel</w:t>
      </w:r>
    </w:p>
    <w:p w:rsidR="00D950EC" w:rsidP="00D950EC" w:rsidRDefault="00D950EC" w14:paraId="06C772EF" w14:textId="77777777">
      <w:r w:rsidRPr="009E18BD">
        <w:t>Voor mensen met een Wajong</w:t>
      </w:r>
      <w:r>
        <w:t>-</w:t>
      </w:r>
      <w:r w:rsidRPr="009E18BD">
        <w:t>uitkering die arbeidsvermogen hebben besloot het kabinet Rutte II</w:t>
      </w:r>
      <w:r>
        <w:t xml:space="preserve"> om </w:t>
      </w:r>
      <w:r w:rsidRPr="009E18BD">
        <w:t>vanaf 2018 de hoogte van de Wajong</w:t>
      </w:r>
      <w:r>
        <w:t>-</w:t>
      </w:r>
      <w:r w:rsidRPr="009E18BD">
        <w:t>uitkering te verlagen.</w:t>
      </w:r>
      <w:r w:rsidRPr="009E18BD">
        <w:rPr>
          <w:vertAlign w:val="superscript"/>
        </w:rPr>
        <w:footnoteReference w:id="3"/>
      </w:r>
      <w:r w:rsidRPr="009E18BD">
        <w:t xml:space="preserve"> De </w:t>
      </w:r>
      <w:r>
        <w:t xml:space="preserve">hoogte van de </w:t>
      </w:r>
      <w:r w:rsidRPr="009E18BD">
        <w:t>Wajong</w:t>
      </w:r>
      <w:r>
        <w:t>-</w:t>
      </w:r>
      <w:r w:rsidRPr="009E18BD">
        <w:t>uitkering daalde van 75 procent naar 70 procent van het bruto wettelijk minimumloon. Het doel van deze maatregel was om de uitkering gelijk te trekken met de uitkering voor jonggehandicapten met arbeidsvermogen die sinds 2015 onder de Participatiewet vallen</w:t>
      </w:r>
      <w:r>
        <w:t>. Het nevendoel was</w:t>
      </w:r>
      <w:r w:rsidRPr="009E18BD">
        <w:t xml:space="preserve"> om de werkstimulans te vergroten voor mensen die hiertoe in staat zijn. </w:t>
      </w:r>
    </w:p>
    <w:p w:rsidR="00D950EC" w:rsidP="00D950EC" w:rsidRDefault="00D950EC" w14:paraId="2C90E0E4" w14:textId="77777777"/>
    <w:p w:rsidRPr="009E18BD" w:rsidR="00D950EC" w:rsidP="00D950EC" w:rsidRDefault="00D950EC" w14:paraId="4D1048CB" w14:textId="77777777">
      <w:r w:rsidRPr="009E18BD">
        <w:t xml:space="preserve">In het onderzoek heeft Regioplan het effect van deze maatregel </w:t>
      </w:r>
      <w:r>
        <w:t xml:space="preserve">onderzocht </w:t>
      </w:r>
      <w:r w:rsidRPr="009E18BD">
        <w:t>op zowel de netto</w:t>
      </w:r>
      <w:r>
        <w:t>-</w:t>
      </w:r>
      <w:r w:rsidRPr="009E18BD">
        <w:t>inkomenspositie als de arbeidsparticipatie van mensen met een Wajong</w:t>
      </w:r>
      <w:r>
        <w:t>-</w:t>
      </w:r>
      <w:r w:rsidRPr="009E18BD">
        <w:t xml:space="preserve">uitkering </w:t>
      </w:r>
      <w:r>
        <w:t>bij wie de uitkering in 2018 is verlaagd</w:t>
      </w:r>
      <w:r w:rsidRPr="009E18BD">
        <w:t xml:space="preserve">. </w:t>
      </w:r>
    </w:p>
    <w:p w:rsidR="00D950EC" w:rsidP="00D950EC" w:rsidRDefault="00D950EC" w14:paraId="04C575E8" w14:textId="77777777">
      <w:pPr>
        <w:rPr>
          <w:u w:val="single"/>
        </w:rPr>
      </w:pPr>
    </w:p>
    <w:p w:rsidRPr="002A3E27" w:rsidR="00D950EC" w:rsidP="00D950EC" w:rsidRDefault="00D950EC" w14:paraId="2648F6D0" w14:textId="77777777">
      <w:pPr>
        <w:rPr>
          <w:i/>
          <w:iCs/>
        </w:rPr>
      </w:pPr>
      <w:r>
        <w:rPr>
          <w:i/>
          <w:iCs/>
        </w:rPr>
        <w:t>Uitkomsten evaluatie</w:t>
      </w:r>
    </w:p>
    <w:p w:rsidR="00D950EC" w:rsidP="00D950EC" w:rsidRDefault="00D950EC" w14:paraId="58313F82" w14:textId="77777777">
      <w:r w:rsidRPr="009E18BD">
        <w:t>Het kwantitatieve gedeelte van het onderzoek toont dat de verlaging anders uitpakt voor de inkomenspositie van verschillende groepen mensen met een Wajong</w:t>
      </w:r>
      <w:r>
        <w:t>-</w:t>
      </w:r>
      <w:r w:rsidRPr="009E18BD">
        <w:t xml:space="preserve">uitkering. </w:t>
      </w:r>
      <w:r w:rsidRPr="00817D78">
        <w:t xml:space="preserve">Voor een aantal groepen, zoals hoogopgeleiden en personen jonger dan 35 jaar, geldt dat de inkomenspositie </w:t>
      </w:r>
      <w:r>
        <w:t>is verbeterd</w:t>
      </w:r>
      <w:r w:rsidRPr="00817D78">
        <w:t xml:space="preserve">. Een mogelijke </w:t>
      </w:r>
      <w:r w:rsidRPr="00817D78">
        <w:lastRenderedPageBreak/>
        <w:t>verklaring uit de analyses is dat deze groep</w:t>
      </w:r>
      <w:r>
        <w:t>en</w:t>
      </w:r>
      <w:r w:rsidRPr="00817D78">
        <w:t xml:space="preserve"> het verlies aan inkomen w</w:t>
      </w:r>
      <w:r>
        <w:t>isten</w:t>
      </w:r>
      <w:r w:rsidRPr="00817D78">
        <w:t xml:space="preserve"> te compenseren met inkomen uit werk.</w:t>
      </w:r>
      <w:r>
        <w:t xml:space="preserve"> </w:t>
      </w:r>
      <w:r w:rsidRPr="00817D78">
        <w:t xml:space="preserve">Tegelijkertijd laat het onderzoek zien dat mensen </w:t>
      </w:r>
      <w:r>
        <w:t xml:space="preserve">met een Wajong-uitkering </w:t>
      </w:r>
      <w:r w:rsidRPr="00BB12CE">
        <w:t xml:space="preserve">die niet werkten en niet aan </w:t>
      </w:r>
      <w:r>
        <w:t xml:space="preserve">het </w:t>
      </w:r>
      <w:r w:rsidRPr="00BB12CE">
        <w:t>werk zijn gegaan of die al werkten maar niet meer uren zijn gaan werken het verlies van uitkering niet hebben kunnen compenseren.</w:t>
      </w:r>
      <w:r>
        <w:t xml:space="preserve"> Ook mensen met een Wajong-uitkering </w:t>
      </w:r>
      <w:r w:rsidRPr="00817D78">
        <w:t xml:space="preserve">die geen gebruik maakten van inkomen uit toeslagen in het kader van de Toeslagenwet </w:t>
      </w:r>
      <w:r>
        <w:t xml:space="preserve">kregen </w:t>
      </w:r>
      <w:r w:rsidRPr="00817D78">
        <w:t>te maken met een daling van hun inkomen.</w:t>
      </w:r>
      <w:r>
        <w:t xml:space="preserve"> Een mogelijke verklaring is dat zij de vaardigheden missen om deze toeslagen aan te vragen.</w:t>
      </w:r>
      <w:r>
        <w:rPr>
          <w:rStyle w:val="Voetnootmarkering"/>
        </w:rPr>
        <w:footnoteReference w:id="4"/>
      </w:r>
      <w:r>
        <w:t xml:space="preserve"> Deze groepen hebben te maken gekregen met een verslechtering van hun inkomenspositie.</w:t>
      </w:r>
    </w:p>
    <w:p w:rsidR="00D950EC" w:rsidP="00D950EC" w:rsidRDefault="00D950EC" w14:paraId="745E5609" w14:textId="77777777"/>
    <w:p w:rsidRPr="009E18BD" w:rsidR="00D950EC" w:rsidP="00D950EC" w:rsidRDefault="00D950EC" w14:paraId="6217821E" w14:textId="77777777">
      <w:r w:rsidRPr="009E18BD">
        <w:t>Het onderzoek laat zien dat de verlaging van de Wajong</w:t>
      </w:r>
      <w:r>
        <w:t>-</w:t>
      </w:r>
      <w:r w:rsidRPr="009E18BD">
        <w:t xml:space="preserve">uitkering naar 70 procent van het bruto wettelijk minimumloon </w:t>
      </w:r>
      <w:r>
        <w:t xml:space="preserve">over het geheel genomen </w:t>
      </w:r>
      <w:r w:rsidRPr="009E18BD">
        <w:t>vrijwel geen invloed heeft gehad op de arbeidsparticipatie.</w:t>
      </w:r>
      <w:r w:rsidRPr="009E18BD">
        <w:rPr>
          <w:vertAlign w:val="superscript"/>
        </w:rPr>
        <w:footnoteReference w:id="5"/>
      </w:r>
      <w:r w:rsidRPr="009E18BD">
        <w:t xml:space="preserve"> </w:t>
      </w:r>
      <w:r w:rsidRPr="009E18BD">
        <w:br/>
      </w:r>
      <w:r w:rsidRPr="009E18BD">
        <w:br/>
        <w:t>Er is ook onderzocht hoe mensen met een Wajong</w:t>
      </w:r>
      <w:r>
        <w:t>-</w:t>
      </w:r>
      <w:r w:rsidRPr="009E18BD">
        <w:t xml:space="preserve">uitkering de verlaging van de uitkering hebben ervaren. Hiertoe hebben de onderzoekers veertig </w:t>
      </w:r>
      <w:proofErr w:type="spellStart"/>
      <w:r w:rsidRPr="009E18BD">
        <w:t>scenariogebaseerde</w:t>
      </w:r>
      <w:proofErr w:type="spellEnd"/>
      <w:r w:rsidRPr="009E18BD">
        <w:t xml:space="preserve"> interviews</w:t>
      </w:r>
      <w:r w:rsidRPr="009E18BD">
        <w:rPr>
          <w:vertAlign w:val="superscript"/>
        </w:rPr>
        <w:footnoteReference w:id="6"/>
      </w:r>
      <w:r w:rsidRPr="009E18BD">
        <w:t xml:space="preserve"> gehouden met mensen met een Wajong</w:t>
      </w:r>
      <w:r>
        <w:t>-</w:t>
      </w:r>
      <w:r w:rsidRPr="009E18BD">
        <w:t>uitkering bij wie de uitkering in 2018 is verlaagd.</w:t>
      </w:r>
    </w:p>
    <w:p w:rsidRPr="009E18BD" w:rsidR="00D950EC" w:rsidP="00D950EC" w:rsidRDefault="00D950EC" w14:paraId="3AE793A3" w14:textId="77777777"/>
    <w:p w:rsidR="00D950EC" w:rsidP="00D950EC" w:rsidRDefault="00D950EC" w14:paraId="6117ACC7" w14:textId="77777777"/>
    <w:p w:rsidRPr="009E18BD" w:rsidR="00D950EC" w:rsidP="00D950EC" w:rsidRDefault="00D950EC" w14:paraId="644C42F4" w14:textId="77777777">
      <w:r w:rsidRPr="009E18BD">
        <w:t xml:space="preserve">De interviews tonen aan dat </w:t>
      </w:r>
      <w:r>
        <w:t xml:space="preserve">sommige </w:t>
      </w:r>
      <w:r w:rsidRPr="009E18BD">
        <w:t>mensen met een Wajong</w:t>
      </w:r>
      <w:r>
        <w:t>-</w:t>
      </w:r>
      <w:r w:rsidRPr="009E18BD">
        <w:t>uitkering weinig ruimte hebben ervaren om te reageren op een verlaging van de uitkering</w:t>
      </w:r>
      <w:r>
        <w:t xml:space="preserve"> door (meer) te gaan werken</w:t>
      </w:r>
      <w:r w:rsidRPr="009E18BD">
        <w:t xml:space="preserve">. De </w:t>
      </w:r>
      <w:r>
        <w:t>ruimte</w:t>
      </w:r>
      <w:r w:rsidRPr="009E18BD">
        <w:t xml:space="preserve"> om te willen werken wordt beïnvloed door de ervaren grenzen van de beperking en de fysieke en mentale belasting die werken met zich meebrengt. Tegelijkertijd geven zij aan niet de financiële impact van meer werken te kunnen inschatten</w:t>
      </w:r>
      <w:r>
        <w:t xml:space="preserve">. Ze zijn daardoor bang </w:t>
      </w:r>
      <w:r w:rsidRPr="009E18BD">
        <w:t xml:space="preserve">voor terugvorderingen en het vervallen van toeslagen. Dit weerhoudt hen ervan om (meer) te gaan werken. De verlaging van de uitkering leidt in dat geval tot extra financiële druk. Anderzijds zijn sociale prikkels een belangrijke motivatie voor mensen om te zoeken naar een baan. </w:t>
      </w:r>
      <w:r w:rsidRPr="00BF659B">
        <w:t xml:space="preserve">Het onderhouden van sociaal contact met collega’s, </w:t>
      </w:r>
      <w:r>
        <w:t xml:space="preserve">het </w:t>
      </w:r>
      <w:r>
        <w:lastRenderedPageBreak/>
        <w:t xml:space="preserve">hebben van meer sociale contacten omdat er meer geld wordt overgehouden dan bij alleen de uitkering, </w:t>
      </w:r>
      <w:r w:rsidRPr="00BF659B">
        <w:t>een gevoel een bijdrage te leveren aan de maatschappij, en de afhankelijkheid van een uitkering en het sociale stigma hierop, vormen alle sterke prikkels om te werken.</w:t>
      </w:r>
    </w:p>
    <w:p w:rsidRPr="009E18BD" w:rsidR="00D950EC" w:rsidP="00D950EC" w:rsidRDefault="00D950EC" w14:paraId="5CB183B9" w14:textId="77777777"/>
    <w:p w:rsidRPr="009E18BD" w:rsidR="00D950EC" w:rsidP="00D950EC" w:rsidRDefault="00D950EC" w14:paraId="21173E6E" w14:textId="77777777">
      <w:r w:rsidRPr="009E18BD">
        <w:t xml:space="preserve">Uit de interviews blijkt verder dat een deel van </w:t>
      </w:r>
      <w:r>
        <w:t xml:space="preserve">de </w:t>
      </w:r>
      <w:r w:rsidRPr="009E18BD">
        <w:t>mensen met een Wajong</w:t>
      </w:r>
      <w:r>
        <w:t>-</w:t>
      </w:r>
      <w:r w:rsidRPr="009E18BD">
        <w:t>uitkering zich de verlaging niet goed kan herinneren. Zo vormt de uitkering slechts een klein deel van het inkomen voor degenen die veel werkten. Er kan dan ook maar in beperkte mate worden verwacht dat ze actie ondernemen na de verlaging</w:t>
      </w:r>
      <w:r>
        <w:t xml:space="preserve"> door (meer) te gaan werken</w:t>
      </w:r>
      <w:r w:rsidRPr="009E18BD">
        <w:t xml:space="preserve">. </w:t>
      </w:r>
      <w:proofErr w:type="spellStart"/>
      <w:r w:rsidRPr="009E18BD">
        <w:t>Wajongers</w:t>
      </w:r>
      <w:proofErr w:type="spellEnd"/>
      <w:r w:rsidRPr="009E18BD">
        <w:t xml:space="preserve"> die zich de verlaging nog wel herinnerden, vormden in 2018 de kwetsbaarste groep (niet werkend, financiële problemen, hoge vaste lasten, schulden). Voor hen betekende het dat ze extra uitgaven moesten schrappen, hun vaste lasten moesten verlagen, bepaalde boodschappen in de supermarkt moesten laten staan of (meer) schulden opbouwden.</w:t>
      </w:r>
    </w:p>
    <w:p w:rsidRPr="009E18BD" w:rsidR="00D950EC" w:rsidP="00D950EC" w:rsidRDefault="00D950EC" w14:paraId="13C2BCDC" w14:textId="77777777">
      <w:pPr>
        <w:rPr>
          <w:u w:val="single"/>
        </w:rPr>
      </w:pPr>
    </w:p>
    <w:p w:rsidR="00D950EC" w:rsidP="00D950EC" w:rsidRDefault="00D950EC" w14:paraId="30D3EE8F" w14:textId="77777777">
      <w:pPr>
        <w:rPr>
          <w:color w:val="1F497D"/>
        </w:rPr>
      </w:pPr>
      <w:r w:rsidRPr="00031B85">
        <w:rPr>
          <w:b/>
          <w:bCs/>
        </w:rPr>
        <w:t>Tot slot</w:t>
      </w:r>
      <w:r w:rsidRPr="009E18BD">
        <w:rPr>
          <w:u w:val="single"/>
        </w:rPr>
        <w:br/>
      </w:r>
      <w:r w:rsidRPr="009E18BD">
        <w:t xml:space="preserve">Het onderzoek geeft een beeld van de werking van financiële prikkels op het </w:t>
      </w:r>
      <w:proofErr w:type="spellStart"/>
      <w:r w:rsidRPr="009E18BD">
        <w:t>werkzoekgedrag</w:t>
      </w:r>
      <w:proofErr w:type="spellEnd"/>
      <w:r w:rsidRPr="009E18BD">
        <w:t xml:space="preserve"> en de arbeidsparticipatie van mensen. Uit </w:t>
      </w:r>
      <w:r>
        <w:t>di</w:t>
      </w:r>
      <w:r w:rsidRPr="009E18BD">
        <w:t>t onderzoek</w:t>
      </w:r>
      <w:r>
        <w:t>, en</w:t>
      </w:r>
      <w:r w:rsidRPr="009E18BD">
        <w:t xml:space="preserve"> ander literatuuronderzoek</w:t>
      </w:r>
      <w:r w:rsidRPr="009E18BD">
        <w:rPr>
          <w:vertAlign w:val="superscript"/>
        </w:rPr>
        <w:footnoteReference w:id="7"/>
      </w:r>
      <w:r w:rsidRPr="009E18BD">
        <w:t xml:space="preserve">, </w:t>
      </w:r>
      <w:r>
        <w:t xml:space="preserve">blijkt </w:t>
      </w:r>
      <w:r w:rsidRPr="009E18BD">
        <w:t>dat er een nuance kan worden aangebracht in</w:t>
      </w:r>
      <w:r>
        <w:t xml:space="preserve"> het idee dat een grotere afstand tussen inkomen uit uitkering en inkomen uit werk tot meer </w:t>
      </w:r>
      <w:proofErr w:type="spellStart"/>
      <w:r>
        <w:t>werkzoekgedrag</w:t>
      </w:r>
      <w:proofErr w:type="spellEnd"/>
      <w:r>
        <w:t xml:space="preserve"> en daarmee tot meer arbeidsparticipatie leidt. Het verlagen van uitkeringen kán tot meer arbeidsparticipatie en snellere werkhervatting leiden, maar de kans wordt kleiner naarmate de mogelijkheden van mensen om (meer) te gaan werken minder groot zijn.</w:t>
      </w:r>
      <w:r w:rsidRPr="009E18BD">
        <w:t xml:space="preserve"> Niet alle burgers zijn zelfredzaam en in staat om te reageren op financiële prikkels. Voor veel mensen geven deze financiële prikkels </w:t>
      </w:r>
      <w:r>
        <w:t xml:space="preserve">ook </w:t>
      </w:r>
      <w:r w:rsidRPr="009E18BD">
        <w:t>niet de doorslag om aan het werk te (kunnen) gaan.</w:t>
      </w:r>
      <w:r>
        <w:t xml:space="preserve"> Vooral voor mensen met een Wajong-uitkering die al in een kwetsbare situatie verkeren, is het lastiger om (meer) te gaan werken als zij een lagere uitkering krijgen. Belangrijk is na te gaan hoe mensen gezien hun omstandigheden hun eigen werkvermogen inschatten en welke (on)mogelijkheden zij zien om aan het werk te gaan. De</w:t>
      </w:r>
      <w:r w:rsidRPr="00F51A31">
        <w:t xml:space="preserve"> uitkomsten van het onderzoek over de verlaging van de Wajong</w:t>
      </w:r>
      <w:r>
        <w:t>-</w:t>
      </w:r>
      <w:r w:rsidRPr="00F51A31">
        <w:t xml:space="preserve">uitkering </w:t>
      </w:r>
      <w:r>
        <w:t xml:space="preserve">zullen worden </w:t>
      </w:r>
      <w:r w:rsidRPr="00F51A31">
        <w:t>betr</w:t>
      </w:r>
      <w:r>
        <w:t>o</w:t>
      </w:r>
      <w:r w:rsidRPr="00F51A31">
        <w:t xml:space="preserve">kken bij de periodieke rapportage jonggehandicapten, die naar verwachting eind dit jaar naar de Tweede Kamer zal worden gestuurd. </w:t>
      </w:r>
      <w:r w:rsidRPr="001642F0">
        <w:rPr>
          <w:color w:val="1F497D"/>
        </w:rPr>
        <w:t xml:space="preserve"> </w:t>
      </w:r>
    </w:p>
    <w:p w:rsidRPr="00EC0CB9" w:rsidR="00D950EC" w:rsidP="00D950EC" w:rsidRDefault="00D950EC" w14:paraId="4D73A4FD" w14:textId="77777777"/>
    <w:p w:rsidR="00D950EC" w:rsidP="00D950EC" w:rsidRDefault="00D950EC" w14:paraId="688D4ADC" w14:textId="77777777">
      <w:bookmarkStart w:name="_Hlk199949627" w:id="0"/>
      <w:r w:rsidRPr="00EC0CB9">
        <w:lastRenderedPageBreak/>
        <w:t xml:space="preserve">We blijven ons committeren aan het </w:t>
      </w:r>
      <w:r>
        <w:t>internationaal Verdrag inzake de Rechten van Personen met een Handicap (</w:t>
      </w:r>
      <w:r w:rsidRPr="00EC0CB9">
        <w:t>VN-verdrag Handicap</w:t>
      </w:r>
      <w:r>
        <w:t>)</w:t>
      </w:r>
      <w:r w:rsidRPr="00EC0CB9">
        <w:t xml:space="preserve"> en het verbeteren van de situatie van mensen met een beperking. </w:t>
      </w:r>
    </w:p>
    <w:p w:rsidRPr="00EC0CB9" w:rsidR="00D950EC" w:rsidP="00D950EC" w:rsidRDefault="00D950EC" w14:paraId="67880D6D" w14:textId="77777777">
      <w:r w:rsidRPr="00EC0CB9">
        <w:t xml:space="preserve">Het VN-verdrag Handicap heeft als doel ervoor te zorgen dat mensen met een handicap net als iedereen gelijkwaardig kunnen deelnemen aan de samenleving en in een vergelijkbare situatie komen te verkeren als mensen zonder beperking. </w:t>
      </w:r>
      <w:bookmarkStart w:name="_Hlk201660695" w:id="1"/>
      <w:r w:rsidRPr="00EC0CB9">
        <w:t>Er mogen voor mensen met een beperking geen</w:t>
      </w:r>
      <w:r w:rsidRPr="00EC0CB9">
        <w:rPr>
          <w:rFonts w:ascii="Arial" w:hAnsi="Arial" w:cs="Arial"/>
          <w:spacing w:val="2"/>
          <w:shd w:val="clear" w:color="auto" w:fill="FFFFFF"/>
        </w:rPr>
        <w:t xml:space="preserve"> m</w:t>
      </w:r>
      <w:r w:rsidRPr="00EC0CB9">
        <w:t>aatregelen worden genomen die de rechten van personen met een handicap die in het verdrag zijn vastgelegd, verminderen (</w:t>
      </w:r>
      <w:proofErr w:type="spellStart"/>
      <w:r w:rsidRPr="00EC0CB9">
        <w:t>standstill</w:t>
      </w:r>
      <w:proofErr w:type="spellEnd"/>
      <w:r>
        <w:t>-</w:t>
      </w:r>
      <w:r w:rsidRPr="00EC0CB9">
        <w:t>bepaling). </w:t>
      </w:r>
      <w:bookmarkStart w:name="_Hlk201660777" w:id="2"/>
      <w:bookmarkEnd w:id="1"/>
      <w:r w:rsidRPr="00EC0CB9">
        <w:t>Dit verdrag is door Nederland in 2006 ondertekend en op 14 juli 2016 geratificeerd. Het besluit om de Wajong-uitkering voor mensen met arbeidsvermogen te verlagen van 75% naar 70% van het wettelijk minimumloon is genomen in 2014.</w:t>
      </w:r>
      <w:r w:rsidRPr="00EC0CB9">
        <w:rPr>
          <w:rStyle w:val="Voetnootmarkering"/>
        </w:rPr>
        <w:footnoteReference w:id="8"/>
      </w:r>
      <w:r w:rsidRPr="00EC0CB9">
        <w:t xml:space="preserve"> </w:t>
      </w:r>
      <w:bookmarkEnd w:id="2"/>
      <w:r w:rsidRPr="00EC0CB9">
        <w:t xml:space="preserve">Het doel van de verlaging van de uitkering was om de hoogte van deze uitkering gelijk te trekken met de hoogte van de uitkering voor jonggehandicapten met arbeidsvermogen die sinds 2015 onder de Participatiewet vallen. </w:t>
      </w:r>
    </w:p>
    <w:p w:rsidRPr="00EC0CB9" w:rsidR="00D950EC" w:rsidP="00D950EC" w:rsidRDefault="00D950EC" w14:paraId="3DF67EFB" w14:textId="77777777">
      <w:r w:rsidRPr="00EC0CB9">
        <w:t>De meerjarige nationale strategie biedt een richtlijn</w:t>
      </w:r>
      <w:r>
        <w:t xml:space="preserve"> voor onze commitment aan het VN-verdrag Handicap</w:t>
      </w:r>
      <w:r w:rsidRPr="00EC0CB9">
        <w:t>.</w:t>
      </w:r>
      <w:r w:rsidRPr="00EC0CB9">
        <w:rPr>
          <w:rStyle w:val="Voetnootmarkering"/>
        </w:rPr>
        <w:footnoteReference w:id="9"/>
      </w:r>
      <w:r w:rsidRPr="00EC0CB9">
        <w:t xml:space="preserve"> De werkagenda VN-verdrag Handicap is een verdere uitwerking hiervan en bevat </w:t>
      </w:r>
      <w:bookmarkStart w:name="_Hlk201660424" w:id="3"/>
      <w:r w:rsidRPr="00EC0CB9">
        <w:t>verschillende maatregelen om de vastgestelde doelstellingen te bereiken</w:t>
      </w:r>
      <w:bookmarkEnd w:id="3"/>
      <w:r w:rsidRPr="00EC0CB9">
        <w:t xml:space="preserve">. </w:t>
      </w:r>
      <w:bookmarkStart w:name="_Hlk201660452" w:id="4"/>
      <w:r w:rsidRPr="00EC0CB9">
        <w:t xml:space="preserve">Deze maatregelen kunnen bijdragen aan een verbeterde bestaanszekerheid van mensen met een beperking. </w:t>
      </w:r>
      <w:bookmarkEnd w:id="4"/>
      <w:r w:rsidRPr="00EC0CB9">
        <w:t xml:space="preserve">De werkagenda, die nog zal worden gepubliceerd, draagt bij aan het realiseren van een toegankelijke samenleving. Uiteraard beperken we ons niet tot de werkagenda en de nationale strategie maar blijven we ons voortdurend inzetten voor een inclusieve en toegankelijke samenleving waarin iedereen die dat wil mee kan doen. Gezien de demissionaire status van het kabinet past terughoudendheid. Het is aan een nieuw kabinet om hier verder richting aan te geven. </w:t>
      </w:r>
    </w:p>
    <w:bookmarkEnd w:id="0"/>
    <w:p w:rsidRPr="00F51A31" w:rsidR="00D950EC" w:rsidP="00D950EC" w:rsidRDefault="00D950EC" w14:paraId="34723DD9" w14:textId="0BD588A5">
      <w:r>
        <w:t>Verder heeft het kabinet i</w:t>
      </w:r>
      <w:r w:rsidRPr="00031B85">
        <w:t xml:space="preserve">n de brief </w:t>
      </w:r>
      <w:r>
        <w:t xml:space="preserve">naar de Tweede Kamer </w:t>
      </w:r>
      <w:r w:rsidRPr="00031B85">
        <w:t xml:space="preserve">van 14 maart 2025 aangegeven dat </w:t>
      </w:r>
      <w:r w:rsidRPr="001642F0">
        <w:t>het de samenloop van uitkering, heffingskortingen (zoals de arbeidskorting) en toeslagen</w:t>
      </w:r>
      <w:r>
        <w:t xml:space="preserve"> verkent</w:t>
      </w:r>
      <w:r w:rsidRPr="007B2049">
        <w:t xml:space="preserve"> als reactie op de uitspraak van de H</w:t>
      </w:r>
      <w:r>
        <w:t xml:space="preserve">oge </w:t>
      </w:r>
      <w:r w:rsidRPr="007B2049">
        <w:t>R</w:t>
      </w:r>
      <w:r>
        <w:t>aad</w:t>
      </w:r>
      <w:r w:rsidRPr="007B2049">
        <w:t xml:space="preserve"> over de reikwijdte van de arbeidskorting</w:t>
      </w:r>
      <w:r>
        <w:t>.</w:t>
      </w:r>
      <w:r>
        <w:rPr>
          <w:rStyle w:val="Voetnootmarkering"/>
        </w:rPr>
        <w:footnoteReference w:id="10"/>
      </w:r>
      <w:r>
        <w:t xml:space="preserve"> Door de val van het kabinet is onzeker hoe het vervolg van de verkenning eruit zal zien.</w:t>
      </w:r>
    </w:p>
    <w:p w:rsidR="00D950EC" w:rsidP="00D950EC" w:rsidRDefault="00D950EC" w14:paraId="1DBB7F6E" w14:textId="77777777">
      <w:pPr>
        <w:pStyle w:val="WitregelW1bodytekst"/>
      </w:pPr>
    </w:p>
    <w:p w:rsidR="00D950EC" w:rsidP="002C3E1C" w:rsidRDefault="00D950EC" w14:paraId="62921F87" w14:textId="0173A321">
      <w:pPr>
        <w:pStyle w:val="Geenafstand"/>
      </w:pPr>
      <w:r>
        <w:t xml:space="preserve">De </w:t>
      </w:r>
      <w:r w:rsidRPr="00D80872" w:rsidR="002C3E1C">
        <w:t>minister van Sociale Zaken en Werkgelegenheid</w:t>
      </w:r>
      <w:r w:rsidR="002C3E1C">
        <w:t>,</w:t>
      </w:r>
    </w:p>
    <w:p w:rsidR="002C3E1C" w:rsidP="002C3E1C" w:rsidRDefault="00D950EC" w14:paraId="6BB45568" w14:textId="77777777">
      <w:pPr>
        <w:pStyle w:val="Geenafstand"/>
      </w:pPr>
      <w:r>
        <w:t xml:space="preserve">Y.J. van Hijum                </w:t>
      </w:r>
    </w:p>
    <w:p w:rsidR="002C3E1C" w:rsidP="002C3E1C" w:rsidRDefault="00D950EC" w14:paraId="1E89FD1C" w14:textId="19E7C66F">
      <w:pPr>
        <w:pStyle w:val="Geenafstand"/>
      </w:pPr>
      <w:r>
        <w:t xml:space="preserve">      </w:t>
      </w:r>
    </w:p>
    <w:p w:rsidR="002C3E1C" w:rsidP="002C3E1C" w:rsidRDefault="002C3E1C" w14:paraId="0EE34DEE" w14:textId="035E845D">
      <w:pPr>
        <w:pStyle w:val="Geenafstand"/>
      </w:pPr>
      <w:r>
        <w:t xml:space="preserve">De </w:t>
      </w:r>
      <w:r w:rsidRPr="009B5FE1">
        <w:t>staatssecretaris van Sociale Zaken en Werkgelegenheid</w:t>
      </w:r>
      <w:r>
        <w:t>,</w:t>
      </w:r>
    </w:p>
    <w:p w:rsidR="00D950EC" w:rsidP="002C3E1C" w:rsidRDefault="00D950EC" w14:paraId="625579D5" w14:textId="2EBFCB34">
      <w:pPr>
        <w:pStyle w:val="Geenafstand"/>
      </w:pPr>
      <w:r>
        <w:t xml:space="preserve"> J.N.J. Nobel</w:t>
      </w:r>
    </w:p>
    <w:p w:rsidR="00FE0FA3" w:rsidRDefault="00FE0FA3" w14:paraId="042FD75E" w14:textId="77777777"/>
    <w:sectPr w:rsidR="00FE0FA3" w:rsidSect="00D950E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9D2A" w14:textId="77777777" w:rsidR="00D950EC" w:rsidRDefault="00D950EC" w:rsidP="00D950EC">
      <w:pPr>
        <w:spacing w:after="0" w:line="240" w:lineRule="auto"/>
      </w:pPr>
      <w:r>
        <w:separator/>
      </w:r>
    </w:p>
  </w:endnote>
  <w:endnote w:type="continuationSeparator" w:id="0">
    <w:p w14:paraId="399347CA" w14:textId="77777777" w:rsidR="00D950EC" w:rsidRDefault="00D950EC" w:rsidP="00D9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CAE3" w14:textId="77777777" w:rsidR="00183A6B" w:rsidRPr="00D950EC" w:rsidRDefault="00183A6B" w:rsidP="00D950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A4EE" w14:textId="77777777" w:rsidR="00183A6B" w:rsidRPr="00D950EC" w:rsidRDefault="00183A6B" w:rsidP="00D950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00D7" w14:textId="77777777" w:rsidR="00183A6B" w:rsidRPr="00D950EC" w:rsidRDefault="00183A6B" w:rsidP="00D950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5158" w14:textId="77777777" w:rsidR="00D950EC" w:rsidRDefault="00D950EC" w:rsidP="00D950EC">
      <w:pPr>
        <w:spacing w:after="0" w:line="240" w:lineRule="auto"/>
      </w:pPr>
      <w:r>
        <w:separator/>
      </w:r>
    </w:p>
  </w:footnote>
  <w:footnote w:type="continuationSeparator" w:id="0">
    <w:p w14:paraId="1DD925DF" w14:textId="77777777" w:rsidR="00D950EC" w:rsidRDefault="00D950EC" w:rsidP="00D950EC">
      <w:pPr>
        <w:spacing w:after="0" w:line="240" w:lineRule="auto"/>
      </w:pPr>
      <w:r>
        <w:continuationSeparator/>
      </w:r>
    </w:p>
  </w:footnote>
  <w:footnote w:id="1">
    <w:p w14:paraId="2D1169D2" w14:textId="77777777" w:rsidR="00D950EC" w:rsidRPr="00764DAD" w:rsidRDefault="00D950EC" w:rsidP="00D950EC">
      <w:pPr>
        <w:pStyle w:val="Voetnoottekst"/>
        <w:rPr>
          <w:rFonts w:ascii="Verdana" w:hAnsi="Verdana"/>
          <w:sz w:val="16"/>
          <w:szCs w:val="16"/>
        </w:rPr>
      </w:pPr>
      <w:r w:rsidRPr="00764DAD">
        <w:rPr>
          <w:rStyle w:val="Voetnootmarkering"/>
          <w:rFonts w:ascii="Verdana" w:hAnsi="Verdana"/>
          <w:sz w:val="16"/>
          <w:szCs w:val="16"/>
        </w:rPr>
        <w:footnoteRef/>
      </w:r>
      <w:r w:rsidRPr="00764DAD">
        <w:rPr>
          <w:rFonts w:ascii="Verdana" w:hAnsi="Verdana"/>
          <w:sz w:val="16"/>
          <w:szCs w:val="16"/>
        </w:rPr>
        <w:t xml:space="preserve"> Kamerstukken I 2017/18, 34 775, nr. J.</w:t>
      </w:r>
    </w:p>
  </w:footnote>
  <w:footnote w:id="2">
    <w:p w14:paraId="10155E08" w14:textId="77777777" w:rsidR="00D950EC" w:rsidRDefault="00D950EC" w:rsidP="00D950EC">
      <w:pPr>
        <w:pStyle w:val="Voetnoottekst"/>
      </w:pPr>
      <w:r w:rsidRPr="00141CAF">
        <w:rPr>
          <w:rStyle w:val="Voetnootmarkering"/>
          <w:rFonts w:ascii="Verdana" w:hAnsi="Verdana"/>
          <w:sz w:val="16"/>
          <w:szCs w:val="16"/>
        </w:rPr>
        <w:footnoteRef/>
      </w:r>
      <w:r w:rsidRPr="00141CAF">
        <w:rPr>
          <w:rFonts w:ascii="Verdana" w:hAnsi="Verdana"/>
          <w:sz w:val="16"/>
          <w:szCs w:val="16"/>
        </w:rPr>
        <w:t xml:space="preserve"> Kamerstukken II 2018</w:t>
      </w:r>
      <w:r>
        <w:rPr>
          <w:rFonts w:ascii="Verdana" w:hAnsi="Verdana"/>
          <w:sz w:val="16"/>
          <w:szCs w:val="16"/>
        </w:rPr>
        <w:t>/</w:t>
      </w:r>
      <w:r w:rsidRPr="00141CAF">
        <w:rPr>
          <w:rFonts w:ascii="Verdana" w:hAnsi="Verdana"/>
          <w:sz w:val="16"/>
          <w:szCs w:val="16"/>
        </w:rPr>
        <w:t>19, 35</w:t>
      </w:r>
      <w:r>
        <w:rPr>
          <w:rFonts w:ascii="Verdana" w:hAnsi="Verdana"/>
          <w:sz w:val="16"/>
          <w:szCs w:val="16"/>
        </w:rPr>
        <w:t xml:space="preserve"> </w:t>
      </w:r>
      <w:r w:rsidRPr="00141CAF">
        <w:rPr>
          <w:rFonts w:ascii="Verdana" w:hAnsi="Verdana"/>
          <w:sz w:val="16"/>
          <w:szCs w:val="16"/>
        </w:rPr>
        <w:t>026, nr</w:t>
      </w:r>
      <w:r>
        <w:rPr>
          <w:rFonts w:ascii="Verdana" w:hAnsi="Verdana"/>
          <w:sz w:val="16"/>
          <w:szCs w:val="16"/>
        </w:rPr>
        <w:t>s</w:t>
      </w:r>
      <w:r w:rsidRPr="00141CAF">
        <w:rPr>
          <w:rFonts w:ascii="Verdana" w:hAnsi="Verdana"/>
          <w:sz w:val="16"/>
          <w:szCs w:val="16"/>
        </w:rPr>
        <w:t>.</w:t>
      </w:r>
      <w:r>
        <w:rPr>
          <w:rFonts w:ascii="Verdana" w:hAnsi="Verdana"/>
          <w:sz w:val="16"/>
          <w:szCs w:val="16"/>
        </w:rPr>
        <w:t xml:space="preserve"> 1-</w:t>
      </w:r>
      <w:r w:rsidRPr="00141CAF">
        <w:rPr>
          <w:rFonts w:ascii="Verdana" w:hAnsi="Verdana"/>
          <w:sz w:val="16"/>
          <w:szCs w:val="16"/>
        </w:rPr>
        <w:t>3.</w:t>
      </w:r>
    </w:p>
  </w:footnote>
  <w:footnote w:id="3">
    <w:p w14:paraId="1EC509FD" w14:textId="77777777" w:rsidR="00D950EC" w:rsidRPr="00764DAD" w:rsidRDefault="00D950EC" w:rsidP="00D950EC">
      <w:pPr>
        <w:pStyle w:val="Voetnoottekst"/>
        <w:rPr>
          <w:rFonts w:ascii="Verdana" w:hAnsi="Verdana"/>
          <w:sz w:val="16"/>
          <w:szCs w:val="16"/>
        </w:rPr>
      </w:pPr>
      <w:r w:rsidRPr="00764DAD">
        <w:rPr>
          <w:rStyle w:val="Voetnootmarkering"/>
          <w:rFonts w:ascii="Verdana" w:hAnsi="Verdana"/>
          <w:sz w:val="16"/>
          <w:szCs w:val="16"/>
        </w:rPr>
        <w:footnoteRef/>
      </w:r>
      <w:r w:rsidRPr="00764DAD">
        <w:rPr>
          <w:rFonts w:ascii="Verdana" w:hAnsi="Verdana"/>
          <w:sz w:val="16"/>
          <w:szCs w:val="16"/>
        </w:rPr>
        <w:t xml:space="preserve"> Kamerstukken II 2013/14, 33 801, nr. 23 (herdruk), p. 6-7.</w:t>
      </w:r>
    </w:p>
  </w:footnote>
  <w:footnote w:id="4">
    <w:p w14:paraId="081CE16A" w14:textId="77777777" w:rsidR="00D950EC" w:rsidRPr="000729E8" w:rsidRDefault="00D950EC" w:rsidP="00D950EC">
      <w:pPr>
        <w:pStyle w:val="Voetnoottekst"/>
        <w:rPr>
          <w:rFonts w:ascii="Verdana" w:hAnsi="Verdana"/>
          <w:sz w:val="16"/>
          <w:szCs w:val="16"/>
        </w:rPr>
      </w:pPr>
      <w:r w:rsidRPr="000729E8">
        <w:rPr>
          <w:rStyle w:val="Voetnootmarkering"/>
          <w:rFonts w:ascii="Verdana" w:hAnsi="Verdana"/>
          <w:sz w:val="16"/>
          <w:szCs w:val="16"/>
        </w:rPr>
        <w:footnoteRef/>
      </w:r>
      <w:r w:rsidRPr="000729E8">
        <w:rPr>
          <w:rFonts w:ascii="Verdana" w:hAnsi="Verdana"/>
          <w:sz w:val="16"/>
          <w:szCs w:val="16"/>
        </w:rPr>
        <w:t xml:space="preserve"> Nederlandse Arbeidsinspectie (2023). Onderzoeksrapport niet-gebruik van de Toeslagenwet. Het gebruik van deze aanvulling is laag: 68 procent van de mensen met een Wajonguitkering die recht hebben op deze aanvulling, maakt hier geen gebruik van.</w:t>
      </w:r>
    </w:p>
  </w:footnote>
  <w:footnote w:id="5">
    <w:p w14:paraId="57006351" w14:textId="77777777" w:rsidR="00D950EC" w:rsidRPr="0041776D" w:rsidRDefault="00D950EC" w:rsidP="00D950EC">
      <w:pPr>
        <w:pStyle w:val="Voetnoottekst"/>
        <w:rPr>
          <w:rFonts w:ascii="Verdana" w:hAnsi="Verdana"/>
          <w:sz w:val="16"/>
          <w:szCs w:val="16"/>
        </w:rPr>
      </w:pPr>
      <w:r w:rsidRPr="0041776D">
        <w:rPr>
          <w:rStyle w:val="Voetnootmarkering"/>
          <w:rFonts w:ascii="Verdana" w:hAnsi="Verdana"/>
          <w:sz w:val="16"/>
          <w:szCs w:val="16"/>
        </w:rPr>
        <w:footnoteRef/>
      </w:r>
      <w:r w:rsidRPr="0041776D">
        <w:rPr>
          <w:rFonts w:ascii="Verdana" w:hAnsi="Verdana"/>
          <w:sz w:val="16"/>
          <w:szCs w:val="16"/>
        </w:rPr>
        <w:t xml:space="preserve"> Het is niet goed mogelijk geweest om een verklarende analyse uit te voeren naar de effecten van de verlaging op de arbeidsparticipatie. De maatregel is immers van toepassing op alle mensen met een Wajong-uitkering die arbeidsvermogen hebben. Om toch enig inzicht te geven in de arbeidsparticipatie over tijd is er een logistische </w:t>
      </w:r>
      <w:proofErr w:type="spellStart"/>
      <w:r w:rsidRPr="0041776D">
        <w:rPr>
          <w:rFonts w:ascii="Verdana" w:hAnsi="Verdana"/>
          <w:sz w:val="16"/>
          <w:szCs w:val="16"/>
        </w:rPr>
        <w:t>segmented</w:t>
      </w:r>
      <w:proofErr w:type="spellEnd"/>
      <w:r w:rsidRPr="0041776D">
        <w:rPr>
          <w:rFonts w:ascii="Verdana" w:hAnsi="Verdana"/>
          <w:sz w:val="16"/>
          <w:szCs w:val="16"/>
        </w:rPr>
        <w:t xml:space="preserve"> regressieanalyse uitgevoerd over de arbeidsparticipatie per maand over 2017 en 2018.</w:t>
      </w:r>
    </w:p>
  </w:footnote>
  <w:footnote w:id="6">
    <w:p w14:paraId="44EF0307" w14:textId="77777777" w:rsidR="00D950EC" w:rsidRPr="00764DAD" w:rsidRDefault="00D950EC" w:rsidP="00D950EC">
      <w:pPr>
        <w:pStyle w:val="Voetnoottekst"/>
        <w:rPr>
          <w:rFonts w:ascii="Verdana" w:hAnsi="Verdana"/>
          <w:sz w:val="16"/>
          <w:szCs w:val="16"/>
        </w:rPr>
      </w:pPr>
      <w:r w:rsidRPr="00764DAD">
        <w:rPr>
          <w:rStyle w:val="Voetnootmarkering"/>
          <w:rFonts w:ascii="Verdana" w:hAnsi="Verdana"/>
          <w:sz w:val="16"/>
          <w:szCs w:val="16"/>
        </w:rPr>
        <w:footnoteRef/>
      </w:r>
      <w:r w:rsidRPr="00764DAD">
        <w:rPr>
          <w:rFonts w:ascii="Verdana" w:hAnsi="Verdana"/>
          <w:sz w:val="16"/>
          <w:szCs w:val="16"/>
        </w:rPr>
        <w:t xml:space="preserve"> Bij </w:t>
      </w:r>
      <w:proofErr w:type="spellStart"/>
      <w:r w:rsidRPr="00764DAD">
        <w:rPr>
          <w:rFonts w:ascii="Verdana" w:hAnsi="Verdana"/>
          <w:sz w:val="16"/>
          <w:szCs w:val="16"/>
        </w:rPr>
        <w:t>scenariogebaseerd</w:t>
      </w:r>
      <w:proofErr w:type="spellEnd"/>
      <w:r w:rsidRPr="00764DAD">
        <w:rPr>
          <w:rFonts w:ascii="Verdana" w:hAnsi="Verdana"/>
          <w:sz w:val="16"/>
          <w:szCs w:val="16"/>
        </w:rPr>
        <w:t xml:space="preserve"> interviewen zijn aan de gespreksdeelnemers versch</w:t>
      </w:r>
      <w:r>
        <w:rPr>
          <w:rFonts w:ascii="Verdana" w:hAnsi="Verdana"/>
          <w:sz w:val="16"/>
          <w:szCs w:val="16"/>
        </w:rPr>
        <w:t>illende</w:t>
      </w:r>
      <w:r w:rsidRPr="00764DAD">
        <w:rPr>
          <w:rFonts w:ascii="Verdana" w:hAnsi="Verdana"/>
          <w:sz w:val="16"/>
          <w:szCs w:val="16"/>
        </w:rPr>
        <w:t xml:space="preserve"> situaties voorgelegd, waarop zij konden reflecteren. Op die manier konden de onderzoekers de situatie ten tijde van de maatregel reconstrueren. Daarnaast kregen de onderzoekers dieper inzicht in de afwegingen en keuzes die de deelnemers maken als het gaat om financiële prikkels en werk. </w:t>
      </w:r>
    </w:p>
  </w:footnote>
  <w:footnote w:id="7">
    <w:p w14:paraId="2053ECE6" w14:textId="77777777" w:rsidR="00D950EC" w:rsidRPr="00B636E6" w:rsidRDefault="00D950EC" w:rsidP="00D950EC">
      <w:pPr>
        <w:pStyle w:val="Voetnoottekst"/>
        <w:rPr>
          <w:rFonts w:ascii="Verdana" w:hAnsi="Verdana"/>
          <w:sz w:val="16"/>
          <w:szCs w:val="16"/>
        </w:rPr>
      </w:pPr>
      <w:r w:rsidRPr="00B636E6">
        <w:rPr>
          <w:rStyle w:val="Voetnootmarkering"/>
          <w:rFonts w:ascii="Verdana" w:hAnsi="Verdana"/>
          <w:sz w:val="16"/>
          <w:szCs w:val="16"/>
        </w:rPr>
        <w:footnoteRef/>
      </w:r>
      <w:r w:rsidRPr="00B636E6">
        <w:rPr>
          <w:rFonts w:ascii="Verdana" w:hAnsi="Verdana"/>
          <w:sz w:val="16"/>
          <w:szCs w:val="16"/>
        </w:rPr>
        <w:t xml:space="preserve"> </w:t>
      </w:r>
      <w:r>
        <w:rPr>
          <w:rFonts w:ascii="Verdana" w:hAnsi="Verdana"/>
          <w:sz w:val="16"/>
          <w:szCs w:val="16"/>
        </w:rPr>
        <w:t xml:space="preserve">We verwijzen hierbij </w:t>
      </w:r>
      <w:r w:rsidRPr="00B636E6">
        <w:rPr>
          <w:rFonts w:ascii="Verdana" w:hAnsi="Verdana"/>
          <w:sz w:val="16"/>
          <w:szCs w:val="16"/>
        </w:rPr>
        <w:t xml:space="preserve">naar de vermelde literatuur op p. 11 en 12 van het </w:t>
      </w:r>
      <w:r>
        <w:rPr>
          <w:rFonts w:ascii="Verdana" w:hAnsi="Verdana"/>
          <w:sz w:val="16"/>
          <w:szCs w:val="16"/>
        </w:rPr>
        <w:t>bij deze brief meegestuurde evaluatie</w:t>
      </w:r>
      <w:r w:rsidRPr="00B636E6">
        <w:rPr>
          <w:rFonts w:ascii="Verdana" w:hAnsi="Verdana"/>
          <w:sz w:val="16"/>
          <w:szCs w:val="16"/>
        </w:rPr>
        <w:t>onderzoek.</w:t>
      </w:r>
    </w:p>
  </w:footnote>
  <w:footnote w:id="8">
    <w:p w14:paraId="4EB406B9" w14:textId="77777777" w:rsidR="00D950EC" w:rsidRPr="00E368F1" w:rsidRDefault="00D950EC" w:rsidP="00D950EC">
      <w:pPr>
        <w:pStyle w:val="Voetnoottekst"/>
        <w:rPr>
          <w:rFonts w:ascii="Verdana" w:hAnsi="Verdana"/>
          <w:sz w:val="16"/>
          <w:szCs w:val="16"/>
        </w:rPr>
      </w:pPr>
      <w:r w:rsidRPr="00E368F1">
        <w:rPr>
          <w:rStyle w:val="Voetnootmarkering"/>
          <w:rFonts w:ascii="Verdana" w:hAnsi="Verdana"/>
          <w:sz w:val="16"/>
          <w:szCs w:val="16"/>
        </w:rPr>
        <w:footnoteRef/>
      </w:r>
      <w:r w:rsidRPr="00E368F1">
        <w:rPr>
          <w:rFonts w:ascii="Verdana" w:hAnsi="Verdana"/>
          <w:sz w:val="16"/>
          <w:szCs w:val="16"/>
        </w:rPr>
        <w:t xml:space="preserve"> Kamerstukken II 2013/14, 33 801, nr. 23, p. 2.</w:t>
      </w:r>
    </w:p>
  </w:footnote>
  <w:footnote w:id="9">
    <w:p w14:paraId="6B72D8DF" w14:textId="77777777" w:rsidR="00D950EC" w:rsidRPr="00E368F1" w:rsidRDefault="00D950EC" w:rsidP="00D950EC">
      <w:pPr>
        <w:pStyle w:val="Voetnoottekst"/>
        <w:rPr>
          <w:rFonts w:ascii="Verdana" w:hAnsi="Verdana"/>
          <w:sz w:val="16"/>
          <w:szCs w:val="16"/>
        </w:rPr>
      </w:pPr>
      <w:r w:rsidRPr="00E368F1">
        <w:rPr>
          <w:rStyle w:val="Voetnootmarkering"/>
          <w:rFonts w:ascii="Verdana" w:hAnsi="Verdana"/>
          <w:sz w:val="16"/>
          <w:szCs w:val="16"/>
        </w:rPr>
        <w:footnoteRef/>
      </w:r>
      <w:r w:rsidRPr="00E368F1">
        <w:rPr>
          <w:rFonts w:ascii="Verdana" w:hAnsi="Verdana"/>
          <w:sz w:val="16"/>
          <w:szCs w:val="16"/>
        </w:rPr>
        <w:t xml:space="preserve"> Kamerstukken II 2023/24, 24 170, nr. 309.</w:t>
      </w:r>
    </w:p>
  </w:footnote>
  <w:footnote w:id="10">
    <w:p w14:paraId="2FF6D1E8" w14:textId="77777777" w:rsidR="00D950EC" w:rsidRPr="00984559" w:rsidRDefault="00D950EC" w:rsidP="00D950EC">
      <w:pPr>
        <w:pStyle w:val="Voetnoottekst"/>
        <w:rPr>
          <w:rFonts w:ascii="Verdana" w:hAnsi="Verdana"/>
        </w:rPr>
      </w:pPr>
      <w:r w:rsidRPr="00E368F1">
        <w:rPr>
          <w:rStyle w:val="Voetnootmarkering"/>
          <w:rFonts w:ascii="Verdana" w:hAnsi="Verdana"/>
          <w:sz w:val="16"/>
          <w:szCs w:val="16"/>
        </w:rPr>
        <w:footnoteRef/>
      </w:r>
      <w:r w:rsidRPr="00E368F1">
        <w:rPr>
          <w:rFonts w:ascii="Verdana" w:hAnsi="Verdana"/>
          <w:sz w:val="16"/>
          <w:szCs w:val="16"/>
        </w:rPr>
        <w:t xml:space="preserve"> Kamerstukken II 2024/25, 29 544, nr. 1273.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E835" w14:textId="77777777" w:rsidR="00183A6B" w:rsidRPr="00D950EC" w:rsidRDefault="00183A6B" w:rsidP="00D950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874E" w14:textId="77777777" w:rsidR="00183A6B" w:rsidRPr="00D950EC" w:rsidRDefault="00183A6B" w:rsidP="00D950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D660" w14:textId="77777777" w:rsidR="00183A6B" w:rsidRPr="00D950EC" w:rsidRDefault="00183A6B" w:rsidP="00D950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EC"/>
    <w:rsid w:val="00183A6B"/>
    <w:rsid w:val="002C3E1C"/>
    <w:rsid w:val="002E3E61"/>
    <w:rsid w:val="00587277"/>
    <w:rsid w:val="00C233D6"/>
    <w:rsid w:val="00D950E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D2CD"/>
  <w15:chartTrackingRefBased/>
  <w15:docId w15:val="{36CDF477-25A1-45FC-9A83-C2B81675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5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50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50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50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50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0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0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0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0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50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50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50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50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50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0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0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0EC"/>
    <w:rPr>
      <w:rFonts w:eastAsiaTheme="majorEastAsia" w:cstheme="majorBidi"/>
      <w:color w:val="272727" w:themeColor="text1" w:themeTint="D8"/>
    </w:rPr>
  </w:style>
  <w:style w:type="paragraph" w:styleId="Titel">
    <w:name w:val="Title"/>
    <w:basedOn w:val="Standaard"/>
    <w:next w:val="Standaard"/>
    <w:link w:val="TitelChar"/>
    <w:uiPriority w:val="10"/>
    <w:qFormat/>
    <w:rsid w:val="00D95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0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0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0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0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0EC"/>
    <w:rPr>
      <w:i/>
      <w:iCs/>
      <w:color w:val="404040" w:themeColor="text1" w:themeTint="BF"/>
    </w:rPr>
  </w:style>
  <w:style w:type="paragraph" w:styleId="Lijstalinea">
    <w:name w:val="List Paragraph"/>
    <w:basedOn w:val="Standaard"/>
    <w:uiPriority w:val="34"/>
    <w:qFormat/>
    <w:rsid w:val="00D950EC"/>
    <w:pPr>
      <w:ind w:left="720"/>
      <w:contextualSpacing/>
    </w:pPr>
  </w:style>
  <w:style w:type="character" w:styleId="Intensievebenadrukking">
    <w:name w:val="Intense Emphasis"/>
    <w:basedOn w:val="Standaardalinea-lettertype"/>
    <w:uiPriority w:val="21"/>
    <w:qFormat/>
    <w:rsid w:val="00D950EC"/>
    <w:rPr>
      <w:i/>
      <w:iCs/>
      <w:color w:val="0F4761" w:themeColor="accent1" w:themeShade="BF"/>
    </w:rPr>
  </w:style>
  <w:style w:type="paragraph" w:styleId="Duidelijkcitaat">
    <w:name w:val="Intense Quote"/>
    <w:basedOn w:val="Standaard"/>
    <w:next w:val="Standaard"/>
    <w:link w:val="DuidelijkcitaatChar"/>
    <w:uiPriority w:val="30"/>
    <w:qFormat/>
    <w:rsid w:val="00D95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50EC"/>
    <w:rPr>
      <w:i/>
      <w:iCs/>
      <w:color w:val="0F4761" w:themeColor="accent1" w:themeShade="BF"/>
    </w:rPr>
  </w:style>
  <w:style w:type="character" w:styleId="Intensieveverwijzing">
    <w:name w:val="Intense Reference"/>
    <w:basedOn w:val="Standaardalinea-lettertype"/>
    <w:uiPriority w:val="32"/>
    <w:qFormat/>
    <w:rsid w:val="00D950EC"/>
    <w:rPr>
      <w:b/>
      <w:bCs/>
      <w:smallCaps/>
      <w:color w:val="0F4761" w:themeColor="accent1" w:themeShade="BF"/>
      <w:spacing w:val="5"/>
    </w:rPr>
  </w:style>
  <w:style w:type="paragraph" w:styleId="Koptekst">
    <w:name w:val="header"/>
    <w:basedOn w:val="Standaard"/>
    <w:next w:val="Standaard"/>
    <w:link w:val="KoptekstChar"/>
    <w:rsid w:val="00D950E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950E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950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950EC"/>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D950E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950E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50EC"/>
    <w:rPr>
      <w:sz w:val="20"/>
      <w:szCs w:val="20"/>
    </w:rPr>
  </w:style>
  <w:style w:type="character" w:styleId="Voetnootmarkering">
    <w:name w:val="footnote reference"/>
    <w:basedOn w:val="Standaardalinea-lettertype"/>
    <w:uiPriority w:val="99"/>
    <w:semiHidden/>
    <w:unhideWhenUsed/>
    <w:rsid w:val="00D950EC"/>
    <w:rPr>
      <w:vertAlign w:val="superscript"/>
    </w:rPr>
  </w:style>
  <w:style w:type="paragraph" w:styleId="Geenafstand">
    <w:name w:val="No Spacing"/>
    <w:uiPriority w:val="1"/>
    <w:qFormat/>
    <w:rsid w:val="002C3E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2045</ap:Words>
  <ap:Characters>11250</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2025-07-10T13:21:00.0000000Z</dcterms:created>
  <dcterms:modified xsi:type="dcterms:W3CDTF">2025-07-10T13:21:00.0000000Z</dcterms:modified>
  <version/>
  <category/>
</coreProperties>
</file>