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689F" w:rsidR="007F031D" w:rsidP="007F031D" w:rsidRDefault="007F031D" w14:paraId="72628584" w14:textId="77777777">
      <w:pPr>
        <w:pStyle w:val="Titel"/>
        <w:spacing w:before="0"/>
      </w:pPr>
      <w:r w:rsidRPr="0093689F">
        <w:rPr>
          <w:spacing w:val="-2"/>
        </w:rPr>
        <w:t>2025Z08997</w:t>
      </w:r>
    </w:p>
    <w:p w:rsidRPr="0093689F" w:rsidR="007F031D" w:rsidP="007F031D" w:rsidRDefault="007F031D" w14:paraId="48A90A65" w14:textId="77777777">
      <w:pPr>
        <w:pStyle w:val="Plattetekst"/>
      </w:pPr>
      <w:r w:rsidRPr="0093689F">
        <w:t>(ingezonden</w:t>
      </w:r>
      <w:r w:rsidRPr="0093689F">
        <w:rPr>
          <w:spacing w:val="-6"/>
        </w:rPr>
        <w:t xml:space="preserve"> </w:t>
      </w:r>
      <w:r w:rsidRPr="0093689F">
        <w:t>12</w:t>
      </w:r>
      <w:r w:rsidRPr="0093689F">
        <w:rPr>
          <w:spacing w:val="-3"/>
        </w:rPr>
        <w:t xml:space="preserve"> </w:t>
      </w:r>
      <w:r w:rsidRPr="0093689F">
        <w:t>mei</w:t>
      </w:r>
      <w:r w:rsidRPr="0093689F">
        <w:rPr>
          <w:spacing w:val="-8"/>
        </w:rPr>
        <w:t xml:space="preserve"> </w:t>
      </w:r>
      <w:r w:rsidRPr="0093689F">
        <w:rPr>
          <w:spacing w:val="-2"/>
        </w:rPr>
        <w:t>2025)</w:t>
      </w:r>
    </w:p>
    <w:p w:rsidRPr="0093689F" w:rsidR="007F031D" w:rsidP="007F031D" w:rsidRDefault="007F031D" w14:paraId="18009ED5" w14:textId="77777777">
      <w:pPr>
        <w:pStyle w:val="Plattetekst"/>
        <w:ind w:right="189"/>
      </w:pPr>
      <w:r w:rsidRPr="0093689F">
        <w:t>Vragen van de leden Joseph en Omtzigt (beiden Nieuw Sociaal Contract) aan de minister van Sociale</w:t>
      </w:r>
      <w:r w:rsidRPr="0093689F">
        <w:rPr>
          <w:spacing w:val="-9"/>
        </w:rPr>
        <w:t xml:space="preserve"> </w:t>
      </w:r>
      <w:r w:rsidRPr="0093689F">
        <w:t>Zaken</w:t>
      </w:r>
      <w:r w:rsidRPr="0093689F">
        <w:rPr>
          <w:spacing w:val="-5"/>
        </w:rPr>
        <w:t xml:space="preserve"> </w:t>
      </w:r>
      <w:r w:rsidRPr="0093689F">
        <w:t>en</w:t>
      </w:r>
      <w:r w:rsidRPr="0093689F">
        <w:rPr>
          <w:spacing w:val="-6"/>
        </w:rPr>
        <w:t xml:space="preserve"> </w:t>
      </w:r>
      <w:r w:rsidRPr="0093689F">
        <w:t>Werkgelegenheid</w:t>
      </w:r>
      <w:r w:rsidRPr="0093689F">
        <w:rPr>
          <w:spacing w:val="-9"/>
        </w:rPr>
        <w:t xml:space="preserve"> </w:t>
      </w:r>
      <w:r w:rsidRPr="0093689F">
        <w:t>over</w:t>
      </w:r>
      <w:r w:rsidRPr="0093689F">
        <w:rPr>
          <w:spacing w:val="-9"/>
        </w:rPr>
        <w:t xml:space="preserve"> </w:t>
      </w:r>
      <w:r w:rsidRPr="0093689F">
        <w:t>de</w:t>
      </w:r>
      <w:r w:rsidRPr="0093689F">
        <w:rPr>
          <w:spacing w:val="-9"/>
        </w:rPr>
        <w:t xml:space="preserve"> </w:t>
      </w:r>
      <w:r w:rsidRPr="0093689F">
        <w:t>verjaring</w:t>
      </w:r>
      <w:r w:rsidRPr="0093689F">
        <w:rPr>
          <w:spacing w:val="-9"/>
        </w:rPr>
        <w:t xml:space="preserve"> </w:t>
      </w:r>
      <w:r w:rsidRPr="0093689F">
        <w:t>van</w:t>
      </w:r>
      <w:r w:rsidRPr="0093689F">
        <w:rPr>
          <w:spacing w:val="-6"/>
        </w:rPr>
        <w:t xml:space="preserve"> </w:t>
      </w:r>
      <w:r w:rsidRPr="0093689F">
        <w:t>schadeclaims</w:t>
      </w:r>
      <w:r w:rsidRPr="0093689F">
        <w:rPr>
          <w:spacing w:val="-6"/>
        </w:rPr>
        <w:t xml:space="preserve"> </w:t>
      </w:r>
      <w:r w:rsidRPr="0093689F">
        <w:t>bij</w:t>
      </w:r>
      <w:r w:rsidRPr="0093689F">
        <w:rPr>
          <w:spacing w:val="-5"/>
        </w:rPr>
        <w:t xml:space="preserve"> </w:t>
      </w:r>
      <w:r w:rsidRPr="0093689F">
        <w:t>invaren</w:t>
      </w:r>
      <w:r w:rsidRPr="0093689F">
        <w:rPr>
          <w:spacing w:val="-2"/>
        </w:rPr>
        <w:t xml:space="preserve"> </w:t>
      </w:r>
      <w:r w:rsidRPr="0093689F">
        <w:t>van</w:t>
      </w:r>
      <w:r w:rsidRPr="0093689F">
        <w:rPr>
          <w:spacing w:val="-6"/>
        </w:rPr>
        <w:t xml:space="preserve"> </w:t>
      </w:r>
      <w:r w:rsidRPr="0093689F">
        <w:t>pensioenen.</w:t>
      </w:r>
    </w:p>
    <w:p w:rsidRPr="0093689F" w:rsidR="007F031D" w:rsidP="007F031D" w:rsidRDefault="007F031D" w14:paraId="6ADA188F" w14:textId="77777777">
      <w:pPr>
        <w:pStyle w:val="Plattetekst"/>
        <w:ind w:left="0"/>
      </w:pPr>
    </w:p>
    <w:p w:rsidR="007F031D" w:rsidP="007F031D" w:rsidRDefault="007F031D" w14:paraId="4BED1538" w14:textId="487EE9A4">
      <w:pPr>
        <w:pStyle w:val="Lijstalinea"/>
        <w:numPr>
          <w:ilvl w:val="0"/>
          <w:numId w:val="2"/>
        </w:numPr>
        <w:tabs>
          <w:tab w:val="left" w:pos="359"/>
        </w:tabs>
        <w:ind w:right="536" w:firstLine="0"/>
        <w:rPr>
          <w:sz w:val="18"/>
        </w:rPr>
      </w:pPr>
      <w:r w:rsidRPr="0093689F">
        <w:rPr>
          <w:sz w:val="18"/>
        </w:rPr>
        <w:t>Heeft</w:t>
      </w:r>
      <w:r w:rsidRPr="0093689F">
        <w:rPr>
          <w:spacing w:val="-6"/>
          <w:sz w:val="18"/>
        </w:rPr>
        <w:t xml:space="preserve"> </w:t>
      </w:r>
      <w:r w:rsidRPr="0093689F">
        <w:rPr>
          <w:sz w:val="18"/>
        </w:rPr>
        <w:t>u</w:t>
      </w:r>
      <w:r w:rsidRPr="0093689F">
        <w:rPr>
          <w:spacing w:val="-4"/>
          <w:sz w:val="18"/>
        </w:rPr>
        <w:t xml:space="preserve"> </w:t>
      </w:r>
      <w:r w:rsidRPr="0093689F">
        <w:rPr>
          <w:sz w:val="18"/>
        </w:rPr>
        <w:t>kennisgenomen</w:t>
      </w:r>
      <w:r w:rsidRPr="0093689F">
        <w:rPr>
          <w:spacing w:val="-4"/>
          <w:sz w:val="18"/>
        </w:rPr>
        <w:t xml:space="preserve"> </w:t>
      </w:r>
      <w:r w:rsidRPr="0093689F">
        <w:rPr>
          <w:sz w:val="18"/>
        </w:rPr>
        <w:t>van</w:t>
      </w:r>
      <w:r w:rsidRPr="0093689F">
        <w:rPr>
          <w:spacing w:val="-4"/>
          <w:sz w:val="18"/>
        </w:rPr>
        <w:t xml:space="preserve"> </w:t>
      </w:r>
      <w:r w:rsidRPr="0093689F">
        <w:rPr>
          <w:sz w:val="18"/>
        </w:rPr>
        <w:t>de</w:t>
      </w:r>
      <w:r w:rsidRPr="0093689F">
        <w:rPr>
          <w:spacing w:val="-3"/>
          <w:sz w:val="18"/>
        </w:rPr>
        <w:t xml:space="preserve"> </w:t>
      </w:r>
      <w:r w:rsidRPr="0093689F">
        <w:rPr>
          <w:sz w:val="18"/>
        </w:rPr>
        <w:t>uitspraak</w:t>
      </w:r>
      <w:r w:rsidRPr="0093689F">
        <w:rPr>
          <w:spacing w:val="-7"/>
          <w:sz w:val="18"/>
        </w:rPr>
        <w:t xml:space="preserve"> </w:t>
      </w:r>
      <w:r w:rsidRPr="0093689F">
        <w:rPr>
          <w:sz w:val="18"/>
        </w:rPr>
        <w:t>van</w:t>
      </w:r>
      <w:r w:rsidRPr="0093689F">
        <w:rPr>
          <w:spacing w:val="-4"/>
          <w:sz w:val="18"/>
        </w:rPr>
        <w:t xml:space="preserve"> </w:t>
      </w:r>
      <w:r w:rsidRPr="0093689F">
        <w:rPr>
          <w:sz w:val="18"/>
        </w:rPr>
        <w:t>de</w:t>
      </w:r>
      <w:r w:rsidRPr="0093689F">
        <w:rPr>
          <w:spacing w:val="-7"/>
          <w:sz w:val="18"/>
        </w:rPr>
        <w:t xml:space="preserve"> </w:t>
      </w:r>
      <w:r w:rsidRPr="0093689F">
        <w:rPr>
          <w:sz w:val="18"/>
        </w:rPr>
        <w:t>Rechtbank</w:t>
      </w:r>
      <w:r w:rsidRPr="0093689F">
        <w:rPr>
          <w:spacing w:val="-7"/>
          <w:sz w:val="18"/>
        </w:rPr>
        <w:t xml:space="preserve"> </w:t>
      </w:r>
      <w:r w:rsidRPr="0093689F">
        <w:rPr>
          <w:sz w:val="18"/>
        </w:rPr>
        <w:t>Oost-Brabant</w:t>
      </w:r>
      <w:r w:rsidRPr="0093689F">
        <w:rPr>
          <w:spacing w:val="-6"/>
          <w:sz w:val="18"/>
        </w:rPr>
        <w:t xml:space="preserve"> </w:t>
      </w:r>
      <w:r w:rsidRPr="0093689F">
        <w:rPr>
          <w:sz w:val="18"/>
        </w:rPr>
        <w:t>van</w:t>
      </w:r>
      <w:r w:rsidRPr="0093689F">
        <w:rPr>
          <w:spacing w:val="-4"/>
          <w:sz w:val="18"/>
        </w:rPr>
        <w:t xml:space="preserve"> </w:t>
      </w:r>
      <w:r w:rsidRPr="0093689F">
        <w:rPr>
          <w:sz w:val="18"/>
        </w:rPr>
        <w:t>10</w:t>
      </w:r>
      <w:r w:rsidRPr="0093689F">
        <w:rPr>
          <w:spacing w:val="-4"/>
          <w:sz w:val="18"/>
        </w:rPr>
        <w:t xml:space="preserve"> </w:t>
      </w:r>
      <w:r w:rsidRPr="0093689F">
        <w:rPr>
          <w:sz w:val="18"/>
        </w:rPr>
        <w:t>april</w:t>
      </w:r>
      <w:r w:rsidRPr="0093689F">
        <w:rPr>
          <w:spacing w:val="-9"/>
          <w:sz w:val="18"/>
        </w:rPr>
        <w:t xml:space="preserve"> </w:t>
      </w:r>
      <w:r w:rsidRPr="0093689F">
        <w:rPr>
          <w:sz w:val="18"/>
        </w:rPr>
        <w:t>2025, waaruit blijkt dat schadeclaims wegens fouten van pensioenfondsen in beginsel na 20 jaar verjaren?</w:t>
      </w:r>
      <w:r w:rsidR="000938BC">
        <w:rPr>
          <w:rStyle w:val="Voetnootmarkering"/>
          <w:sz w:val="18"/>
        </w:rPr>
        <w:footnoteReference w:id="1"/>
      </w:r>
      <w:r w:rsidRPr="0093689F">
        <w:rPr>
          <w:sz w:val="18"/>
        </w:rPr>
        <w:t xml:space="preserve"> </w:t>
      </w:r>
    </w:p>
    <w:p w:rsidRPr="0045516C" w:rsidR="007F031D" w:rsidP="007F031D" w:rsidRDefault="007F031D" w14:paraId="6153D524" w14:textId="77777777">
      <w:pPr>
        <w:pStyle w:val="Lijstalinea"/>
        <w:tabs>
          <w:tab w:val="left" w:pos="359"/>
        </w:tabs>
        <w:ind w:right="536"/>
        <w:rPr>
          <w:sz w:val="18"/>
        </w:rPr>
      </w:pPr>
    </w:p>
    <w:p w:rsidRPr="00F24B61" w:rsidR="007F031D" w:rsidP="007F031D" w:rsidRDefault="007F031D" w14:paraId="6824B113" w14:textId="77777777">
      <w:pPr>
        <w:pStyle w:val="Lijstalinea"/>
        <w:tabs>
          <w:tab w:val="left" w:pos="359"/>
        </w:tabs>
        <w:ind w:right="110"/>
        <w:rPr>
          <w:sz w:val="18"/>
          <w:u w:val="single"/>
        </w:rPr>
      </w:pPr>
      <w:r w:rsidRPr="00F24B61">
        <w:rPr>
          <w:sz w:val="18"/>
          <w:u w:val="single"/>
        </w:rPr>
        <w:t xml:space="preserve">Antwoord </w:t>
      </w:r>
    </w:p>
    <w:p w:rsidRPr="00F24B61" w:rsidR="007F031D" w:rsidP="007F031D" w:rsidRDefault="007F031D" w14:paraId="62AA0E6D" w14:textId="77777777">
      <w:pPr>
        <w:pStyle w:val="Lijstalinea"/>
        <w:tabs>
          <w:tab w:val="left" w:pos="359"/>
        </w:tabs>
        <w:ind w:right="110"/>
        <w:rPr>
          <w:sz w:val="18"/>
        </w:rPr>
      </w:pPr>
      <w:r w:rsidRPr="00F24B61">
        <w:rPr>
          <w:sz w:val="18"/>
        </w:rPr>
        <w:t xml:space="preserve">Ja, hiervan heb ik kennisgenomen. </w:t>
      </w:r>
    </w:p>
    <w:p w:rsidR="007F031D" w:rsidP="007F031D" w:rsidRDefault="007F031D" w14:paraId="30F85459" w14:textId="77777777">
      <w:pPr>
        <w:pStyle w:val="Lijstalinea"/>
        <w:tabs>
          <w:tab w:val="left" w:pos="359"/>
        </w:tabs>
        <w:ind w:right="110"/>
        <w:rPr>
          <w:i/>
          <w:iCs/>
          <w:color w:val="0070C0"/>
          <w:sz w:val="18"/>
        </w:rPr>
      </w:pPr>
    </w:p>
    <w:p w:rsidR="007F031D" w:rsidP="007F031D" w:rsidRDefault="007F031D" w14:paraId="41C8B1A0" w14:textId="77777777">
      <w:pPr>
        <w:pStyle w:val="Lijstalinea"/>
        <w:numPr>
          <w:ilvl w:val="0"/>
          <w:numId w:val="2"/>
        </w:numPr>
        <w:tabs>
          <w:tab w:val="left" w:pos="359"/>
        </w:tabs>
        <w:ind w:right="536" w:firstLine="0"/>
        <w:rPr>
          <w:sz w:val="18"/>
        </w:rPr>
      </w:pPr>
      <w:r w:rsidRPr="0093689F">
        <w:rPr>
          <w:sz w:val="18"/>
        </w:rPr>
        <w:t xml:space="preserve">Deelt u de opvatting dat, gelet op deze uitspraak </w:t>
      </w:r>
      <w:r w:rsidRPr="0069250C">
        <w:rPr>
          <w:sz w:val="18"/>
        </w:rPr>
        <w:t>en</w:t>
      </w:r>
      <w:r w:rsidRPr="0093689F">
        <w:rPr>
          <w:sz w:val="18"/>
        </w:rPr>
        <w:t xml:space="preserve"> het algemene verjaringsleerstuk uit Boek 3 van het Burgerlijk Wetboek, geconcludeerd kan worden dat een rechtsvordering tot schadevergoeding wegens rekenfouten bij het invaren, </w:t>
      </w:r>
      <w:r w:rsidRPr="0069250C">
        <w:rPr>
          <w:sz w:val="18"/>
        </w:rPr>
        <w:t>dan wel</w:t>
      </w:r>
      <w:r w:rsidRPr="0093689F">
        <w:rPr>
          <w:sz w:val="18"/>
        </w:rPr>
        <w:t xml:space="preserve"> schade als gevolg van het invaren ten</w:t>
      </w:r>
      <w:r w:rsidRPr="0069250C">
        <w:rPr>
          <w:sz w:val="18"/>
        </w:rPr>
        <w:t xml:space="preserve"> </w:t>
      </w:r>
      <w:r w:rsidRPr="0093689F">
        <w:rPr>
          <w:sz w:val="18"/>
        </w:rPr>
        <w:t>opzichte</w:t>
      </w:r>
      <w:r w:rsidRPr="0069250C">
        <w:rPr>
          <w:sz w:val="18"/>
        </w:rPr>
        <w:t xml:space="preserve"> </w:t>
      </w:r>
      <w:r w:rsidRPr="0093689F">
        <w:rPr>
          <w:sz w:val="18"/>
        </w:rPr>
        <w:t>van</w:t>
      </w:r>
      <w:r w:rsidRPr="0069250C">
        <w:rPr>
          <w:sz w:val="18"/>
        </w:rPr>
        <w:t xml:space="preserve"> </w:t>
      </w:r>
      <w:r w:rsidRPr="0093689F">
        <w:rPr>
          <w:sz w:val="18"/>
        </w:rPr>
        <w:t>de</w:t>
      </w:r>
      <w:r w:rsidRPr="0069250C">
        <w:rPr>
          <w:sz w:val="18"/>
        </w:rPr>
        <w:t xml:space="preserve"> </w:t>
      </w:r>
      <w:r w:rsidRPr="0093689F">
        <w:rPr>
          <w:sz w:val="18"/>
        </w:rPr>
        <w:t>situatie</w:t>
      </w:r>
      <w:r w:rsidRPr="0069250C">
        <w:rPr>
          <w:sz w:val="18"/>
        </w:rPr>
        <w:t xml:space="preserve"> </w:t>
      </w:r>
      <w:r w:rsidRPr="0093689F">
        <w:rPr>
          <w:sz w:val="18"/>
        </w:rPr>
        <w:t>waarin</w:t>
      </w:r>
      <w:r w:rsidRPr="0069250C">
        <w:rPr>
          <w:sz w:val="18"/>
        </w:rPr>
        <w:t xml:space="preserve"> </w:t>
      </w:r>
      <w:r w:rsidRPr="0093689F">
        <w:rPr>
          <w:sz w:val="18"/>
        </w:rPr>
        <w:t>niet</w:t>
      </w:r>
      <w:r w:rsidRPr="0069250C">
        <w:rPr>
          <w:sz w:val="18"/>
        </w:rPr>
        <w:t xml:space="preserve"> </w:t>
      </w:r>
      <w:r w:rsidRPr="0093689F">
        <w:rPr>
          <w:sz w:val="18"/>
        </w:rPr>
        <w:t>zou</w:t>
      </w:r>
      <w:r w:rsidRPr="0069250C">
        <w:rPr>
          <w:sz w:val="18"/>
        </w:rPr>
        <w:t xml:space="preserve"> </w:t>
      </w:r>
      <w:r w:rsidRPr="0093689F">
        <w:rPr>
          <w:sz w:val="18"/>
        </w:rPr>
        <w:t>zijn</w:t>
      </w:r>
      <w:r w:rsidRPr="0069250C">
        <w:rPr>
          <w:sz w:val="18"/>
        </w:rPr>
        <w:t xml:space="preserve"> </w:t>
      </w:r>
      <w:r w:rsidRPr="0093689F">
        <w:rPr>
          <w:sz w:val="18"/>
        </w:rPr>
        <w:t>ingevaren,</w:t>
      </w:r>
      <w:r w:rsidRPr="0069250C">
        <w:rPr>
          <w:sz w:val="18"/>
        </w:rPr>
        <w:t xml:space="preserve"> </w:t>
      </w:r>
      <w:r w:rsidRPr="0093689F">
        <w:rPr>
          <w:sz w:val="18"/>
        </w:rPr>
        <w:t>in</w:t>
      </w:r>
      <w:r w:rsidRPr="0069250C">
        <w:rPr>
          <w:sz w:val="18"/>
        </w:rPr>
        <w:t xml:space="preserve"> </w:t>
      </w:r>
      <w:r w:rsidRPr="0093689F">
        <w:rPr>
          <w:sz w:val="18"/>
        </w:rPr>
        <w:t>beginsel</w:t>
      </w:r>
      <w:r w:rsidRPr="0069250C">
        <w:rPr>
          <w:sz w:val="18"/>
        </w:rPr>
        <w:t xml:space="preserve"> </w:t>
      </w:r>
      <w:r w:rsidRPr="0093689F">
        <w:rPr>
          <w:sz w:val="18"/>
        </w:rPr>
        <w:t>na uiterlijk</w:t>
      </w:r>
      <w:r w:rsidRPr="0069250C">
        <w:rPr>
          <w:sz w:val="18"/>
        </w:rPr>
        <w:t xml:space="preserve"> </w:t>
      </w:r>
      <w:r w:rsidRPr="0093689F">
        <w:rPr>
          <w:sz w:val="18"/>
        </w:rPr>
        <w:t>20</w:t>
      </w:r>
      <w:r w:rsidRPr="0069250C">
        <w:rPr>
          <w:sz w:val="18"/>
        </w:rPr>
        <w:t xml:space="preserve"> </w:t>
      </w:r>
      <w:r w:rsidRPr="0093689F">
        <w:rPr>
          <w:sz w:val="18"/>
        </w:rPr>
        <w:t>jaar</w:t>
      </w:r>
      <w:r w:rsidRPr="0069250C">
        <w:rPr>
          <w:sz w:val="18"/>
        </w:rPr>
        <w:t xml:space="preserve"> </w:t>
      </w:r>
      <w:r w:rsidRPr="0093689F">
        <w:rPr>
          <w:sz w:val="18"/>
        </w:rPr>
        <w:t>verjaart?</w:t>
      </w:r>
    </w:p>
    <w:p w:rsidRPr="0093689F" w:rsidR="007F031D" w:rsidP="007F031D" w:rsidRDefault="007F031D" w14:paraId="4B53120E" w14:textId="77777777">
      <w:pPr>
        <w:pStyle w:val="Lijstalinea"/>
        <w:tabs>
          <w:tab w:val="left" w:pos="359"/>
        </w:tabs>
        <w:ind w:right="536"/>
        <w:rPr>
          <w:sz w:val="18"/>
        </w:rPr>
      </w:pPr>
    </w:p>
    <w:p w:rsidRPr="00F24B61" w:rsidR="007F031D" w:rsidP="007F031D" w:rsidRDefault="007F031D" w14:paraId="4CE86F23" w14:textId="77777777">
      <w:pPr>
        <w:pStyle w:val="Lijstalinea"/>
        <w:tabs>
          <w:tab w:val="left" w:pos="359"/>
        </w:tabs>
        <w:ind w:right="158"/>
        <w:rPr>
          <w:sz w:val="18"/>
          <w:u w:val="single"/>
        </w:rPr>
      </w:pPr>
      <w:r w:rsidRPr="00F24B61">
        <w:rPr>
          <w:sz w:val="18"/>
          <w:u w:val="single"/>
        </w:rPr>
        <w:t xml:space="preserve">Antwoord </w:t>
      </w:r>
    </w:p>
    <w:p w:rsidRPr="00F24B61" w:rsidR="007F031D" w:rsidP="007F031D" w:rsidRDefault="007F031D" w14:paraId="0BFC7992" w14:textId="77777777">
      <w:pPr>
        <w:pStyle w:val="Lijstalinea"/>
        <w:tabs>
          <w:tab w:val="left" w:pos="359"/>
        </w:tabs>
        <w:ind w:right="158"/>
        <w:rPr>
          <w:i/>
          <w:iCs/>
          <w:sz w:val="18"/>
        </w:rPr>
      </w:pPr>
      <w:r w:rsidRPr="00F24B61">
        <w:rPr>
          <w:sz w:val="18"/>
        </w:rPr>
        <w:t>Ja, deze opvatting ten aanzien van verjaring deel ik. De reden hiertoe is dat er op dit moment geen juridisch verschil bestaat in de verjaringstermijnen zoals neergelegd in Boek 3 van het Burgerlijk Wetboek (BW) in de situatie vóór invaren onder de Wet toekomst pensioenen (</w:t>
      </w:r>
      <w:proofErr w:type="spellStart"/>
      <w:r w:rsidRPr="00F24B61">
        <w:rPr>
          <w:sz w:val="18"/>
        </w:rPr>
        <w:t>Wtp</w:t>
      </w:r>
      <w:proofErr w:type="spellEnd"/>
      <w:r w:rsidRPr="00F24B61">
        <w:rPr>
          <w:sz w:val="18"/>
        </w:rPr>
        <w:t xml:space="preserve">) en de situatie ná invaren onder de </w:t>
      </w:r>
      <w:proofErr w:type="spellStart"/>
      <w:r w:rsidRPr="00F24B61">
        <w:rPr>
          <w:sz w:val="18"/>
        </w:rPr>
        <w:t>Wtp</w:t>
      </w:r>
      <w:proofErr w:type="spellEnd"/>
      <w:r w:rsidRPr="00F24B61">
        <w:rPr>
          <w:sz w:val="18"/>
        </w:rPr>
        <w:t xml:space="preserve">. De verjaringstermijn van 20 jaar (absolute verjaring) begint op het moment dat een fout is gemaakt als schadeveroorzakende moment en is hard. Het is uiteindelijk aan de rechter om te oordelen of (reken)fouten bij het invaren eventueel anders beoordeeld moeten worden. Belangrijk is daarbij wel dat de </w:t>
      </w:r>
      <w:proofErr w:type="spellStart"/>
      <w:r w:rsidRPr="00F24B61">
        <w:rPr>
          <w:sz w:val="18"/>
        </w:rPr>
        <w:t>Wtp</w:t>
      </w:r>
      <w:proofErr w:type="spellEnd"/>
      <w:r w:rsidRPr="00F24B61">
        <w:rPr>
          <w:sz w:val="18"/>
        </w:rPr>
        <w:t xml:space="preserve"> veel waarborgen bevat om te voorkomen dat tijdens (en na) het invaren fouten gemaakt worden en dat fouten ook hersteld kunnen en zullen worden. Ik vind het </w:t>
      </w:r>
      <w:r>
        <w:rPr>
          <w:sz w:val="18"/>
        </w:rPr>
        <w:t xml:space="preserve">daarom </w:t>
      </w:r>
      <w:r w:rsidRPr="00F24B61">
        <w:rPr>
          <w:sz w:val="18"/>
        </w:rPr>
        <w:t>van belang dat fondsen hier alert op zijn en daar werk van maken. In het antwoord op vraag 3 ga ik hier nader op in.</w:t>
      </w:r>
      <w:r w:rsidRPr="00F24B61">
        <w:rPr>
          <w:i/>
          <w:iCs/>
          <w:sz w:val="18"/>
        </w:rPr>
        <w:t xml:space="preserve"> </w:t>
      </w:r>
    </w:p>
    <w:p w:rsidRPr="0093689F" w:rsidR="007F031D" w:rsidP="007F031D" w:rsidRDefault="007F031D" w14:paraId="6FD08012" w14:textId="77777777">
      <w:pPr>
        <w:pStyle w:val="Lijstalinea"/>
        <w:tabs>
          <w:tab w:val="left" w:pos="359"/>
        </w:tabs>
        <w:ind w:right="158"/>
        <w:rPr>
          <w:sz w:val="18"/>
        </w:rPr>
      </w:pPr>
    </w:p>
    <w:p w:rsidR="007F031D" w:rsidP="007F031D" w:rsidRDefault="007F031D" w14:paraId="2CCE2EEC" w14:textId="77777777">
      <w:pPr>
        <w:pStyle w:val="Lijstalinea"/>
        <w:numPr>
          <w:ilvl w:val="0"/>
          <w:numId w:val="2"/>
        </w:numPr>
        <w:tabs>
          <w:tab w:val="left" w:pos="359"/>
        </w:tabs>
        <w:ind w:right="119" w:firstLine="0"/>
        <w:rPr>
          <w:sz w:val="18"/>
        </w:rPr>
      </w:pPr>
      <w:r w:rsidRPr="0093689F">
        <w:rPr>
          <w:sz w:val="18"/>
        </w:rPr>
        <w:t>Acht</w:t>
      </w:r>
      <w:r w:rsidRPr="0093689F">
        <w:rPr>
          <w:spacing w:val="-9"/>
          <w:sz w:val="18"/>
        </w:rPr>
        <w:t xml:space="preserve"> </w:t>
      </w:r>
      <w:r w:rsidRPr="0093689F">
        <w:rPr>
          <w:sz w:val="18"/>
        </w:rPr>
        <w:t>u</w:t>
      </w:r>
      <w:r w:rsidRPr="0093689F">
        <w:rPr>
          <w:spacing w:val="-2"/>
          <w:sz w:val="18"/>
        </w:rPr>
        <w:t xml:space="preserve"> </w:t>
      </w:r>
      <w:r w:rsidRPr="0093689F">
        <w:rPr>
          <w:sz w:val="18"/>
        </w:rPr>
        <w:t>het</w:t>
      </w:r>
      <w:r w:rsidRPr="0093689F">
        <w:rPr>
          <w:spacing w:val="-4"/>
          <w:sz w:val="18"/>
        </w:rPr>
        <w:t xml:space="preserve"> </w:t>
      </w:r>
      <w:r w:rsidRPr="0093689F">
        <w:rPr>
          <w:sz w:val="18"/>
        </w:rPr>
        <w:t>in</w:t>
      </w:r>
      <w:r w:rsidRPr="0093689F">
        <w:rPr>
          <w:spacing w:val="-2"/>
          <w:sz w:val="18"/>
        </w:rPr>
        <w:t xml:space="preserve"> </w:t>
      </w:r>
      <w:r w:rsidRPr="0093689F">
        <w:rPr>
          <w:sz w:val="18"/>
        </w:rPr>
        <w:t>dat</w:t>
      </w:r>
      <w:r w:rsidRPr="0093689F">
        <w:rPr>
          <w:spacing w:val="-4"/>
          <w:sz w:val="18"/>
        </w:rPr>
        <w:t xml:space="preserve"> </w:t>
      </w:r>
      <w:r w:rsidRPr="0093689F">
        <w:rPr>
          <w:sz w:val="18"/>
        </w:rPr>
        <w:t>licht</w:t>
      </w:r>
      <w:r w:rsidRPr="0093689F">
        <w:rPr>
          <w:spacing w:val="-4"/>
          <w:sz w:val="18"/>
        </w:rPr>
        <w:t xml:space="preserve"> </w:t>
      </w:r>
      <w:r w:rsidRPr="0093689F">
        <w:rPr>
          <w:sz w:val="18"/>
        </w:rPr>
        <w:t>niet</w:t>
      </w:r>
      <w:r w:rsidRPr="0093689F">
        <w:rPr>
          <w:spacing w:val="-4"/>
          <w:sz w:val="18"/>
        </w:rPr>
        <w:t xml:space="preserve"> </w:t>
      </w:r>
      <w:r w:rsidRPr="0093689F">
        <w:rPr>
          <w:sz w:val="18"/>
        </w:rPr>
        <w:t>problematisch</w:t>
      </w:r>
      <w:r w:rsidRPr="0093689F">
        <w:rPr>
          <w:spacing w:val="-2"/>
          <w:sz w:val="18"/>
        </w:rPr>
        <w:t xml:space="preserve"> </w:t>
      </w:r>
      <w:r w:rsidRPr="0093689F">
        <w:rPr>
          <w:sz w:val="18"/>
        </w:rPr>
        <w:t>dat</w:t>
      </w:r>
      <w:r w:rsidRPr="0093689F">
        <w:rPr>
          <w:spacing w:val="-4"/>
          <w:sz w:val="18"/>
        </w:rPr>
        <w:t xml:space="preserve"> </w:t>
      </w:r>
      <w:r w:rsidRPr="0093689F">
        <w:rPr>
          <w:sz w:val="18"/>
        </w:rPr>
        <w:t>deelnemers</w:t>
      </w:r>
      <w:r w:rsidRPr="0093689F">
        <w:rPr>
          <w:spacing w:val="-2"/>
          <w:sz w:val="18"/>
        </w:rPr>
        <w:t xml:space="preserve"> </w:t>
      </w:r>
      <w:r w:rsidRPr="0093689F">
        <w:rPr>
          <w:sz w:val="18"/>
        </w:rPr>
        <w:t>in</w:t>
      </w:r>
      <w:r w:rsidRPr="0093689F">
        <w:rPr>
          <w:spacing w:val="-2"/>
          <w:sz w:val="18"/>
        </w:rPr>
        <w:t xml:space="preserve"> </w:t>
      </w:r>
      <w:r w:rsidRPr="0093689F">
        <w:rPr>
          <w:sz w:val="18"/>
        </w:rPr>
        <w:t>veel</w:t>
      </w:r>
      <w:r w:rsidRPr="0093689F">
        <w:rPr>
          <w:spacing w:val="-7"/>
          <w:sz w:val="18"/>
        </w:rPr>
        <w:t xml:space="preserve"> </w:t>
      </w:r>
      <w:r w:rsidRPr="0093689F">
        <w:rPr>
          <w:sz w:val="18"/>
        </w:rPr>
        <w:t xml:space="preserve">gevallen </w:t>
      </w:r>
      <w:r>
        <w:rPr>
          <w:sz w:val="18"/>
        </w:rPr>
        <w:t xml:space="preserve">dat </w:t>
      </w:r>
      <w:r w:rsidRPr="0093689F">
        <w:rPr>
          <w:sz w:val="18"/>
        </w:rPr>
        <w:t>bijvoorbeeld</w:t>
      </w:r>
      <w:r w:rsidRPr="0093689F">
        <w:rPr>
          <w:spacing w:val="-5"/>
          <w:sz w:val="18"/>
        </w:rPr>
        <w:t xml:space="preserve"> </w:t>
      </w:r>
      <w:r w:rsidRPr="0093689F">
        <w:rPr>
          <w:sz w:val="18"/>
        </w:rPr>
        <w:t>jongere deelnemers zoals veertigers — pas over circa 25 jaar kunnen vaststellen wat hun feitelijk pensioenresultaat</w:t>
      </w:r>
      <w:r w:rsidRPr="0093689F">
        <w:rPr>
          <w:spacing w:val="-4"/>
          <w:sz w:val="18"/>
        </w:rPr>
        <w:t xml:space="preserve"> </w:t>
      </w:r>
      <w:r w:rsidRPr="0093689F">
        <w:rPr>
          <w:sz w:val="18"/>
        </w:rPr>
        <w:t>is,</w:t>
      </w:r>
      <w:r w:rsidRPr="0093689F">
        <w:rPr>
          <w:spacing w:val="-3"/>
          <w:sz w:val="18"/>
        </w:rPr>
        <w:t xml:space="preserve"> </w:t>
      </w:r>
      <w:r w:rsidRPr="0093689F">
        <w:rPr>
          <w:sz w:val="18"/>
        </w:rPr>
        <w:t>terwijl</w:t>
      </w:r>
      <w:r w:rsidRPr="0093689F">
        <w:rPr>
          <w:spacing w:val="-6"/>
          <w:sz w:val="18"/>
        </w:rPr>
        <w:t xml:space="preserve"> </w:t>
      </w:r>
      <w:r w:rsidRPr="0093689F">
        <w:rPr>
          <w:sz w:val="18"/>
        </w:rPr>
        <w:t>zij</w:t>
      </w:r>
      <w:r w:rsidRPr="0093689F">
        <w:rPr>
          <w:spacing w:val="-4"/>
          <w:sz w:val="18"/>
        </w:rPr>
        <w:t xml:space="preserve"> </w:t>
      </w:r>
      <w:r w:rsidRPr="0093689F">
        <w:rPr>
          <w:sz w:val="18"/>
        </w:rPr>
        <w:t>bovendien</w:t>
      </w:r>
      <w:r w:rsidRPr="0093689F">
        <w:rPr>
          <w:spacing w:val="-2"/>
          <w:sz w:val="18"/>
        </w:rPr>
        <w:t xml:space="preserve"> </w:t>
      </w:r>
      <w:r w:rsidRPr="0093689F">
        <w:rPr>
          <w:sz w:val="18"/>
        </w:rPr>
        <w:t>niet</w:t>
      </w:r>
      <w:r w:rsidRPr="0093689F">
        <w:rPr>
          <w:spacing w:val="-4"/>
          <w:sz w:val="18"/>
        </w:rPr>
        <w:t xml:space="preserve"> </w:t>
      </w:r>
      <w:r w:rsidRPr="0093689F">
        <w:rPr>
          <w:sz w:val="18"/>
        </w:rPr>
        <w:t>zelfstandig</w:t>
      </w:r>
      <w:r w:rsidRPr="0093689F">
        <w:rPr>
          <w:spacing w:val="-4"/>
          <w:sz w:val="18"/>
        </w:rPr>
        <w:t xml:space="preserve"> </w:t>
      </w:r>
      <w:r w:rsidRPr="0093689F">
        <w:rPr>
          <w:sz w:val="18"/>
        </w:rPr>
        <w:t>kunnen</w:t>
      </w:r>
      <w:r w:rsidRPr="0093689F">
        <w:rPr>
          <w:spacing w:val="-2"/>
          <w:sz w:val="18"/>
        </w:rPr>
        <w:t xml:space="preserve"> </w:t>
      </w:r>
      <w:r w:rsidRPr="0093689F">
        <w:rPr>
          <w:sz w:val="18"/>
        </w:rPr>
        <w:t>nagaan</w:t>
      </w:r>
      <w:r w:rsidRPr="0093689F">
        <w:rPr>
          <w:spacing w:val="-2"/>
          <w:sz w:val="18"/>
        </w:rPr>
        <w:t xml:space="preserve"> </w:t>
      </w:r>
      <w:r w:rsidRPr="0093689F">
        <w:rPr>
          <w:sz w:val="18"/>
        </w:rPr>
        <w:t>of</w:t>
      </w:r>
      <w:r w:rsidRPr="0093689F">
        <w:rPr>
          <w:spacing w:val="-5"/>
          <w:sz w:val="18"/>
        </w:rPr>
        <w:t xml:space="preserve"> </w:t>
      </w:r>
      <w:r w:rsidRPr="0093689F">
        <w:rPr>
          <w:sz w:val="18"/>
        </w:rPr>
        <w:t>hun</w:t>
      </w:r>
      <w:r w:rsidRPr="0093689F">
        <w:rPr>
          <w:spacing w:val="-6"/>
          <w:sz w:val="18"/>
        </w:rPr>
        <w:t xml:space="preserve"> </w:t>
      </w:r>
      <w:r w:rsidRPr="0093689F">
        <w:rPr>
          <w:sz w:val="18"/>
        </w:rPr>
        <w:t xml:space="preserve">transitieaanspraak correct is berekend en geen inzicht hebben in de verjaringsproblematiek? </w:t>
      </w:r>
    </w:p>
    <w:p w:rsidRPr="0093689F" w:rsidR="007F031D" w:rsidP="007F031D" w:rsidRDefault="007F031D" w14:paraId="7CEADB4A" w14:textId="77777777">
      <w:pPr>
        <w:pStyle w:val="Lijstalinea"/>
        <w:tabs>
          <w:tab w:val="left" w:pos="359"/>
        </w:tabs>
        <w:ind w:right="119"/>
        <w:rPr>
          <w:sz w:val="18"/>
        </w:rPr>
      </w:pPr>
    </w:p>
    <w:p w:rsidRPr="00F24B61" w:rsidR="007F031D" w:rsidP="007F031D" w:rsidRDefault="007F031D" w14:paraId="58EB91A1" w14:textId="77777777">
      <w:pPr>
        <w:pStyle w:val="Lijstalinea"/>
        <w:tabs>
          <w:tab w:val="left" w:pos="359"/>
        </w:tabs>
        <w:ind w:right="119"/>
        <w:rPr>
          <w:sz w:val="18"/>
          <w:u w:val="single"/>
        </w:rPr>
      </w:pPr>
      <w:r w:rsidRPr="00F24B61">
        <w:rPr>
          <w:sz w:val="18"/>
          <w:u w:val="single"/>
        </w:rPr>
        <w:t>Antwoord</w:t>
      </w:r>
    </w:p>
    <w:p w:rsidRPr="00F24B61" w:rsidR="007F031D" w:rsidP="007F031D" w:rsidRDefault="007F031D" w14:paraId="603EAF1E" w14:textId="77777777">
      <w:pPr>
        <w:pStyle w:val="Lijstalinea"/>
        <w:tabs>
          <w:tab w:val="left" w:pos="359"/>
        </w:tabs>
        <w:ind w:right="119"/>
        <w:rPr>
          <w:sz w:val="18"/>
        </w:rPr>
      </w:pPr>
      <w:r w:rsidRPr="00F24B61">
        <w:rPr>
          <w:sz w:val="18"/>
        </w:rPr>
        <w:t xml:space="preserve">Nee, dit zie ik anders en ik geef hierop graag een nadere toelichting. Zoals aangegeven in mijn antwoord op vraag 2, blijft de toepassing van de verjaringstermijnen in beginsel ongewijzigd, ook onder de </w:t>
      </w:r>
      <w:proofErr w:type="spellStart"/>
      <w:r w:rsidRPr="00F24B61">
        <w:rPr>
          <w:sz w:val="18"/>
        </w:rPr>
        <w:t>Wtp</w:t>
      </w:r>
      <w:proofErr w:type="spellEnd"/>
      <w:r w:rsidRPr="00F24B61">
        <w:rPr>
          <w:sz w:val="18"/>
        </w:rPr>
        <w:t>. Er zijn echter zowel mitigerende mechanismen als structurele waarborgen in het nieuwe stelsel en tijdens het invaren ingebouwd, die er op gericht zijn om risico’s voortijdig te ondervangen. Alle maatregelen zijn er eerst op gericht om fouten te voorkomen. Vervolgens op het herstellen van ontstane fouten.</w:t>
      </w:r>
    </w:p>
    <w:p w:rsidRPr="00F24B61" w:rsidR="007F031D" w:rsidP="007F031D" w:rsidRDefault="007F031D" w14:paraId="5FD105BC" w14:textId="77777777">
      <w:pPr>
        <w:pStyle w:val="Lijstalinea"/>
        <w:tabs>
          <w:tab w:val="left" w:pos="359"/>
        </w:tabs>
        <w:ind w:right="119"/>
        <w:rPr>
          <w:sz w:val="18"/>
        </w:rPr>
      </w:pPr>
      <w:r w:rsidRPr="00F24B61">
        <w:rPr>
          <w:sz w:val="18"/>
        </w:rPr>
        <w:t xml:space="preserve">Zo is er in de aanloop naar het invaren verhoogde aandacht voor de datakwaliteit, zowel bij de fondsen als de toezichthouders. Ook zijn er verhoogde zorg- en informatieplichten voor pensioenfondsen. De </w:t>
      </w:r>
      <w:proofErr w:type="spellStart"/>
      <w:r w:rsidRPr="00F24B61">
        <w:rPr>
          <w:sz w:val="18"/>
        </w:rPr>
        <w:t>Wtp</w:t>
      </w:r>
      <w:proofErr w:type="spellEnd"/>
      <w:r w:rsidRPr="00F24B61">
        <w:rPr>
          <w:sz w:val="18"/>
        </w:rPr>
        <w:t xml:space="preserve"> bevat expliciete bepalingen over transparantie en evenwichtige belangenbehartiging bij het invaren die de kans verkleinen dat deelnemers pas (veel) later ontdekken dat er fouten zijn gemaakt. Zo zorgen de communicatieverplichtingen ex de artikelen 48a en 117 Pensioenwet (</w:t>
      </w:r>
      <w:proofErr w:type="spellStart"/>
      <w:r w:rsidRPr="00F24B61">
        <w:rPr>
          <w:sz w:val="18"/>
        </w:rPr>
        <w:t>Pw</w:t>
      </w:r>
      <w:proofErr w:type="spellEnd"/>
      <w:r w:rsidRPr="00F24B61">
        <w:rPr>
          <w:sz w:val="18"/>
        </w:rPr>
        <w:t>) ervoor dat deelnemers tijdig, duidelijk en op een begrijpelijke wijze geïnformeerd worden</w:t>
      </w:r>
      <w:r>
        <w:rPr>
          <w:sz w:val="18"/>
        </w:rPr>
        <w:t>. Als voorbeeld kan worden genoemd</w:t>
      </w:r>
      <w:r w:rsidRPr="00F24B61">
        <w:rPr>
          <w:sz w:val="18"/>
        </w:rPr>
        <w:t xml:space="preserve"> de omzetting van opgebouwde pensioen in een persoonlijk pensioenvermogen, alsook de belangrijkste uitgangspunten die </w:t>
      </w:r>
      <w:r>
        <w:rPr>
          <w:sz w:val="18"/>
        </w:rPr>
        <w:t>hier</w:t>
      </w:r>
      <w:r w:rsidRPr="00F24B61">
        <w:rPr>
          <w:sz w:val="18"/>
        </w:rPr>
        <w:t xml:space="preserve">voor zijn gebruikt en de contactmogelijkheden bij vragen of twijfels. Als deelnemers dat wensen kunnen ze hun pensioenuitvoerder vragen de voor hen geldende bedragen na te rekenen en uit te leggen. </w:t>
      </w:r>
    </w:p>
    <w:p w:rsidR="00F864DB" w:rsidP="001C5AD9" w:rsidRDefault="007F031D" w14:paraId="287EF5AC" w14:textId="77777777">
      <w:pPr>
        <w:pStyle w:val="Lijstalinea"/>
        <w:tabs>
          <w:tab w:val="left" w:pos="359"/>
        </w:tabs>
        <w:ind w:right="119"/>
        <w:rPr>
          <w:sz w:val="18"/>
        </w:rPr>
      </w:pPr>
      <w:r w:rsidRPr="00F24B61">
        <w:rPr>
          <w:sz w:val="18"/>
        </w:rPr>
        <w:t xml:space="preserve">Daarnaast blijft het pensioenfonds ook ná het invaren verantwoordelijk voor de juistheid van de gegevens waarop de transitie is gebaseerd. Zodra fouten worden ontdekt rust op het fonds een verantwoordelijkheid om deze te corrigeren voor zover dit redelijk is. Voorts is sprake van een waarschuwingsfunctie en nalevingsdruk vanuit de toezichthouders (DNB en AFM). Zij controleren de juistheid van het transitieproces, inclusief </w:t>
      </w:r>
      <w:r>
        <w:rPr>
          <w:sz w:val="18"/>
        </w:rPr>
        <w:t xml:space="preserve">de juiste procestappen ten aanzien van </w:t>
      </w:r>
      <w:r w:rsidRPr="00F24B61">
        <w:rPr>
          <w:sz w:val="18"/>
        </w:rPr>
        <w:t xml:space="preserve">datakwaliteit, communicatie en evenwichtigheid. Verder zijn de waarborgen voor de klachtenprocedure versterkt en is er een mogelijkheid van alternatieve geschilbeslechting, naast de gang naar de rechter. Deelnemers die twijfelen aan de juistheid van hun transitieaanspraak kunnen </w:t>
      </w:r>
      <w:r>
        <w:rPr>
          <w:sz w:val="18"/>
        </w:rPr>
        <w:t>zodoende</w:t>
      </w:r>
      <w:r w:rsidRPr="00F24B61">
        <w:rPr>
          <w:sz w:val="18"/>
        </w:rPr>
        <w:t xml:space="preserve"> terecht bij de interne klachtprocedure van het pensioenfonds, </w:t>
      </w:r>
      <w:r>
        <w:rPr>
          <w:sz w:val="18"/>
        </w:rPr>
        <w:t xml:space="preserve">maar dus ook bij </w:t>
      </w:r>
      <w:r w:rsidRPr="00F24B61">
        <w:rPr>
          <w:sz w:val="18"/>
        </w:rPr>
        <w:t xml:space="preserve">het GIP en </w:t>
      </w:r>
      <w:proofErr w:type="spellStart"/>
      <w:r w:rsidRPr="00F24B61">
        <w:rPr>
          <w:sz w:val="18"/>
        </w:rPr>
        <w:t>Kifid</w:t>
      </w:r>
      <w:proofErr w:type="spellEnd"/>
      <w:r w:rsidRPr="00F24B61">
        <w:rPr>
          <w:sz w:val="18"/>
        </w:rPr>
        <w:t xml:space="preserve">. </w:t>
      </w:r>
    </w:p>
    <w:p w:rsidRPr="001C5AD9" w:rsidR="00BC092F" w:rsidP="001C5AD9" w:rsidRDefault="007F031D" w14:paraId="24ED94C9" w14:textId="3F7938A5">
      <w:pPr>
        <w:pStyle w:val="Lijstalinea"/>
        <w:tabs>
          <w:tab w:val="left" w:pos="359"/>
        </w:tabs>
        <w:ind w:right="119"/>
        <w:rPr>
          <w:sz w:val="18"/>
        </w:rPr>
      </w:pPr>
      <w:r w:rsidRPr="00F24B61">
        <w:rPr>
          <w:sz w:val="18"/>
        </w:rPr>
        <w:lastRenderedPageBreak/>
        <w:t xml:space="preserve">Tenslotte zijn er herstelmogelijkheden bij fouten. Als pensioenfondsen namelijk in een later stadium constateren dat het invaren op basis van foutieve data is gebeurd, dan zijn zij zoals ik eerder aangaf op grond van hun zorgplicht gehouden deze fouten te herstellen. Daarvoor </w:t>
      </w:r>
      <w:r>
        <w:rPr>
          <w:sz w:val="18"/>
        </w:rPr>
        <w:t>houden zij</w:t>
      </w:r>
      <w:r w:rsidRPr="00F24B61">
        <w:rPr>
          <w:sz w:val="18"/>
        </w:rPr>
        <w:t xml:space="preserve"> reserveringen</w:t>
      </w:r>
      <w:r>
        <w:rPr>
          <w:sz w:val="18"/>
        </w:rPr>
        <w:t xml:space="preserve"> aan</w:t>
      </w:r>
      <w:r w:rsidRPr="00F24B61">
        <w:rPr>
          <w:sz w:val="18"/>
        </w:rPr>
        <w:t xml:space="preserve"> in hun operationele reserve.  </w:t>
      </w:r>
    </w:p>
    <w:p w:rsidRPr="003C6FB9" w:rsidR="00BC092F" w:rsidP="007F031D" w:rsidRDefault="00BC092F" w14:paraId="2B0B19BC" w14:textId="77777777">
      <w:pPr>
        <w:pStyle w:val="Lijstalinea"/>
        <w:tabs>
          <w:tab w:val="left" w:pos="359"/>
        </w:tabs>
        <w:ind w:right="119"/>
        <w:rPr>
          <w:i/>
          <w:iCs/>
          <w:color w:val="0070C0"/>
          <w:sz w:val="18"/>
        </w:rPr>
      </w:pPr>
    </w:p>
    <w:p w:rsidR="007F031D" w:rsidP="007F031D" w:rsidRDefault="007F031D" w14:paraId="0EA534A8" w14:textId="77777777">
      <w:pPr>
        <w:pStyle w:val="Lijstalinea"/>
        <w:numPr>
          <w:ilvl w:val="0"/>
          <w:numId w:val="2"/>
        </w:numPr>
        <w:tabs>
          <w:tab w:val="left" w:pos="359"/>
        </w:tabs>
        <w:ind w:right="119" w:firstLine="0"/>
        <w:rPr>
          <w:sz w:val="18"/>
        </w:rPr>
      </w:pPr>
      <w:r w:rsidRPr="0093689F">
        <w:rPr>
          <w:sz w:val="18"/>
        </w:rPr>
        <w:t>Deelt</w:t>
      </w:r>
      <w:r w:rsidRPr="00905DFD">
        <w:rPr>
          <w:sz w:val="18"/>
        </w:rPr>
        <w:t xml:space="preserve"> </w:t>
      </w:r>
      <w:r w:rsidRPr="0093689F">
        <w:rPr>
          <w:sz w:val="18"/>
        </w:rPr>
        <w:t>u</w:t>
      </w:r>
      <w:r w:rsidRPr="00905DFD">
        <w:rPr>
          <w:sz w:val="18"/>
        </w:rPr>
        <w:t xml:space="preserve"> </w:t>
      </w:r>
      <w:r w:rsidRPr="0093689F">
        <w:rPr>
          <w:sz w:val="18"/>
        </w:rPr>
        <w:t>de</w:t>
      </w:r>
      <w:r w:rsidRPr="00905DFD">
        <w:rPr>
          <w:sz w:val="18"/>
        </w:rPr>
        <w:t xml:space="preserve"> </w:t>
      </w:r>
      <w:r w:rsidRPr="0093689F">
        <w:rPr>
          <w:sz w:val="18"/>
        </w:rPr>
        <w:t>zorg</w:t>
      </w:r>
      <w:r w:rsidRPr="00905DFD">
        <w:rPr>
          <w:sz w:val="18"/>
        </w:rPr>
        <w:t xml:space="preserve"> </w:t>
      </w:r>
      <w:r w:rsidRPr="0093689F">
        <w:rPr>
          <w:sz w:val="18"/>
        </w:rPr>
        <w:t>dat</w:t>
      </w:r>
      <w:r w:rsidRPr="00905DFD">
        <w:rPr>
          <w:sz w:val="18"/>
        </w:rPr>
        <w:t xml:space="preserve"> </w:t>
      </w:r>
      <w:r w:rsidRPr="0093689F">
        <w:rPr>
          <w:sz w:val="18"/>
        </w:rPr>
        <w:t>dit</w:t>
      </w:r>
      <w:r w:rsidRPr="00905DFD">
        <w:rPr>
          <w:sz w:val="18"/>
        </w:rPr>
        <w:t xml:space="preserve"> </w:t>
      </w:r>
      <w:r w:rsidRPr="0093689F">
        <w:rPr>
          <w:sz w:val="18"/>
        </w:rPr>
        <w:t>des</w:t>
      </w:r>
      <w:r w:rsidRPr="00905DFD">
        <w:rPr>
          <w:sz w:val="18"/>
        </w:rPr>
        <w:t xml:space="preserve"> </w:t>
      </w:r>
      <w:r w:rsidRPr="0093689F">
        <w:rPr>
          <w:sz w:val="18"/>
        </w:rPr>
        <w:t>te</w:t>
      </w:r>
      <w:r w:rsidRPr="00905DFD">
        <w:rPr>
          <w:sz w:val="18"/>
        </w:rPr>
        <w:t xml:space="preserve"> </w:t>
      </w:r>
      <w:r w:rsidRPr="0093689F">
        <w:rPr>
          <w:sz w:val="18"/>
        </w:rPr>
        <w:t>problematischer</w:t>
      </w:r>
      <w:r w:rsidRPr="00905DFD">
        <w:rPr>
          <w:sz w:val="18"/>
        </w:rPr>
        <w:t xml:space="preserve"> </w:t>
      </w:r>
      <w:r w:rsidRPr="0093689F">
        <w:rPr>
          <w:sz w:val="18"/>
        </w:rPr>
        <w:t>is</w:t>
      </w:r>
      <w:r w:rsidRPr="00905DFD">
        <w:rPr>
          <w:sz w:val="18"/>
        </w:rPr>
        <w:t xml:space="preserve"> </w:t>
      </w:r>
      <w:r w:rsidRPr="0093689F">
        <w:rPr>
          <w:sz w:val="18"/>
        </w:rPr>
        <w:t>nu</w:t>
      </w:r>
      <w:r w:rsidRPr="00905DFD">
        <w:rPr>
          <w:sz w:val="18"/>
        </w:rPr>
        <w:t xml:space="preserve"> </w:t>
      </w:r>
      <w:r w:rsidRPr="0093689F">
        <w:rPr>
          <w:sz w:val="18"/>
        </w:rPr>
        <w:t>deelnemers</w:t>
      </w:r>
      <w:r w:rsidRPr="00905DFD">
        <w:rPr>
          <w:sz w:val="18"/>
        </w:rPr>
        <w:t xml:space="preserve"> </w:t>
      </w:r>
      <w:r w:rsidRPr="0093689F">
        <w:rPr>
          <w:sz w:val="18"/>
        </w:rPr>
        <w:t>geen</w:t>
      </w:r>
      <w:r w:rsidRPr="00905DFD">
        <w:rPr>
          <w:sz w:val="18"/>
        </w:rPr>
        <w:t xml:space="preserve"> </w:t>
      </w:r>
      <w:r w:rsidRPr="0093689F">
        <w:rPr>
          <w:sz w:val="18"/>
        </w:rPr>
        <w:t>bezwaarrecht</w:t>
      </w:r>
      <w:r w:rsidRPr="00905DFD">
        <w:rPr>
          <w:sz w:val="18"/>
        </w:rPr>
        <w:t xml:space="preserve"> </w:t>
      </w:r>
      <w:r w:rsidRPr="0093689F">
        <w:rPr>
          <w:sz w:val="18"/>
        </w:rPr>
        <w:t>hebben</w:t>
      </w:r>
      <w:r w:rsidRPr="00905DFD">
        <w:rPr>
          <w:sz w:val="18"/>
        </w:rPr>
        <w:t xml:space="preserve"> </w:t>
      </w:r>
      <w:r w:rsidRPr="0093689F">
        <w:rPr>
          <w:sz w:val="18"/>
        </w:rPr>
        <w:t>bij het invaren, omdat</w:t>
      </w:r>
      <w:r w:rsidRPr="00905DFD">
        <w:rPr>
          <w:sz w:val="18"/>
        </w:rPr>
        <w:t xml:space="preserve"> </w:t>
      </w:r>
      <w:r w:rsidRPr="0093689F">
        <w:rPr>
          <w:sz w:val="18"/>
        </w:rPr>
        <w:t>het</w:t>
      </w:r>
      <w:r w:rsidRPr="00905DFD">
        <w:rPr>
          <w:sz w:val="18"/>
        </w:rPr>
        <w:t xml:space="preserve"> </w:t>
      </w:r>
      <w:r w:rsidRPr="0093689F">
        <w:rPr>
          <w:sz w:val="18"/>
        </w:rPr>
        <w:t>bezwaarrecht</w:t>
      </w:r>
      <w:r w:rsidRPr="00905DFD">
        <w:rPr>
          <w:sz w:val="18"/>
        </w:rPr>
        <w:t xml:space="preserve"> </w:t>
      </w:r>
      <w:r w:rsidRPr="0093689F">
        <w:rPr>
          <w:sz w:val="18"/>
        </w:rPr>
        <w:t>op</w:t>
      </w:r>
      <w:r w:rsidRPr="00905DFD">
        <w:rPr>
          <w:sz w:val="18"/>
        </w:rPr>
        <w:t xml:space="preserve"> </w:t>
      </w:r>
      <w:r w:rsidRPr="0093689F">
        <w:rPr>
          <w:sz w:val="18"/>
        </w:rPr>
        <w:t>grond van artikel</w:t>
      </w:r>
      <w:r w:rsidRPr="00905DFD">
        <w:rPr>
          <w:sz w:val="18"/>
        </w:rPr>
        <w:t xml:space="preserve"> </w:t>
      </w:r>
      <w:r w:rsidRPr="0093689F">
        <w:rPr>
          <w:sz w:val="18"/>
        </w:rPr>
        <w:t>83 Pensioenwet</w:t>
      </w:r>
      <w:r w:rsidRPr="00905DFD">
        <w:rPr>
          <w:sz w:val="18"/>
        </w:rPr>
        <w:t xml:space="preserve"> </w:t>
      </w:r>
      <w:r w:rsidRPr="0093689F">
        <w:rPr>
          <w:sz w:val="18"/>
        </w:rPr>
        <w:t>(</w:t>
      </w:r>
      <w:proofErr w:type="spellStart"/>
      <w:r w:rsidRPr="0093689F">
        <w:rPr>
          <w:sz w:val="18"/>
        </w:rPr>
        <w:t>Pw</w:t>
      </w:r>
      <w:proofErr w:type="spellEnd"/>
      <w:r w:rsidRPr="0093689F">
        <w:rPr>
          <w:sz w:val="18"/>
        </w:rPr>
        <w:t>)</w:t>
      </w:r>
      <w:r w:rsidRPr="00905DFD">
        <w:rPr>
          <w:sz w:val="18"/>
        </w:rPr>
        <w:t xml:space="preserve"> </w:t>
      </w:r>
      <w:r w:rsidRPr="0093689F">
        <w:rPr>
          <w:sz w:val="18"/>
        </w:rPr>
        <w:t>door</w:t>
      </w:r>
      <w:r w:rsidRPr="00905DFD">
        <w:rPr>
          <w:sz w:val="18"/>
        </w:rPr>
        <w:t xml:space="preserve"> </w:t>
      </w:r>
      <w:r w:rsidRPr="0093689F">
        <w:rPr>
          <w:sz w:val="18"/>
        </w:rPr>
        <w:t>artikel</w:t>
      </w:r>
      <w:r w:rsidRPr="00905DFD">
        <w:rPr>
          <w:sz w:val="18"/>
        </w:rPr>
        <w:t xml:space="preserve"> </w:t>
      </w:r>
      <w:r w:rsidRPr="0093689F">
        <w:rPr>
          <w:sz w:val="18"/>
        </w:rPr>
        <w:t>150l Wet toekomst pensioenen (</w:t>
      </w:r>
      <w:proofErr w:type="spellStart"/>
      <w:r w:rsidRPr="0093689F">
        <w:rPr>
          <w:sz w:val="18"/>
        </w:rPr>
        <w:t>Wtp</w:t>
      </w:r>
      <w:proofErr w:type="spellEnd"/>
      <w:r w:rsidRPr="0093689F">
        <w:rPr>
          <w:sz w:val="18"/>
        </w:rPr>
        <w:t>) buiten toepassing is verklaard?</w:t>
      </w:r>
    </w:p>
    <w:p w:rsidRPr="0093689F" w:rsidR="007F031D" w:rsidP="007F031D" w:rsidRDefault="007F031D" w14:paraId="72E1BC0A" w14:textId="77777777">
      <w:pPr>
        <w:pStyle w:val="Lijstalinea"/>
        <w:tabs>
          <w:tab w:val="left" w:pos="359"/>
        </w:tabs>
        <w:ind w:right="119"/>
        <w:rPr>
          <w:sz w:val="18"/>
        </w:rPr>
      </w:pPr>
    </w:p>
    <w:p w:rsidRPr="00F24B61" w:rsidR="007F031D" w:rsidP="007F031D" w:rsidRDefault="007F031D" w14:paraId="58F7AF83" w14:textId="77777777">
      <w:pPr>
        <w:tabs>
          <w:tab w:val="left" w:pos="359"/>
        </w:tabs>
        <w:ind w:left="113" w:right="352"/>
        <w:jc w:val="both"/>
        <w:rPr>
          <w:sz w:val="18"/>
          <w:u w:val="single"/>
        </w:rPr>
      </w:pPr>
      <w:r w:rsidRPr="00F24B61">
        <w:rPr>
          <w:sz w:val="18"/>
          <w:u w:val="single"/>
        </w:rPr>
        <w:t xml:space="preserve">Antwoord </w:t>
      </w:r>
    </w:p>
    <w:p w:rsidRPr="00F24B61" w:rsidR="007F031D" w:rsidP="007F031D" w:rsidRDefault="007F031D" w14:paraId="31151360" w14:textId="77777777">
      <w:pPr>
        <w:tabs>
          <w:tab w:val="left" w:pos="359"/>
        </w:tabs>
        <w:ind w:left="113" w:right="352"/>
        <w:jc w:val="both"/>
        <w:rPr>
          <w:sz w:val="18"/>
        </w:rPr>
      </w:pPr>
      <w:r w:rsidRPr="00F24B61">
        <w:rPr>
          <w:sz w:val="18"/>
        </w:rPr>
        <w:t xml:space="preserve">Nee, deze zorg deel ik niet. Ook wanneer er sprake </w:t>
      </w:r>
      <w:r>
        <w:rPr>
          <w:sz w:val="18"/>
        </w:rPr>
        <w:t>zou zijn geweest</w:t>
      </w:r>
      <w:r w:rsidRPr="00F24B61">
        <w:rPr>
          <w:sz w:val="18"/>
        </w:rPr>
        <w:t xml:space="preserve"> van individueel bezwaarrecht kunnen immers fouten worden gemaakt. Zoals aangegeven in mijn antwoord op vraag 3 zijn er onder de </w:t>
      </w:r>
      <w:proofErr w:type="spellStart"/>
      <w:r w:rsidRPr="00F24B61">
        <w:rPr>
          <w:sz w:val="18"/>
        </w:rPr>
        <w:t>Wtp</w:t>
      </w:r>
      <w:proofErr w:type="spellEnd"/>
      <w:r w:rsidRPr="00F24B61">
        <w:rPr>
          <w:sz w:val="18"/>
        </w:rPr>
        <w:t xml:space="preserve"> nieuwe waarborgen en procedures ingevoerd om deelnemers te beschermen en zullen gemaakte fouten door fondsen worden hersteld. </w:t>
      </w:r>
    </w:p>
    <w:p w:rsidRPr="00F559EC" w:rsidR="007F031D" w:rsidP="007F031D" w:rsidRDefault="007F031D" w14:paraId="10951B1A" w14:textId="77777777">
      <w:pPr>
        <w:tabs>
          <w:tab w:val="left" w:pos="359"/>
        </w:tabs>
        <w:ind w:left="113" w:right="352"/>
        <w:jc w:val="both"/>
        <w:rPr>
          <w:i/>
          <w:iCs/>
          <w:color w:val="0070C0"/>
          <w:sz w:val="18"/>
        </w:rPr>
      </w:pPr>
    </w:p>
    <w:p w:rsidR="007F031D" w:rsidP="007F031D" w:rsidRDefault="007F031D" w14:paraId="433D6406" w14:textId="15C08D4F">
      <w:pPr>
        <w:pStyle w:val="Lijstalinea"/>
        <w:numPr>
          <w:ilvl w:val="0"/>
          <w:numId w:val="2"/>
        </w:numPr>
        <w:tabs>
          <w:tab w:val="left" w:pos="359"/>
        </w:tabs>
        <w:ind w:right="110" w:firstLine="0"/>
        <w:rPr>
          <w:sz w:val="18"/>
        </w:rPr>
      </w:pPr>
      <w:r w:rsidRPr="00F559EC">
        <w:rPr>
          <w:sz w:val="18"/>
        </w:rPr>
        <w:t>Hoe</w:t>
      </w:r>
      <w:r w:rsidRPr="00F559EC">
        <w:rPr>
          <w:spacing w:val="-6"/>
          <w:sz w:val="18"/>
        </w:rPr>
        <w:t xml:space="preserve"> </w:t>
      </w:r>
      <w:r w:rsidRPr="00F559EC">
        <w:rPr>
          <w:sz w:val="18"/>
        </w:rPr>
        <w:t>verhoudt</w:t>
      </w:r>
      <w:r w:rsidRPr="00F559EC">
        <w:rPr>
          <w:spacing w:val="-5"/>
          <w:sz w:val="18"/>
        </w:rPr>
        <w:t xml:space="preserve"> </w:t>
      </w:r>
      <w:r w:rsidRPr="00F559EC">
        <w:rPr>
          <w:sz w:val="18"/>
        </w:rPr>
        <w:t>deze</w:t>
      </w:r>
      <w:r w:rsidRPr="00F559EC">
        <w:rPr>
          <w:spacing w:val="-6"/>
          <w:sz w:val="18"/>
        </w:rPr>
        <w:t xml:space="preserve"> </w:t>
      </w:r>
      <w:r w:rsidRPr="00F559EC">
        <w:rPr>
          <w:sz w:val="18"/>
        </w:rPr>
        <w:t>uitspraak</w:t>
      </w:r>
      <w:r w:rsidRPr="00F559EC">
        <w:rPr>
          <w:spacing w:val="-6"/>
          <w:sz w:val="18"/>
        </w:rPr>
        <w:t xml:space="preserve"> </w:t>
      </w:r>
      <w:r w:rsidRPr="00F559EC">
        <w:rPr>
          <w:sz w:val="18"/>
        </w:rPr>
        <w:t>van</w:t>
      </w:r>
      <w:r w:rsidRPr="00F559EC">
        <w:rPr>
          <w:spacing w:val="-3"/>
          <w:sz w:val="18"/>
        </w:rPr>
        <w:t xml:space="preserve"> </w:t>
      </w:r>
      <w:r w:rsidRPr="00F559EC">
        <w:rPr>
          <w:sz w:val="18"/>
        </w:rPr>
        <w:t>de</w:t>
      </w:r>
      <w:r w:rsidRPr="00F559EC">
        <w:rPr>
          <w:spacing w:val="-6"/>
          <w:sz w:val="18"/>
        </w:rPr>
        <w:t xml:space="preserve"> </w:t>
      </w:r>
      <w:r w:rsidRPr="00F559EC">
        <w:rPr>
          <w:sz w:val="18"/>
        </w:rPr>
        <w:t>Rechtbank</w:t>
      </w:r>
      <w:r w:rsidRPr="00F559EC">
        <w:rPr>
          <w:spacing w:val="-6"/>
          <w:sz w:val="18"/>
        </w:rPr>
        <w:t xml:space="preserve"> </w:t>
      </w:r>
      <w:r w:rsidRPr="00F559EC">
        <w:rPr>
          <w:sz w:val="18"/>
        </w:rPr>
        <w:t>zich</w:t>
      </w:r>
      <w:r w:rsidRPr="00F559EC">
        <w:rPr>
          <w:spacing w:val="-3"/>
          <w:sz w:val="18"/>
        </w:rPr>
        <w:t xml:space="preserve"> </w:t>
      </w:r>
      <w:r w:rsidRPr="00F559EC">
        <w:rPr>
          <w:sz w:val="18"/>
        </w:rPr>
        <w:t>tot</w:t>
      </w:r>
      <w:r w:rsidRPr="00F559EC">
        <w:rPr>
          <w:spacing w:val="-5"/>
          <w:sz w:val="18"/>
        </w:rPr>
        <w:t xml:space="preserve"> </w:t>
      </w:r>
      <w:r w:rsidRPr="00F559EC">
        <w:rPr>
          <w:sz w:val="18"/>
        </w:rPr>
        <w:t>uw</w:t>
      </w:r>
      <w:r w:rsidRPr="00F559EC">
        <w:rPr>
          <w:spacing w:val="-6"/>
          <w:sz w:val="18"/>
        </w:rPr>
        <w:t xml:space="preserve"> </w:t>
      </w:r>
      <w:r w:rsidRPr="00F559EC">
        <w:rPr>
          <w:sz w:val="18"/>
        </w:rPr>
        <w:t>antwoord</w:t>
      </w:r>
      <w:r w:rsidRPr="00F559EC">
        <w:rPr>
          <w:spacing w:val="-6"/>
          <w:sz w:val="18"/>
        </w:rPr>
        <w:t xml:space="preserve"> </w:t>
      </w:r>
      <w:r w:rsidRPr="00F559EC">
        <w:rPr>
          <w:sz w:val="18"/>
        </w:rPr>
        <w:t>op</w:t>
      </w:r>
      <w:r w:rsidRPr="00F559EC">
        <w:rPr>
          <w:spacing w:val="-6"/>
          <w:sz w:val="18"/>
        </w:rPr>
        <w:t xml:space="preserve"> </w:t>
      </w:r>
      <w:r w:rsidRPr="00F559EC">
        <w:rPr>
          <w:sz w:val="18"/>
        </w:rPr>
        <w:t>eerdere</w:t>
      </w:r>
      <w:r w:rsidRPr="00F559EC">
        <w:rPr>
          <w:spacing w:val="-6"/>
          <w:sz w:val="18"/>
        </w:rPr>
        <w:t xml:space="preserve"> </w:t>
      </w:r>
      <w:r w:rsidRPr="00F559EC">
        <w:rPr>
          <w:sz w:val="18"/>
        </w:rPr>
        <w:t>Kamervragen</w:t>
      </w:r>
      <w:r w:rsidR="000938BC">
        <w:rPr>
          <w:rStyle w:val="Voetnootmarkering"/>
          <w:sz w:val="18"/>
        </w:rPr>
        <w:footnoteReference w:id="2"/>
      </w:r>
      <w:r w:rsidR="000938BC">
        <w:rPr>
          <w:spacing w:val="-3"/>
          <w:sz w:val="18"/>
        </w:rPr>
        <w:t xml:space="preserve"> </w:t>
      </w:r>
      <w:r w:rsidRPr="00F559EC">
        <w:rPr>
          <w:sz w:val="18"/>
        </w:rPr>
        <w:t>waarin aangegeven wordt dat niet gegarandeerd kan worden dat er op een later moment na invaren nog fouten in administraties aan het licht kunnen komen?</w:t>
      </w:r>
    </w:p>
    <w:p w:rsidRPr="00F559EC" w:rsidR="007F031D" w:rsidP="007F031D" w:rsidRDefault="007F031D" w14:paraId="25332122" w14:textId="77777777">
      <w:pPr>
        <w:pStyle w:val="Lijstalinea"/>
        <w:tabs>
          <w:tab w:val="left" w:pos="359"/>
        </w:tabs>
        <w:ind w:right="110"/>
        <w:rPr>
          <w:sz w:val="18"/>
        </w:rPr>
      </w:pPr>
    </w:p>
    <w:p w:rsidRPr="00F24B61" w:rsidR="007F031D" w:rsidP="007F031D" w:rsidRDefault="007F031D" w14:paraId="358ADEDB" w14:textId="77777777">
      <w:pPr>
        <w:pStyle w:val="Lijstalinea"/>
        <w:tabs>
          <w:tab w:val="left" w:pos="359"/>
        </w:tabs>
        <w:ind w:right="110"/>
        <w:rPr>
          <w:sz w:val="18"/>
          <w:u w:val="single"/>
        </w:rPr>
      </w:pPr>
      <w:r w:rsidRPr="00F24B61">
        <w:rPr>
          <w:sz w:val="18"/>
          <w:u w:val="single"/>
        </w:rPr>
        <w:t xml:space="preserve">Antwoord </w:t>
      </w:r>
    </w:p>
    <w:p w:rsidRPr="00F24B61" w:rsidR="007F031D" w:rsidP="007F031D" w:rsidRDefault="007F031D" w14:paraId="2B9458AB" w14:textId="77777777">
      <w:pPr>
        <w:pStyle w:val="Lijstalinea"/>
        <w:tabs>
          <w:tab w:val="left" w:pos="359"/>
        </w:tabs>
        <w:ind w:right="110"/>
        <w:rPr>
          <w:i/>
          <w:iCs/>
          <w:color w:val="0070C0"/>
          <w:sz w:val="18"/>
        </w:rPr>
      </w:pPr>
      <w:r w:rsidRPr="00F24B61">
        <w:rPr>
          <w:sz w:val="18"/>
        </w:rPr>
        <w:t>Ik lees in de uitspraak van de rechtbank een bevestiging van de huidige juridische realiteit. Namelijk dat een eenmaal verjaarde vordering in principe niet meer succesvol kan worden ingesteld, zelfs als de schade pas later wordt ontdekt. Zoals ik in mijn antwoord op vraag 3 heb geschetst bestaan er diverse waarborgen om fouten zo veel mogelijk te voorkomen en zodra deze ontdekt worden, te corrigeren. Ik verwacht ook dat pensioenfondsen fouten die gemaakt zijn tijdens het invaren en die zij zelf in een laat stadium ontdekken, zullen corrigeren.</w:t>
      </w:r>
    </w:p>
    <w:p w:rsidR="007F031D" w:rsidP="007F031D" w:rsidRDefault="007F031D" w14:paraId="751A5B2E" w14:textId="77777777">
      <w:pPr>
        <w:pStyle w:val="Lijstalinea"/>
        <w:tabs>
          <w:tab w:val="left" w:pos="359"/>
        </w:tabs>
        <w:ind w:right="110"/>
        <w:rPr>
          <w:i/>
          <w:iCs/>
          <w:color w:val="0070C0"/>
          <w:sz w:val="18"/>
        </w:rPr>
      </w:pPr>
    </w:p>
    <w:p w:rsidR="007F031D" w:rsidP="007F031D" w:rsidRDefault="007F031D" w14:paraId="0F28E35B" w14:textId="77777777">
      <w:pPr>
        <w:pStyle w:val="Lijstalinea"/>
        <w:numPr>
          <w:ilvl w:val="0"/>
          <w:numId w:val="2"/>
        </w:numPr>
        <w:tabs>
          <w:tab w:val="left" w:pos="359"/>
        </w:tabs>
        <w:ind w:right="119" w:firstLine="0"/>
        <w:rPr>
          <w:sz w:val="18"/>
        </w:rPr>
      </w:pPr>
      <w:r w:rsidRPr="0093689F">
        <w:rPr>
          <w:sz w:val="18"/>
        </w:rPr>
        <w:t>Bent</w:t>
      </w:r>
      <w:r w:rsidRPr="00905DFD">
        <w:rPr>
          <w:sz w:val="18"/>
        </w:rPr>
        <w:t xml:space="preserve"> </w:t>
      </w:r>
      <w:r w:rsidRPr="0093689F">
        <w:rPr>
          <w:sz w:val="18"/>
        </w:rPr>
        <w:t>u</w:t>
      </w:r>
      <w:r w:rsidRPr="00905DFD">
        <w:rPr>
          <w:sz w:val="18"/>
        </w:rPr>
        <w:t xml:space="preserve"> </w:t>
      </w:r>
      <w:r w:rsidRPr="0093689F">
        <w:rPr>
          <w:sz w:val="18"/>
        </w:rPr>
        <w:t>bereid</w:t>
      </w:r>
      <w:r w:rsidRPr="00905DFD">
        <w:rPr>
          <w:sz w:val="18"/>
        </w:rPr>
        <w:t xml:space="preserve"> </w:t>
      </w:r>
      <w:r w:rsidRPr="0093689F">
        <w:rPr>
          <w:sz w:val="18"/>
        </w:rPr>
        <w:t>om</w:t>
      </w:r>
      <w:r w:rsidRPr="00905DFD">
        <w:rPr>
          <w:sz w:val="18"/>
        </w:rPr>
        <w:t xml:space="preserve"> </w:t>
      </w:r>
      <w:r w:rsidRPr="0093689F">
        <w:rPr>
          <w:sz w:val="18"/>
        </w:rPr>
        <w:t>een</w:t>
      </w:r>
      <w:r w:rsidRPr="00905DFD">
        <w:rPr>
          <w:sz w:val="18"/>
        </w:rPr>
        <w:t xml:space="preserve"> </w:t>
      </w:r>
      <w:r w:rsidRPr="0093689F">
        <w:rPr>
          <w:sz w:val="18"/>
        </w:rPr>
        <w:t>lex</w:t>
      </w:r>
      <w:r w:rsidRPr="00905DFD">
        <w:rPr>
          <w:sz w:val="18"/>
        </w:rPr>
        <w:t xml:space="preserve"> </w:t>
      </w:r>
      <w:r w:rsidRPr="0093689F">
        <w:rPr>
          <w:sz w:val="18"/>
        </w:rPr>
        <w:t>specialis</w:t>
      </w:r>
      <w:r w:rsidRPr="00905DFD">
        <w:rPr>
          <w:sz w:val="18"/>
        </w:rPr>
        <w:t xml:space="preserve"> </w:t>
      </w:r>
      <w:r w:rsidRPr="0093689F">
        <w:rPr>
          <w:sz w:val="18"/>
        </w:rPr>
        <w:t>op</w:t>
      </w:r>
      <w:r w:rsidRPr="00905DFD">
        <w:rPr>
          <w:sz w:val="18"/>
        </w:rPr>
        <w:t xml:space="preserve"> </w:t>
      </w:r>
      <w:r w:rsidRPr="0093689F">
        <w:rPr>
          <w:sz w:val="18"/>
        </w:rPr>
        <w:t>te</w:t>
      </w:r>
      <w:r w:rsidRPr="00905DFD">
        <w:rPr>
          <w:sz w:val="18"/>
        </w:rPr>
        <w:t xml:space="preserve"> </w:t>
      </w:r>
      <w:r w:rsidRPr="0093689F">
        <w:rPr>
          <w:sz w:val="18"/>
        </w:rPr>
        <w:t>nemen</w:t>
      </w:r>
      <w:r w:rsidRPr="00905DFD">
        <w:rPr>
          <w:sz w:val="18"/>
        </w:rPr>
        <w:t xml:space="preserve"> </w:t>
      </w:r>
      <w:r w:rsidRPr="0093689F">
        <w:rPr>
          <w:sz w:val="18"/>
        </w:rPr>
        <w:t>in</w:t>
      </w:r>
      <w:r w:rsidRPr="00905DFD">
        <w:rPr>
          <w:sz w:val="18"/>
        </w:rPr>
        <w:t xml:space="preserve"> </w:t>
      </w:r>
      <w:r w:rsidRPr="0093689F">
        <w:rPr>
          <w:sz w:val="18"/>
        </w:rPr>
        <w:t>de</w:t>
      </w:r>
      <w:r w:rsidRPr="00905DFD">
        <w:rPr>
          <w:sz w:val="18"/>
        </w:rPr>
        <w:t xml:space="preserve"> </w:t>
      </w:r>
      <w:r w:rsidRPr="0093689F">
        <w:rPr>
          <w:sz w:val="18"/>
        </w:rPr>
        <w:t>Pensioenwet</w:t>
      </w:r>
      <w:r w:rsidRPr="00905DFD">
        <w:rPr>
          <w:sz w:val="18"/>
        </w:rPr>
        <w:t xml:space="preserve"> </w:t>
      </w:r>
      <w:r w:rsidRPr="0093689F">
        <w:rPr>
          <w:sz w:val="18"/>
        </w:rPr>
        <w:t>waarin</w:t>
      </w:r>
      <w:r w:rsidRPr="00905DFD">
        <w:rPr>
          <w:sz w:val="18"/>
        </w:rPr>
        <w:t xml:space="preserve"> </w:t>
      </w:r>
      <w:r w:rsidRPr="0093689F">
        <w:rPr>
          <w:sz w:val="18"/>
        </w:rPr>
        <w:t>wordt</w:t>
      </w:r>
      <w:r w:rsidRPr="00905DFD">
        <w:rPr>
          <w:sz w:val="18"/>
        </w:rPr>
        <w:t xml:space="preserve"> </w:t>
      </w:r>
      <w:r w:rsidRPr="0093689F">
        <w:rPr>
          <w:sz w:val="18"/>
        </w:rPr>
        <w:t>bepaald</w:t>
      </w:r>
      <w:r w:rsidRPr="00905DFD">
        <w:rPr>
          <w:sz w:val="18"/>
        </w:rPr>
        <w:t xml:space="preserve"> </w:t>
      </w:r>
      <w:r w:rsidRPr="0093689F">
        <w:rPr>
          <w:sz w:val="18"/>
        </w:rPr>
        <w:t>dat</w:t>
      </w:r>
      <w:r w:rsidRPr="00905DFD">
        <w:rPr>
          <w:sz w:val="18"/>
        </w:rPr>
        <w:t xml:space="preserve"> </w:t>
      </w:r>
      <w:r w:rsidRPr="0093689F">
        <w:rPr>
          <w:sz w:val="18"/>
        </w:rPr>
        <w:t>de absolute</w:t>
      </w:r>
      <w:r w:rsidRPr="00905DFD">
        <w:rPr>
          <w:sz w:val="18"/>
        </w:rPr>
        <w:t xml:space="preserve"> </w:t>
      </w:r>
      <w:r w:rsidRPr="0093689F">
        <w:rPr>
          <w:sz w:val="18"/>
        </w:rPr>
        <w:t>verjaringstermijn</w:t>
      </w:r>
      <w:r w:rsidRPr="00905DFD">
        <w:rPr>
          <w:sz w:val="18"/>
        </w:rPr>
        <w:t xml:space="preserve"> </w:t>
      </w:r>
      <w:r w:rsidRPr="0093689F">
        <w:rPr>
          <w:sz w:val="18"/>
        </w:rPr>
        <w:t>in geval</w:t>
      </w:r>
      <w:r w:rsidRPr="00905DFD">
        <w:rPr>
          <w:sz w:val="18"/>
        </w:rPr>
        <w:t xml:space="preserve"> </w:t>
      </w:r>
      <w:r w:rsidRPr="0093689F">
        <w:rPr>
          <w:sz w:val="18"/>
        </w:rPr>
        <w:t>van</w:t>
      </w:r>
      <w:r w:rsidRPr="00905DFD">
        <w:rPr>
          <w:sz w:val="18"/>
        </w:rPr>
        <w:t xml:space="preserve"> </w:t>
      </w:r>
      <w:r w:rsidRPr="0093689F">
        <w:rPr>
          <w:sz w:val="18"/>
        </w:rPr>
        <w:t>schade</w:t>
      </w:r>
      <w:r w:rsidRPr="00905DFD">
        <w:rPr>
          <w:sz w:val="18"/>
        </w:rPr>
        <w:t xml:space="preserve"> </w:t>
      </w:r>
      <w:r w:rsidRPr="0093689F">
        <w:rPr>
          <w:sz w:val="18"/>
        </w:rPr>
        <w:t>door</w:t>
      </w:r>
      <w:r w:rsidRPr="00905DFD">
        <w:rPr>
          <w:sz w:val="18"/>
        </w:rPr>
        <w:t xml:space="preserve"> </w:t>
      </w:r>
      <w:r w:rsidRPr="0093689F">
        <w:rPr>
          <w:sz w:val="18"/>
        </w:rPr>
        <w:t>invaren</w:t>
      </w:r>
      <w:r w:rsidRPr="00905DFD">
        <w:rPr>
          <w:sz w:val="18"/>
        </w:rPr>
        <w:t xml:space="preserve"> </w:t>
      </w:r>
      <w:r w:rsidRPr="0093689F">
        <w:rPr>
          <w:sz w:val="18"/>
        </w:rPr>
        <w:t>wordt</w:t>
      </w:r>
      <w:r w:rsidRPr="00905DFD">
        <w:rPr>
          <w:sz w:val="18"/>
        </w:rPr>
        <w:t xml:space="preserve"> </w:t>
      </w:r>
      <w:r w:rsidRPr="0093689F">
        <w:rPr>
          <w:sz w:val="18"/>
        </w:rPr>
        <w:t>verlengd</w:t>
      </w:r>
      <w:r w:rsidRPr="00905DFD">
        <w:rPr>
          <w:sz w:val="18"/>
        </w:rPr>
        <w:t xml:space="preserve"> </w:t>
      </w:r>
      <w:r w:rsidRPr="0093689F">
        <w:rPr>
          <w:sz w:val="18"/>
        </w:rPr>
        <w:t>naar</w:t>
      </w:r>
      <w:r w:rsidRPr="00905DFD">
        <w:rPr>
          <w:sz w:val="18"/>
        </w:rPr>
        <w:t xml:space="preserve"> </w:t>
      </w:r>
      <w:r w:rsidRPr="0093689F">
        <w:rPr>
          <w:sz w:val="18"/>
        </w:rPr>
        <w:t>30</w:t>
      </w:r>
      <w:r w:rsidRPr="00905DFD">
        <w:rPr>
          <w:sz w:val="18"/>
        </w:rPr>
        <w:t xml:space="preserve"> </w:t>
      </w:r>
      <w:r w:rsidRPr="0093689F">
        <w:rPr>
          <w:sz w:val="18"/>
        </w:rPr>
        <w:t>jaar,</w:t>
      </w:r>
      <w:r w:rsidRPr="00905DFD">
        <w:rPr>
          <w:sz w:val="18"/>
        </w:rPr>
        <w:t xml:space="preserve"> </w:t>
      </w:r>
      <w:r w:rsidRPr="0093689F">
        <w:rPr>
          <w:sz w:val="18"/>
        </w:rPr>
        <w:t>dan</w:t>
      </w:r>
      <w:r w:rsidRPr="00905DFD">
        <w:rPr>
          <w:sz w:val="18"/>
        </w:rPr>
        <w:t xml:space="preserve"> </w:t>
      </w:r>
      <w:r w:rsidRPr="0093689F">
        <w:rPr>
          <w:sz w:val="18"/>
        </w:rPr>
        <w:t>wel dat de aanvang van de absolute verjaringstermijn niet begint bij het schadeveroorzakende moment, maar bij het moment waarop de deelnemer daadwerkelijk bekend is geworden met het schadeveroorzakend feit?</w:t>
      </w:r>
    </w:p>
    <w:p w:rsidRPr="0093689F" w:rsidR="007F031D" w:rsidP="007F031D" w:rsidRDefault="007F031D" w14:paraId="2EA6E669" w14:textId="77777777">
      <w:pPr>
        <w:pStyle w:val="Lijstalinea"/>
        <w:tabs>
          <w:tab w:val="left" w:pos="359"/>
        </w:tabs>
        <w:ind w:right="110"/>
        <w:rPr>
          <w:sz w:val="18"/>
        </w:rPr>
      </w:pPr>
    </w:p>
    <w:p w:rsidRPr="00F24B61" w:rsidR="007F031D" w:rsidP="007F031D" w:rsidRDefault="007F031D" w14:paraId="53E22781" w14:textId="77777777">
      <w:pPr>
        <w:pStyle w:val="Lijstalinea"/>
        <w:tabs>
          <w:tab w:val="left" w:pos="359"/>
        </w:tabs>
        <w:ind w:right="275"/>
        <w:rPr>
          <w:sz w:val="18"/>
          <w:u w:val="single"/>
        </w:rPr>
      </w:pPr>
      <w:r w:rsidRPr="00F24B61">
        <w:rPr>
          <w:sz w:val="18"/>
          <w:u w:val="single"/>
        </w:rPr>
        <w:t xml:space="preserve">Antwoord </w:t>
      </w:r>
    </w:p>
    <w:p w:rsidR="001C5AD9" w:rsidP="001C5AD9" w:rsidRDefault="001C5AD9" w14:paraId="75058920" w14:textId="77777777">
      <w:pPr>
        <w:pStyle w:val="Lijstalinea"/>
        <w:tabs>
          <w:tab w:val="left" w:pos="359"/>
        </w:tabs>
        <w:ind w:right="576"/>
        <w:rPr>
          <w:sz w:val="18"/>
        </w:rPr>
      </w:pPr>
      <w:r>
        <w:rPr>
          <w:sz w:val="18"/>
        </w:rPr>
        <w:t>Ik heb begrip voor de zorgen van de vragenstellers over of deelnemers voldoende handelingsperspectief hebben, in geval fouten pas laat worden opgemerkt. Hierbij moet in de praktijk een balans worden gevonden tussen het belang van de individuele deelnemer en dat van het collectief van deelnemers.</w:t>
      </w:r>
    </w:p>
    <w:p w:rsidR="001C5AD9" w:rsidP="001C5AD9" w:rsidRDefault="001C5AD9" w14:paraId="706A7C12" w14:textId="77777777">
      <w:pPr>
        <w:pStyle w:val="Lijstalinea"/>
        <w:tabs>
          <w:tab w:val="left" w:pos="359"/>
        </w:tabs>
        <w:ind w:right="576"/>
        <w:rPr>
          <w:sz w:val="18"/>
        </w:rPr>
      </w:pPr>
    </w:p>
    <w:p w:rsidR="001C5AD9" w:rsidP="001C5AD9" w:rsidRDefault="001C5AD9" w14:paraId="4026AAA9" w14:textId="4386C5A2">
      <w:pPr>
        <w:pStyle w:val="Lijstalinea"/>
        <w:tabs>
          <w:tab w:val="left" w:pos="359"/>
        </w:tabs>
        <w:ind w:right="576"/>
        <w:rPr>
          <w:sz w:val="18"/>
        </w:rPr>
      </w:pPr>
      <w:r>
        <w:rPr>
          <w:sz w:val="18"/>
        </w:rPr>
        <w:t xml:space="preserve">Ik wil hierbij benadrukken dat bij administratieve fouten rond pensioenopbouw of invaren geldt dat de pensioenuitvoerder wettelijk gehouden is tot herstel zodra een fout aan het licht komt, mits dit nog uitvoerbaar is. De </w:t>
      </w:r>
      <w:proofErr w:type="spellStart"/>
      <w:r>
        <w:rPr>
          <w:sz w:val="18"/>
        </w:rPr>
        <w:t>Wtp</w:t>
      </w:r>
      <w:proofErr w:type="spellEnd"/>
      <w:r>
        <w:rPr>
          <w:sz w:val="18"/>
        </w:rPr>
        <w:t xml:space="preserve"> benadrukt daarbij het belang van zorgvuldige communicatie en datakwaliteit en spoort deelnemers expliciet aan om fouten te melden. In dat kader biedt de relatieve verjaringstermijn van 5 jaar uit artikel 3:310 BW nog voldoende ruimte: die termijn gaat namelijk pas lopen vanaf het moment dat een deelnemer daadwerkelijk bekend is met de schade én de partij die daarvoor aansprakelijk is. Deelnemers behouden dus in beginsel zeer ruime gelegenheid om bij ontdekking van een fout een vordering in te stellen. Dat kan uiteraard direct via een gang naar de rechter, maar de reguliere contactkanalen met de uitvoerders, alsook de interne en/of de externe klachtenprocedures staan hiervoor </w:t>
      </w:r>
      <w:r w:rsidR="00997FDC">
        <w:rPr>
          <w:sz w:val="18"/>
        </w:rPr>
        <w:t xml:space="preserve">ook </w:t>
      </w:r>
      <w:r>
        <w:rPr>
          <w:sz w:val="18"/>
        </w:rPr>
        <w:t>open. De hiervoor geschetste wijze biedt naar mijn mening voldoende evenwicht tussen de actieve herstelverantwoordelijkheid van de uitvoerder en een reële reactietermijn voor deelnemers.</w:t>
      </w:r>
    </w:p>
    <w:p w:rsidR="001C5AD9" w:rsidP="001C5AD9" w:rsidRDefault="001C5AD9" w14:paraId="266DF36E" w14:textId="77777777">
      <w:pPr>
        <w:pStyle w:val="Lijstalinea"/>
        <w:tabs>
          <w:tab w:val="left" w:pos="359"/>
        </w:tabs>
        <w:ind w:right="576"/>
        <w:rPr>
          <w:sz w:val="18"/>
        </w:rPr>
      </w:pPr>
    </w:p>
    <w:p w:rsidR="007F031D" w:rsidP="007F031D" w:rsidRDefault="001C5AD9" w14:paraId="2AE54A99" w14:textId="6AABABFC">
      <w:pPr>
        <w:pStyle w:val="Lijstalinea"/>
        <w:tabs>
          <w:tab w:val="left" w:pos="359"/>
        </w:tabs>
        <w:ind w:right="576"/>
        <w:rPr>
          <w:sz w:val="18"/>
        </w:rPr>
      </w:pPr>
      <w:r>
        <w:rPr>
          <w:sz w:val="18"/>
        </w:rPr>
        <w:t xml:space="preserve">Voor het in de vraag geopperde instrument zie ik </w:t>
      </w:r>
      <w:r w:rsidRPr="00F24B61">
        <w:rPr>
          <w:sz w:val="18"/>
        </w:rPr>
        <w:t>op dit moment geen aanleiding. A</w:t>
      </w:r>
      <w:r>
        <w:rPr>
          <w:sz w:val="18"/>
        </w:rPr>
        <w:t>llereerst a</w:t>
      </w:r>
      <w:r w:rsidRPr="00F24B61">
        <w:rPr>
          <w:sz w:val="18"/>
        </w:rPr>
        <w:t>ls de verlenging naar 30 jaar zou plaatsvinden, dan blijft ook dit een harde termijn waar bij echte onwetendheid na 30 jaar herstel eveneens niet mogelijk is. Zowel in de bredere jurisprudentie als in deze specifieke uitspraak, wordt het bestaan van verjaringsregels bovendien gerechtvaardigd vanuit</w:t>
      </w:r>
      <w:r>
        <w:rPr>
          <w:sz w:val="18"/>
        </w:rPr>
        <w:t xml:space="preserve"> de balans in</w:t>
      </w:r>
      <w:r w:rsidRPr="00F24B61">
        <w:rPr>
          <w:sz w:val="18"/>
        </w:rPr>
        <w:t xml:space="preserve"> rechtszekerheid voor</w:t>
      </w:r>
      <w:r>
        <w:rPr>
          <w:sz w:val="18"/>
        </w:rPr>
        <w:t xml:space="preserve"> enerzijds de individuele deelnemer en anderzijds</w:t>
      </w:r>
      <w:r w:rsidRPr="00F24B61">
        <w:rPr>
          <w:sz w:val="18"/>
        </w:rPr>
        <w:t xml:space="preserve"> de pensioenuitvoerder en daarmee voor het fondscollectief. </w:t>
      </w:r>
      <w:r>
        <w:rPr>
          <w:sz w:val="18"/>
        </w:rPr>
        <w:t>D</w:t>
      </w:r>
      <w:r w:rsidRPr="00F24B61">
        <w:rPr>
          <w:sz w:val="18"/>
        </w:rPr>
        <w:t>ie rechtvaardiging</w:t>
      </w:r>
      <w:r>
        <w:rPr>
          <w:sz w:val="18"/>
        </w:rPr>
        <w:t xml:space="preserve"> is</w:t>
      </w:r>
      <w:r w:rsidRPr="00F24B61">
        <w:rPr>
          <w:sz w:val="18"/>
        </w:rPr>
        <w:t xml:space="preserve"> er ook in gelegen dat door (groot) tijdsverloop het niet meer goed mogelijk is voor een partij om zich tegen een aansprakelijkstelling te verweren.</w:t>
      </w:r>
      <w:r>
        <w:rPr>
          <w:sz w:val="18"/>
        </w:rPr>
        <w:t xml:space="preserve"> </w:t>
      </w:r>
    </w:p>
    <w:p w:rsidR="00997FDC" w:rsidP="007F031D" w:rsidRDefault="00997FDC" w14:paraId="156A15E5" w14:textId="77777777">
      <w:pPr>
        <w:pStyle w:val="Lijstalinea"/>
        <w:tabs>
          <w:tab w:val="left" w:pos="359"/>
        </w:tabs>
        <w:ind w:right="576"/>
        <w:rPr>
          <w:sz w:val="18"/>
        </w:rPr>
      </w:pPr>
    </w:p>
    <w:p w:rsidR="00997FDC" w:rsidP="007F031D" w:rsidRDefault="00997FDC" w14:paraId="443C502C" w14:textId="77777777">
      <w:pPr>
        <w:pStyle w:val="Lijstalinea"/>
        <w:tabs>
          <w:tab w:val="left" w:pos="359"/>
        </w:tabs>
        <w:ind w:right="576"/>
        <w:rPr>
          <w:sz w:val="18"/>
        </w:rPr>
      </w:pPr>
    </w:p>
    <w:p w:rsidRPr="00DF79F9" w:rsidR="00997FDC" w:rsidP="007F031D" w:rsidRDefault="00997FDC" w14:paraId="1BAA2D24" w14:textId="77777777">
      <w:pPr>
        <w:pStyle w:val="Lijstalinea"/>
        <w:tabs>
          <w:tab w:val="left" w:pos="359"/>
        </w:tabs>
        <w:ind w:right="576"/>
        <w:rPr>
          <w:i/>
          <w:iCs/>
          <w:color w:val="0070C0"/>
          <w:sz w:val="18"/>
        </w:rPr>
      </w:pPr>
    </w:p>
    <w:p w:rsidR="007F031D" w:rsidP="007F031D" w:rsidRDefault="007F031D" w14:paraId="396B890E" w14:textId="77777777">
      <w:pPr>
        <w:pStyle w:val="Lijstalinea"/>
        <w:numPr>
          <w:ilvl w:val="0"/>
          <w:numId w:val="2"/>
        </w:numPr>
        <w:tabs>
          <w:tab w:val="left" w:pos="359"/>
        </w:tabs>
        <w:ind w:right="119" w:firstLine="0"/>
        <w:rPr>
          <w:sz w:val="18"/>
        </w:rPr>
      </w:pPr>
      <w:r w:rsidRPr="009076A5">
        <w:rPr>
          <w:sz w:val="18"/>
        </w:rPr>
        <w:lastRenderedPageBreak/>
        <w:t xml:space="preserve">Bent u het eens met de conclusie dat in dit geval niet kan worden aangesloten bij artikel 59 </w:t>
      </w:r>
      <w:proofErr w:type="spellStart"/>
      <w:r w:rsidRPr="009076A5">
        <w:rPr>
          <w:sz w:val="18"/>
        </w:rPr>
        <w:t>Pw</w:t>
      </w:r>
      <w:proofErr w:type="spellEnd"/>
      <w:r w:rsidRPr="009076A5">
        <w:rPr>
          <w:sz w:val="18"/>
        </w:rPr>
        <w:t>, aangezien het hier een toekenningsvordering en geen uitkeringsvordering betreft?</w:t>
      </w:r>
    </w:p>
    <w:p w:rsidRPr="009076A5" w:rsidR="007F031D" w:rsidP="007F031D" w:rsidRDefault="007F031D" w14:paraId="6D759DC6" w14:textId="77777777">
      <w:pPr>
        <w:pStyle w:val="Lijstalinea"/>
        <w:tabs>
          <w:tab w:val="left" w:pos="359"/>
        </w:tabs>
        <w:ind w:right="119"/>
        <w:rPr>
          <w:sz w:val="18"/>
        </w:rPr>
      </w:pPr>
    </w:p>
    <w:p w:rsidRPr="00F24B61" w:rsidR="007F031D" w:rsidP="007F031D" w:rsidRDefault="007F031D" w14:paraId="54329DE7" w14:textId="77777777">
      <w:pPr>
        <w:pStyle w:val="Lijstalinea"/>
        <w:tabs>
          <w:tab w:val="left" w:pos="359"/>
        </w:tabs>
        <w:ind w:right="576"/>
        <w:rPr>
          <w:sz w:val="18"/>
          <w:u w:val="single"/>
        </w:rPr>
      </w:pPr>
      <w:r w:rsidRPr="00F24B61">
        <w:rPr>
          <w:sz w:val="18"/>
          <w:u w:val="single"/>
        </w:rPr>
        <w:t xml:space="preserve">Antwoord </w:t>
      </w:r>
    </w:p>
    <w:p w:rsidRPr="00F24B61" w:rsidR="007F031D" w:rsidP="007F031D" w:rsidRDefault="007F031D" w14:paraId="34E09331" w14:textId="77777777">
      <w:pPr>
        <w:pStyle w:val="Lijstalinea"/>
        <w:tabs>
          <w:tab w:val="left" w:pos="359"/>
        </w:tabs>
        <w:ind w:right="333"/>
        <w:rPr>
          <w:sz w:val="18"/>
        </w:rPr>
      </w:pPr>
      <w:r w:rsidRPr="00F24B61">
        <w:rPr>
          <w:sz w:val="18"/>
        </w:rPr>
        <w:t xml:space="preserve">Mij is onduidelijk waarop deze conclusie is gebaseerd. Artikel 59 </w:t>
      </w:r>
      <w:proofErr w:type="spellStart"/>
      <w:r w:rsidRPr="00F24B61">
        <w:rPr>
          <w:sz w:val="18"/>
        </w:rPr>
        <w:t>Pw</w:t>
      </w:r>
      <w:proofErr w:type="spellEnd"/>
      <w:r w:rsidRPr="00F24B61">
        <w:rPr>
          <w:sz w:val="18"/>
        </w:rPr>
        <w:t xml:space="preserve"> sluit niet uit dat een deelnemer die een uitkering ontvangt, maar meent dat zijn transitieaanspraak te laag is vastgesteld, daartegen in rechte kan opkomen. Zoals ik heb aangegeven in het antwoord op vraag 2 is het uiteindelijk aan de rechter om hierover een oordeel te vellen.</w:t>
      </w:r>
    </w:p>
    <w:p w:rsidRPr="00DF79F9" w:rsidR="007F031D" w:rsidP="007F031D" w:rsidRDefault="007F031D" w14:paraId="267B8456" w14:textId="77777777">
      <w:pPr>
        <w:pStyle w:val="Lijstalinea"/>
        <w:tabs>
          <w:tab w:val="left" w:pos="359"/>
        </w:tabs>
        <w:ind w:right="333"/>
        <w:rPr>
          <w:color w:val="0070C0"/>
          <w:sz w:val="18"/>
        </w:rPr>
      </w:pPr>
    </w:p>
    <w:p w:rsidRPr="0040751C" w:rsidR="007F031D" w:rsidP="007F031D" w:rsidRDefault="007F031D" w14:paraId="6B90A04C" w14:textId="77777777">
      <w:pPr>
        <w:pStyle w:val="Lijstalinea"/>
        <w:numPr>
          <w:ilvl w:val="0"/>
          <w:numId w:val="2"/>
        </w:numPr>
        <w:tabs>
          <w:tab w:val="left" w:pos="359"/>
        </w:tabs>
        <w:ind w:right="119" w:firstLine="0"/>
        <w:rPr>
          <w:sz w:val="18"/>
        </w:rPr>
      </w:pPr>
      <w:r w:rsidRPr="0040751C">
        <w:rPr>
          <w:sz w:val="18"/>
        </w:rPr>
        <w:t>Indien u niet bereid bent deze aanvullende rechtsbescherming te bieden, welke concrete en realistische maatregelen bent u dan wél bereid te steunen om de rechtspositie van deelnemers in dit opzicht te versterken?</w:t>
      </w:r>
    </w:p>
    <w:p w:rsidRPr="009076A5" w:rsidR="007F031D" w:rsidP="007F031D" w:rsidRDefault="007F031D" w14:paraId="26626146" w14:textId="77777777">
      <w:pPr>
        <w:pStyle w:val="Lijstalinea"/>
        <w:tabs>
          <w:tab w:val="left" w:pos="359"/>
        </w:tabs>
        <w:ind w:right="275"/>
        <w:rPr>
          <w:sz w:val="18"/>
          <w:highlight w:val="yellow"/>
        </w:rPr>
      </w:pPr>
    </w:p>
    <w:p w:rsidRPr="00F24B61" w:rsidR="007F031D" w:rsidP="007F031D" w:rsidRDefault="007F031D" w14:paraId="273A7001" w14:textId="77777777">
      <w:pPr>
        <w:tabs>
          <w:tab w:val="left" w:pos="359"/>
        </w:tabs>
        <w:ind w:left="115" w:right="333"/>
        <w:rPr>
          <w:sz w:val="18"/>
          <w:u w:val="single"/>
        </w:rPr>
      </w:pPr>
      <w:r w:rsidRPr="00F24B61">
        <w:rPr>
          <w:sz w:val="18"/>
          <w:u w:val="single"/>
        </w:rPr>
        <w:t xml:space="preserve">Antwoord </w:t>
      </w:r>
    </w:p>
    <w:p w:rsidRPr="00F24B61" w:rsidR="007F031D" w:rsidP="007F031D" w:rsidRDefault="007F031D" w14:paraId="07E7AB56" w14:textId="77777777">
      <w:pPr>
        <w:pStyle w:val="Lijstalinea"/>
        <w:tabs>
          <w:tab w:val="left" w:pos="359"/>
        </w:tabs>
        <w:ind w:right="232"/>
        <w:rPr>
          <w:sz w:val="18"/>
        </w:rPr>
      </w:pPr>
      <w:r w:rsidRPr="00F24B61">
        <w:rPr>
          <w:sz w:val="18"/>
        </w:rPr>
        <w:t>Ik vind het in dit licht van groot belang dat deelnemers goed worden meegenomen in deze pensioentransitie en goed begrijpen wat er met hun pensioenaanspraken gebeurt. Ik onderken namelijk dat deelnemers, zeker jongeren en slapers, afhankelijk zijn van de juistheid van gegevens en informatie in de keten. En dat bij onvolkomenheden of fouten herstel soms pas laat mogelijk blijkt. Recent heb ik daarom een aantal aanvullende maatregelen aangekondigd om deelnemers beter te betrekken en te informeren.</w:t>
      </w:r>
      <w:r>
        <w:rPr>
          <w:sz w:val="18"/>
        </w:rPr>
        <w:t xml:space="preserve"> </w:t>
      </w:r>
      <w:r w:rsidRPr="00F24B61">
        <w:rPr>
          <w:sz w:val="18"/>
        </w:rPr>
        <w:t>Daarnaast vind ik het zoals in de eerdere beantwoording van groot belang dat er veel aandacht is voor het voorkomen en herstellen van fouten, zodat een gang naar de rechter niet noodzakelijk hoeft te zijn.</w:t>
      </w:r>
      <w:r>
        <w:rPr>
          <w:sz w:val="18"/>
        </w:rPr>
        <w:t xml:space="preserve"> In dat kader zijn ook de reeds getroffen maatregelen van rechtsbescherming van groot belang. Deze zien toe op de wettelijke eisen van de interne geschilbeslechting en de verplichte aansluiting van een pensioenuitvoerder bij de externe geschilbeslechting.</w:t>
      </w:r>
      <w:r w:rsidRPr="00F24B61">
        <w:rPr>
          <w:sz w:val="18"/>
        </w:rPr>
        <w:t xml:space="preserve">   </w:t>
      </w:r>
    </w:p>
    <w:p w:rsidRPr="007B0489" w:rsidR="007F031D" w:rsidP="007F031D" w:rsidRDefault="007F031D" w14:paraId="5DA4B4F8" w14:textId="77777777">
      <w:pPr>
        <w:pStyle w:val="Lijstalinea"/>
        <w:tabs>
          <w:tab w:val="left" w:pos="359"/>
        </w:tabs>
        <w:ind w:right="232"/>
        <w:rPr>
          <w:i/>
          <w:iCs/>
          <w:color w:val="0070C0"/>
          <w:sz w:val="18"/>
        </w:rPr>
      </w:pPr>
    </w:p>
    <w:p w:rsidRPr="00FD2445" w:rsidR="00BC092F" w:rsidP="00FD2445" w:rsidRDefault="007F031D" w14:paraId="0F18FFAC" w14:textId="019253E3">
      <w:pPr>
        <w:pStyle w:val="Lijstalinea"/>
        <w:numPr>
          <w:ilvl w:val="0"/>
          <w:numId w:val="2"/>
        </w:numPr>
        <w:tabs>
          <w:tab w:val="left" w:pos="359"/>
        </w:tabs>
        <w:ind w:right="119" w:firstLine="0"/>
        <w:rPr>
          <w:sz w:val="18"/>
        </w:rPr>
      </w:pPr>
      <w:r w:rsidRPr="0093689F">
        <w:rPr>
          <w:sz w:val="18"/>
        </w:rPr>
        <w:t>Bent</w:t>
      </w:r>
      <w:r w:rsidRPr="00E354CB">
        <w:rPr>
          <w:sz w:val="18"/>
        </w:rPr>
        <w:t xml:space="preserve"> </w:t>
      </w:r>
      <w:r w:rsidRPr="0093689F">
        <w:rPr>
          <w:sz w:val="18"/>
        </w:rPr>
        <w:t>u</w:t>
      </w:r>
      <w:r w:rsidRPr="00E354CB">
        <w:rPr>
          <w:sz w:val="18"/>
        </w:rPr>
        <w:t xml:space="preserve"> </w:t>
      </w:r>
      <w:r w:rsidRPr="0093689F">
        <w:rPr>
          <w:sz w:val="18"/>
        </w:rPr>
        <w:t>het</w:t>
      </w:r>
      <w:r w:rsidRPr="00E354CB">
        <w:rPr>
          <w:sz w:val="18"/>
        </w:rPr>
        <w:t xml:space="preserve"> </w:t>
      </w:r>
      <w:r w:rsidRPr="0093689F">
        <w:rPr>
          <w:sz w:val="18"/>
        </w:rPr>
        <w:t>ermee</w:t>
      </w:r>
      <w:r w:rsidRPr="00E354CB">
        <w:rPr>
          <w:sz w:val="18"/>
        </w:rPr>
        <w:t xml:space="preserve"> </w:t>
      </w:r>
      <w:r w:rsidRPr="0093689F">
        <w:rPr>
          <w:sz w:val="18"/>
        </w:rPr>
        <w:t>eens</w:t>
      </w:r>
      <w:r w:rsidRPr="00E354CB">
        <w:rPr>
          <w:sz w:val="18"/>
        </w:rPr>
        <w:t xml:space="preserve"> </w:t>
      </w:r>
      <w:r w:rsidRPr="0093689F">
        <w:rPr>
          <w:sz w:val="18"/>
        </w:rPr>
        <w:t>dat</w:t>
      </w:r>
      <w:r w:rsidRPr="00E354CB">
        <w:rPr>
          <w:sz w:val="18"/>
        </w:rPr>
        <w:t xml:space="preserve"> </w:t>
      </w:r>
      <w:r w:rsidRPr="0093689F">
        <w:rPr>
          <w:sz w:val="18"/>
        </w:rPr>
        <w:t>deelnemers</w:t>
      </w:r>
      <w:r w:rsidRPr="00E354CB">
        <w:rPr>
          <w:sz w:val="18"/>
        </w:rPr>
        <w:t xml:space="preserve"> </w:t>
      </w:r>
      <w:r w:rsidRPr="0093689F">
        <w:rPr>
          <w:sz w:val="18"/>
        </w:rPr>
        <w:t>hun</w:t>
      </w:r>
      <w:r w:rsidRPr="00E354CB">
        <w:rPr>
          <w:sz w:val="18"/>
        </w:rPr>
        <w:t xml:space="preserve"> </w:t>
      </w:r>
      <w:r w:rsidRPr="0093689F">
        <w:rPr>
          <w:sz w:val="18"/>
        </w:rPr>
        <w:t>pensioenopbouw</w:t>
      </w:r>
      <w:r w:rsidRPr="00E354CB">
        <w:rPr>
          <w:sz w:val="18"/>
        </w:rPr>
        <w:t xml:space="preserve"> </w:t>
      </w:r>
      <w:r w:rsidRPr="0093689F">
        <w:rPr>
          <w:sz w:val="18"/>
        </w:rPr>
        <w:t>niet</w:t>
      </w:r>
      <w:r w:rsidRPr="00E354CB">
        <w:rPr>
          <w:sz w:val="18"/>
        </w:rPr>
        <w:t xml:space="preserve"> </w:t>
      </w:r>
      <w:r w:rsidRPr="0093689F">
        <w:rPr>
          <w:sz w:val="18"/>
        </w:rPr>
        <w:t>zelfstandig</w:t>
      </w:r>
      <w:r w:rsidRPr="00E354CB">
        <w:rPr>
          <w:sz w:val="18"/>
        </w:rPr>
        <w:t xml:space="preserve"> </w:t>
      </w:r>
      <w:r w:rsidRPr="0093689F">
        <w:rPr>
          <w:sz w:val="18"/>
        </w:rPr>
        <w:t>kunnen</w:t>
      </w:r>
      <w:r w:rsidRPr="00E354CB">
        <w:rPr>
          <w:sz w:val="18"/>
        </w:rPr>
        <w:t xml:space="preserve"> </w:t>
      </w:r>
      <w:r w:rsidRPr="0093689F">
        <w:rPr>
          <w:sz w:val="18"/>
        </w:rPr>
        <w:t xml:space="preserve">berekenen door gebrek aan toegang tot </w:t>
      </w:r>
      <w:proofErr w:type="spellStart"/>
      <w:r w:rsidRPr="0093689F">
        <w:rPr>
          <w:sz w:val="18"/>
        </w:rPr>
        <w:t>fondsspecifieke</w:t>
      </w:r>
      <w:proofErr w:type="spellEnd"/>
      <w:r w:rsidRPr="0093689F">
        <w:rPr>
          <w:sz w:val="18"/>
        </w:rPr>
        <w:t xml:space="preserve"> gegevens zoals sterftetafels, omrekentabellen en wisselende loon- en franchisewijzigingen?</w:t>
      </w:r>
    </w:p>
    <w:p w:rsidRPr="009E2C09" w:rsidR="007F031D" w:rsidP="007F031D" w:rsidRDefault="007F031D" w14:paraId="53D7EF6F" w14:textId="77777777">
      <w:pPr>
        <w:pStyle w:val="Lijstalinea"/>
        <w:tabs>
          <w:tab w:val="left" w:pos="473"/>
        </w:tabs>
        <w:ind w:right="118"/>
        <w:rPr>
          <w:sz w:val="18"/>
        </w:rPr>
      </w:pPr>
    </w:p>
    <w:p w:rsidRPr="00F24B61" w:rsidR="007F031D" w:rsidP="007F031D" w:rsidRDefault="007F031D" w14:paraId="1E09662B" w14:textId="77777777">
      <w:pPr>
        <w:pStyle w:val="Plattetekst"/>
        <w:rPr>
          <w:u w:val="single"/>
        </w:rPr>
      </w:pPr>
      <w:r w:rsidRPr="00F24B61">
        <w:rPr>
          <w:u w:val="single"/>
        </w:rPr>
        <w:t xml:space="preserve">Antwoord </w:t>
      </w:r>
    </w:p>
    <w:p w:rsidRPr="00F24B61" w:rsidR="007F031D" w:rsidP="007F031D" w:rsidRDefault="007F031D" w14:paraId="69A14839" w14:textId="77777777">
      <w:pPr>
        <w:pStyle w:val="Plattetekst"/>
      </w:pPr>
      <w:r w:rsidRPr="00F24B61">
        <w:t xml:space="preserve">Het is in beginsel een taak van de pensioenuitvoerder om het verwachte pensioen van deelnemers te berekenen. Gegevens die onderdeel zijn van een berekening zoals </w:t>
      </w:r>
      <w:proofErr w:type="spellStart"/>
      <w:r w:rsidRPr="00F24B61">
        <w:t>fondsspecifieke</w:t>
      </w:r>
      <w:proofErr w:type="spellEnd"/>
      <w:r w:rsidRPr="00F24B61">
        <w:t xml:space="preserve"> sterftetafels, toedelingsparameters, projectierendementen en herverdelingsmechanismen zijn enerzijds vaak actuarieel complex en in onderling samenhang toegepast. Dit maakt het ook op zich nagenoeg onmogelijk om de berekening zelfstandig te reconstrueren. Deelnemers hebben wel de mogelijkheid om het fonds te vragen de voor hen geldende bedragen na te rekenen en uit te leggen. Daarnaast zie ik binnen de sector toenemende aandacht voor begrijpelijke informatie en voor tools waarmee deelnemers meer inzicht kunnen krijgen in de herkomst en werking van hun persoonlijk pensioenvermogen. Daarmee kan enerzijds het vertrouwen van deelnemers worden behouden en anderzijds recht worden gedaan aan de uitgangspunten waar ik veel waarde aan hecht, namelijk transparantie en individuele rechtsbescherming binnen een collectief systeem. </w:t>
      </w:r>
    </w:p>
    <w:p w:rsidRPr="00C74E47" w:rsidR="007F031D" w:rsidP="007F031D" w:rsidRDefault="007F031D" w14:paraId="6B5CB348" w14:textId="77777777">
      <w:pPr>
        <w:pStyle w:val="Plattetekst"/>
        <w:rPr>
          <w:i/>
          <w:iCs/>
          <w:color w:val="0070C0"/>
        </w:rPr>
      </w:pPr>
    </w:p>
    <w:p w:rsidR="007F031D" w:rsidP="007F031D" w:rsidRDefault="007F031D" w14:paraId="5E56C5AB" w14:textId="77777777">
      <w:pPr>
        <w:pStyle w:val="Lijstalinea"/>
        <w:numPr>
          <w:ilvl w:val="0"/>
          <w:numId w:val="2"/>
        </w:numPr>
        <w:tabs>
          <w:tab w:val="left" w:pos="359"/>
        </w:tabs>
        <w:ind w:right="119" w:firstLine="0"/>
        <w:rPr>
          <w:sz w:val="18"/>
        </w:rPr>
      </w:pPr>
      <w:r w:rsidRPr="0093689F">
        <w:rPr>
          <w:sz w:val="18"/>
        </w:rPr>
        <w:t>Bent</w:t>
      </w:r>
      <w:r w:rsidRPr="0040751C">
        <w:rPr>
          <w:sz w:val="18"/>
        </w:rPr>
        <w:t xml:space="preserve"> </w:t>
      </w:r>
      <w:r w:rsidRPr="0093689F">
        <w:rPr>
          <w:sz w:val="18"/>
        </w:rPr>
        <w:t>u</w:t>
      </w:r>
      <w:r w:rsidRPr="0040751C">
        <w:rPr>
          <w:sz w:val="18"/>
        </w:rPr>
        <w:t xml:space="preserve"> </w:t>
      </w:r>
      <w:r w:rsidRPr="0093689F">
        <w:rPr>
          <w:sz w:val="18"/>
        </w:rPr>
        <w:t>daarom</w:t>
      </w:r>
      <w:r w:rsidRPr="0040751C">
        <w:rPr>
          <w:sz w:val="18"/>
        </w:rPr>
        <w:t xml:space="preserve"> </w:t>
      </w:r>
      <w:r w:rsidRPr="0093689F">
        <w:rPr>
          <w:sz w:val="18"/>
        </w:rPr>
        <w:t>bereid</w:t>
      </w:r>
      <w:r w:rsidRPr="0040751C">
        <w:rPr>
          <w:sz w:val="18"/>
        </w:rPr>
        <w:t xml:space="preserve"> </w:t>
      </w:r>
      <w:r w:rsidRPr="0093689F">
        <w:rPr>
          <w:sz w:val="18"/>
        </w:rPr>
        <w:t>te</w:t>
      </w:r>
      <w:r w:rsidRPr="0040751C">
        <w:rPr>
          <w:sz w:val="18"/>
        </w:rPr>
        <w:t xml:space="preserve"> </w:t>
      </w:r>
      <w:r w:rsidRPr="0093689F">
        <w:rPr>
          <w:sz w:val="18"/>
        </w:rPr>
        <w:t>regelen</w:t>
      </w:r>
      <w:r w:rsidRPr="0040751C">
        <w:rPr>
          <w:sz w:val="18"/>
        </w:rPr>
        <w:t xml:space="preserve"> </w:t>
      </w:r>
      <w:r w:rsidRPr="0093689F">
        <w:rPr>
          <w:sz w:val="18"/>
        </w:rPr>
        <w:t>dat</w:t>
      </w:r>
      <w:r w:rsidRPr="0040751C">
        <w:rPr>
          <w:sz w:val="18"/>
        </w:rPr>
        <w:t xml:space="preserve"> </w:t>
      </w:r>
      <w:r w:rsidRPr="0093689F">
        <w:rPr>
          <w:sz w:val="18"/>
        </w:rPr>
        <w:t>pensioenfondsen</w:t>
      </w:r>
      <w:r w:rsidRPr="0040751C">
        <w:rPr>
          <w:sz w:val="18"/>
        </w:rPr>
        <w:t xml:space="preserve"> </w:t>
      </w:r>
      <w:r w:rsidRPr="0093689F">
        <w:rPr>
          <w:sz w:val="18"/>
        </w:rPr>
        <w:t>verplicht</w:t>
      </w:r>
      <w:r w:rsidRPr="0040751C">
        <w:rPr>
          <w:sz w:val="18"/>
        </w:rPr>
        <w:t xml:space="preserve"> </w:t>
      </w:r>
      <w:r w:rsidRPr="0093689F">
        <w:rPr>
          <w:sz w:val="18"/>
        </w:rPr>
        <w:t>worden</w:t>
      </w:r>
      <w:r w:rsidRPr="0040751C">
        <w:rPr>
          <w:sz w:val="18"/>
        </w:rPr>
        <w:t xml:space="preserve"> </w:t>
      </w:r>
      <w:r w:rsidRPr="0093689F">
        <w:rPr>
          <w:sz w:val="18"/>
        </w:rPr>
        <w:t>om</w:t>
      </w:r>
      <w:r w:rsidRPr="0040751C">
        <w:rPr>
          <w:sz w:val="18"/>
        </w:rPr>
        <w:t xml:space="preserve"> </w:t>
      </w:r>
      <w:r w:rsidRPr="0093689F">
        <w:rPr>
          <w:sz w:val="18"/>
        </w:rPr>
        <w:t>aan</w:t>
      </w:r>
      <w:r w:rsidRPr="0040751C">
        <w:rPr>
          <w:sz w:val="18"/>
        </w:rPr>
        <w:t xml:space="preserve"> </w:t>
      </w:r>
      <w:r w:rsidRPr="0093689F">
        <w:rPr>
          <w:sz w:val="18"/>
        </w:rPr>
        <w:t>deelnemers</w:t>
      </w:r>
      <w:r w:rsidRPr="0040751C">
        <w:rPr>
          <w:sz w:val="18"/>
        </w:rPr>
        <w:t xml:space="preserve"> </w:t>
      </w:r>
      <w:r w:rsidRPr="0093689F">
        <w:rPr>
          <w:sz w:val="18"/>
        </w:rPr>
        <w:t>een rechtsgeldig en begrijpelijk document te verstrekken – anders dan het pensioenreglement – waaraan deelnemers - in tegenstelling tot het uniform pensioenoverzicht (UPO) - wél rechten kunnen ontlenen?</w:t>
      </w:r>
    </w:p>
    <w:p w:rsidRPr="0093689F" w:rsidR="007F031D" w:rsidP="007F031D" w:rsidRDefault="007F031D" w14:paraId="41EA1C58" w14:textId="77777777">
      <w:pPr>
        <w:pStyle w:val="Lijstalinea"/>
        <w:tabs>
          <w:tab w:val="left" w:pos="473"/>
        </w:tabs>
        <w:ind w:right="118"/>
        <w:rPr>
          <w:sz w:val="18"/>
        </w:rPr>
      </w:pPr>
    </w:p>
    <w:p w:rsidRPr="00F24B61" w:rsidR="007F031D" w:rsidP="007F031D" w:rsidRDefault="007F031D" w14:paraId="4D4E3309" w14:textId="77777777">
      <w:pPr>
        <w:pStyle w:val="Plattetekst"/>
        <w:rPr>
          <w:u w:val="single"/>
        </w:rPr>
      </w:pPr>
      <w:r w:rsidRPr="00F24B61">
        <w:rPr>
          <w:u w:val="single"/>
        </w:rPr>
        <w:t xml:space="preserve">Antwoord </w:t>
      </w:r>
    </w:p>
    <w:p w:rsidR="001C5AD9" w:rsidP="001C5AD9" w:rsidRDefault="001C5AD9" w14:paraId="350BB9F9" w14:textId="77777777">
      <w:pPr>
        <w:pStyle w:val="Lijstalinea"/>
        <w:tabs>
          <w:tab w:val="left" w:pos="473"/>
        </w:tabs>
        <w:ind w:right="298"/>
        <w:rPr>
          <w:sz w:val="18"/>
          <w:szCs w:val="18"/>
        </w:rPr>
      </w:pPr>
      <w:r>
        <w:rPr>
          <w:sz w:val="18"/>
          <w:szCs w:val="18"/>
        </w:rPr>
        <w:t>Met de vragen stellers deel ik het belang dat deelnemers bij een omvangrijke stelselwijziging als het invaren heldere en controleerbare informatie over hun pensioenaanspraken ontvangen. Zoals in mijn eerdere antwoorden aangegeven hecht ik er daarom aan dat bij fouten in de administratie de uitvoerders deze corrigeren. In dit verband zie ik ook het belang van de relatieve verjaringstermijn van 5 jaar wat ik nader heb toegelicht in mijn antwoord op vraag 6.</w:t>
      </w:r>
    </w:p>
    <w:p w:rsidR="001C5AD9" w:rsidP="001C5AD9" w:rsidRDefault="001C5AD9" w14:paraId="1DEA50D6" w14:textId="77777777">
      <w:pPr>
        <w:pStyle w:val="Lijstalinea"/>
        <w:tabs>
          <w:tab w:val="left" w:pos="473"/>
        </w:tabs>
        <w:ind w:right="298"/>
        <w:rPr>
          <w:sz w:val="18"/>
          <w:szCs w:val="18"/>
        </w:rPr>
      </w:pPr>
    </w:p>
    <w:p w:rsidR="00726F2D" w:rsidP="001C5AD9" w:rsidRDefault="001C5AD9" w14:paraId="302120A3" w14:textId="79C3AE0D">
      <w:pPr>
        <w:pStyle w:val="Lijstalinea"/>
        <w:tabs>
          <w:tab w:val="left" w:pos="473"/>
        </w:tabs>
        <w:ind w:right="298"/>
        <w:rPr>
          <w:sz w:val="18"/>
          <w:szCs w:val="18"/>
        </w:rPr>
      </w:pPr>
      <w:r>
        <w:rPr>
          <w:sz w:val="18"/>
          <w:szCs w:val="18"/>
        </w:rPr>
        <w:t>Voor het voorstel om afdwingbare rechten aan het UPO te kunnen ontlenen, zie ik echter geen mogelijkheden.</w:t>
      </w:r>
      <w:r w:rsidRPr="00F24B61">
        <w:rPr>
          <w:sz w:val="18"/>
          <w:szCs w:val="18"/>
        </w:rPr>
        <w:t xml:space="preserve"> Hoofdregel is en blijft dat het pensioenreglement leidend is. Aan de hand daarvan worden pensioenaanspraken bepaald. Deze aanspraken zijn echter niet statisch, wat ook in de jurisprudentie meerdere keren is bevestigd. Wijzigingen in de persoonlijke situatie van mensen</w:t>
      </w:r>
      <w:r>
        <w:rPr>
          <w:sz w:val="18"/>
          <w:szCs w:val="18"/>
        </w:rPr>
        <w:t>,</w:t>
      </w:r>
      <w:r w:rsidRPr="00F24B61">
        <w:rPr>
          <w:sz w:val="18"/>
          <w:szCs w:val="18"/>
        </w:rPr>
        <w:t xml:space="preserve"> die soms ook door de werkgever niet of niet op tijd worden doorgegeven</w:t>
      </w:r>
      <w:r>
        <w:rPr>
          <w:sz w:val="18"/>
          <w:szCs w:val="18"/>
        </w:rPr>
        <w:t xml:space="preserve">, kunnen veelal al </w:t>
      </w:r>
      <w:r w:rsidRPr="00F24B61">
        <w:rPr>
          <w:sz w:val="18"/>
          <w:szCs w:val="18"/>
        </w:rPr>
        <w:t>leiden tot wijzigingen in de op te bouwen dan wel opgebouwde pensioenaanspraken. Daarom is het jaarlijks te verstrekken UPO een cijfermatige persoonlijke uitwerking, die niet onveranderbaar vaststaat.</w:t>
      </w:r>
      <w:r>
        <w:rPr>
          <w:sz w:val="18"/>
          <w:szCs w:val="18"/>
        </w:rPr>
        <w:t xml:space="preserve"> </w:t>
      </w:r>
    </w:p>
    <w:p w:rsidR="00726F2D" w:rsidP="001C5AD9" w:rsidRDefault="00726F2D" w14:paraId="673F2B6C" w14:textId="77777777">
      <w:pPr>
        <w:pStyle w:val="Lijstalinea"/>
        <w:tabs>
          <w:tab w:val="left" w:pos="473"/>
        </w:tabs>
        <w:ind w:right="298"/>
        <w:rPr>
          <w:sz w:val="18"/>
          <w:szCs w:val="18"/>
        </w:rPr>
      </w:pPr>
    </w:p>
    <w:p w:rsidR="00726F2D" w:rsidP="001C5AD9" w:rsidRDefault="00726F2D" w14:paraId="78CDDA91" w14:textId="77777777">
      <w:pPr>
        <w:pStyle w:val="Lijstalinea"/>
        <w:tabs>
          <w:tab w:val="left" w:pos="473"/>
        </w:tabs>
        <w:ind w:right="298"/>
        <w:rPr>
          <w:sz w:val="18"/>
          <w:szCs w:val="18"/>
        </w:rPr>
      </w:pPr>
    </w:p>
    <w:p w:rsidR="00726F2D" w:rsidP="001C5AD9" w:rsidRDefault="00726F2D" w14:paraId="1BFE5CFD" w14:textId="77777777">
      <w:pPr>
        <w:pStyle w:val="Lijstalinea"/>
        <w:tabs>
          <w:tab w:val="left" w:pos="473"/>
        </w:tabs>
        <w:ind w:right="298"/>
        <w:rPr>
          <w:sz w:val="18"/>
          <w:szCs w:val="18"/>
        </w:rPr>
      </w:pPr>
    </w:p>
    <w:p w:rsidR="00726F2D" w:rsidP="001C5AD9" w:rsidRDefault="00726F2D" w14:paraId="58A182B5" w14:textId="77777777">
      <w:pPr>
        <w:pStyle w:val="Lijstalinea"/>
        <w:tabs>
          <w:tab w:val="left" w:pos="473"/>
        </w:tabs>
        <w:ind w:right="298"/>
        <w:rPr>
          <w:sz w:val="18"/>
          <w:szCs w:val="18"/>
        </w:rPr>
      </w:pPr>
    </w:p>
    <w:p w:rsidRPr="00F24B61" w:rsidR="00726F2D" w:rsidP="001C5AD9" w:rsidRDefault="00726F2D" w14:paraId="30E68FBE" w14:textId="77777777">
      <w:pPr>
        <w:pStyle w:val="Lijstalinea"/>
        <w:tabs>
          <w:tab w:val="left" w:pos="473"/>
        </w:tabs>
        <w:ind w:right="298"/>
        <w:rPr>
          <w:sz w:val="18"/>
          <w:szCs w:val="18"/>
        </w:rPr>
      </w:pPr>
    </w:p>
    <w:p w:rsidRPr="00905DFD" w:rsidR="007F031D" w:rsidP="007F031D" w:rsidRDefault="007F031D" w14:paraId="063A5173" w14:textId="77777777">
      <w:pPr>
        <w:pStyle w:val="Lijstalinea"/>
        <w:tabs>
          <w:tab w:val="left" w:pos="473"/>
        </w:tabs>
        <w:ind w:right="298"/>
        <w:rPr>
          <w:sz w:val="18"/>
        </w:rPr>
      </w:pPr>
    </w:p>
    <w:p w:rsidR="007F031D" w:rsidP="007F031D" w:rsidRDefault="007F031D" w14:paraId="06536925" w14:textId="77777777">
      <w:pPr>
        <w:pStyle w:val="Lijstalinea"/>
        <w:numPr>
          <w:ilvl w:val="0"/>
          <w:numId w:val="2"/>
        </w:numPr>
        <w:tabs>
          <w:tab w:val="left" w:pos="359"/>
        </w:tabs>
        <w:ind w:right="119" w:firstLine="0"/>
        <w:rPr>
          <w:sz w:val="18"/>
        </w:rPr>
      </w:pPr>
      <w:r w:rsidRPr="0093689F">
        <w:rPr>
          <w:sz w:val="18"/>
        </w:rPr>
        <w:t>Bent</w:t>
      </w:r>
      <w:r w:rsidRPr="0040751C">
        <w:rPr>
          <w:sz w:val="18"/>
        </w:rPr>
        <w:t xml:space="preserve"> </w:t>
      </w:r>
      <w:r w:rsidRPr="0093689F">
        <w:rPr>
          <w:sz w:val="18"/>
        </w:rPr>
        <w:t>u</w:t>
      </w:r>
      <w:r w:rsidRPr="0040751C">
        <w:rPr>
          <w:sz w:val="18"/>
        </w:rPr>
        <w:t xml:space="preserve"> </w:t>
      </w:r>
      <w:r w:rsidRPr="0093689F">
        <w:rPr>
          <w:sz w:val="18"/>
        </w:rPr>
        <w:t>ook</w:t>
      </w:r>
      <w:r w:rsidRPr="0040751C">
        <w:rPr>
          <w:sz w:val="18"/>
        </w:rPr>
        <w:t xml:space="preserve"> </w:t>
      </w:r>
      <w:r w:rsidRPr="0093689F">
        <w:rPr>
          <w:sz w:val="18"/>
        </w:rPr>
        <w:t>bereid</w:t>
      </w:r>
      <w:r w:rsidRPr="0040751C">
        <w:rPr>
          <w:sz w:val="18"/>
        </w:rPr>
        <w:t xml:space="preserve"> </w:t>
      </w:r>
      <w:r w:rsidRPr="0093689F">
        <w:rPr>
          <w:sz w:val="18"/>
        </w:rPr>
        <w:t>om</w:t>
      </w:r>
      <w:r w:rsidRPr="0040751C">
        <w:rPr>
          <w:sz w:val="18"/>
        </w:rPr>
        <w:t xml:space="preserve"> </w:t>
      </w:r>
      <w:r w:rsidRPr="0093689F">
        <w:rPr>
          <w:sz w:val="18"/>
        </w:rPr>
        <w:t>pensioenfondsen</w:t>
      </w:r>
      <w:r w:rsidRPr="0040751C">
        <w:rPr>
          <w:sz w:val="18"/>
        </w:rPr>
        <w:t xml:space="preserve"> </w:t>
      </w:r>
      <w:r w:rsidRPr="0093689F">
        <w:rPr>
          <w:sz w:val="18"/>
        </w:rPr>
        <w:t>te</w:t>
      </w:r>
      <w:r w:rsidRPr="0040751C">
        <w:rPr>
          <w:sz w:val="18"/>
        </w:rPr>
        <w:t xml:space="preserve"> </w:t>
      </w:r>
      <w:r w:rsidRPr="0093689F">
        <w:rPr>
          <w:sz w:val="18"/>
        </w:rPr>
        <w:t>verplichten</w:t>
      </w:r>
      <w:r w:rsidRPr="0040751C">
        <w:rPr>
          <w:sz w:val="18"/>
        </w:rPr>
        <w:t xml:space="preserve"> </w:t>
      </w:r>
      <w:r w:rsidRPr="0093689F">
        <w:rPr>
          <w:sz w:val="18"/>
        </w:rPr>
        <w:t>een</w:t>
      </w:r>
      <w:r w:rsidRPr="0040751C">
        <w:rPr>
          <w:sz w:val="18"/>
        </w:rPr>
        <w:t xml:space="preserve"> </w:t>
      </w:r>
      <w:r w:rsidRPr="0093689F">
        <w:rPr>
          <w:sz w:val="18"/>
        </w:rPr>
        <w:t>disclaimer</w:t>
      </w:r>
      <w:r w:rsidRPr="0040751C">
        <w:rPr>
          <w:sz w:val="18"/>
        </w:rPr>
        <w:t xml:space="preserve"> </w:t>
      </w:r>
      <w:r w:rsidRPr="0093689F">
        <w:rPr>
          <w:sz w:val="18"/>
        </w:rPr>
        <w:t>op</w:t>
      </w:r>
      <w:r w:rsidRPr="0040751C">
        <w:rPr>
          <w:sz w:val="18"/>
        </w:rPr>
        <w:t xml:space="preserve"> </w:t>
      </w:r>
      <w:r w:rsidRPr="0093689F">
        <w:rPr>
          <w:sz w:val="18"/>
        </w:rPr>
        <w:t>te</w:t>
      </w:r>
      <w:r w:rsidRPr="0040751C">
        <w:rPr>
          <w:sz w:val="18"/>
        </w:rPr>
        <w:t xml:space="preserve"> </w:t>
      </w:r>
      <w:r w:rsidRPr="0093689F">
        <w:rPr>
          <w:sz w:val="18"/>
        </w:rPr>
        <w:t>nemen in</w:t>
      </w:r>
      <w:r w:rsidRPr="0040751C">
        <w:rPr>
          <w:sz w:val="18"/>
        </w:rPr>
        <w:t xml:space="preserve"> </w:t>
      </w:r>
      <w:r w:rsidRPr="0093689F">
        <w:rPr>
          <w:sz w:val="18"/>
        </w:rPr>
        <w:t>het UPO, waarin expliciet wordt gewezen op de toepasselijke verjaringstermijn en de mogelijke consequenties hiervan voor de rechtspositie van deelnemers?</w:t>
      </w:r>
    </w:p>
    <w:p w:rsidRPr="0093689F" w:rsidR="007F031D" w:rsidP="007F031D" w:rsidRDefault="007F031D" w14:paraId="48F5650A" w14:textId="77777777">
      <w:pPr>
        <w:pStyle w:val="Lijstalinea"/>
        <w:tabs>
          <w:tab w:val="left" w:pos="473"/>
        </w:tabs>
        <w:ind w:right="298"/>
        <w:rPr>
          <w:sz w:val="18"/>
        </w:rPr>
      </w:pPr>
    </w:p>
    <w:p w:rsidRPr="00F24B61" w:rsidR="007F031D" w:rsidP="007F031D" w:rsidRDefault="007F031D" w14:paraId="09321E1B" w14:textId="77777777">
      <w:pPr>
        <w:pStyle w:val="Plattetekst"/>
        <w:ind w:left="113"/>
        <w:rPr>
          <w:u w:val="single"/>
        </w:rPr>
      </w:pPr>
      <w:r w:rsidRPr="00F24B61">
        <w:rPr>
          <w:u w:val="single"/>
        </w:rPr>
        <w:t xml:space="preserve">Antwoord </w:t>
      </w:r>
    </w:p>
    <w:p w:rsidR="007F031D" w:rsidP="007F031D" w:rsidRDefault="001C5AD9" w14:paraId="09317A3C" w14:textId="24063273">
      <w:pPr>
        <w:pStyle w:val="Lijstalinea"/>
        <w:tabs>
          <w:tab w:val="left" w:pos="473"/>
        </w:tabs>
        <w:ind w:right="118"/>
        <w:rPr>
          <w:sz w:val="18"/>
          <w:szCs w:val="18"/>
        </w:rPr>
      </w:pPr>
      <w:r w:rsidRPr="001C5AD9">
        <w:rPr>
          <w:sz w:val="18"/>
          <w:szCs w:val="18"/>
        </w:rPr>
        <w:t>Ik vind het  van belang dat pensioenuitvoerders nu, tijdens de transitie, extra aandacht besteden aan de juistheid van hun administratie en deelnemers blijven oproepen om dit te controleren. Ik zie namelijk dat pensioenfondsen deelnemers steeds meer op expliciete wijze, bijvoorbeeld via de website bij het inloggen op de mijnomgeving, oproepen om gegevens die bij een pensioenfonds bekend zijn te controleren en wijzigingen door te geven. Dit sluit niet alleen aan bij hun herstelplicht, voor zoverre correctie feitelijk nog mogelijk is, maar ook bij de zorgplicht om deelnemers in begrijpelijke taal wegwijs te maken in hun pensioenpositie. Ik wil met de sector overleggen op welke wijze zij dit nog meer onder de aandacht kunnen brengen. Op de website pensioenduidelijkheid.nl zal hier in ieder geval extra aandacht aan worden besteed.</w:t>
      </w:r>
    </w:p>
    <w:p w:rsidR="00997FDC" w:rsidP="007F031D" w:rsidRDefault="00997FDC" w14:paraId="117C8AD8" w14:textId="77777777">
      <w:pPr>
        <w:pStyle w:val="Lijstalinea"/>
        <w:tabs>
          <w:tab w:val="left" w:pos="473"/>
        </w:tabs>
        <w:ind w:right="118"/>
        <w:rPr>
          <w:i/>
          <w:iCs/>
          <w:color w:val="0070C0"/>
          <w:sz w:val="18"/>
          <w:szCs w:val="18"/>
        </w:rPr>
      </w:pPr>
    </w:p>
    <w:p w:rsidR="007F031D" w:rsidP="007F031D" w:rsidRDefault="007F031D" w14:paraId="4A2B0D17" w14:textId="77777777">
      <w:pPr>
        <w:pStyle w:val="Lijstalinea"/>
        <w:numPr>
          <w:ilvl w:val="0"/>
          <w:numId w:val="2"/>
        </w:numPr>
        <w:tabs>
          <w:tab w:val="left" w:pos="359"/>
        </w:tabs>
        <w:ind w:right="119" w:firstLine="0"/>
        <w:rPr>
          <w:sz w:val="18"/>
        </w:rPr>
      </w:pPr>
      <w:r w:rsidRPr="00E354CB">
        <w:rPr>
          <w:sz w:val="18"/>
        </w:rPr>
        <w:t>Kunt u de vragen één voor één beantwoorden binnen 3 weken?</w:t>
      </w:r>
    </w:p>
    <w:p w:rsidRPr="00E354CB" w:rsidR="007F031D" w:rsidP="007F031D" w:rsidRDefault="007F031D" w14:paraId="70A1F528" w14:textId="77777777">
      <w:pPr>
        <w:pStyle w:val="Lijstalinea"/>
        <w:tabs>
          <w:tab w:val="left" w:pos="473"/>
        </w:tabs>
        <w:ind w:right="118"/>
        <w:rPr>
          <w:sz w:val="18"/>
        </w:rPr>
      </w:pPr>
    </w:p>
    <w:p w:rsidRPr="00F24B61" w:rsidR="007F031D" w:rsidP="007F031D" w:rsidRDefault="007F031D" w14:paraId="1046FC84" w14:textId="77777777">
      <w:pPr>
        <w:tabs>
          <w:tab w:val="left" w:pos="473"/>
        </w:tabs>
        <w:ind w:left="115"/>
        <w:rPr>
          <w:sz w:val="18"/>
          <w:u w:val="single"/>
        </w:rPr>
      </w:pPr>
      <w:r w:rsidRPr="00F24B61">
        <w:rPr>
          <w:sz w:val="18"/>
          <w:u w:val="single"/>
        </w:rPr>
        <w:t>Antwoord</w:t>
      </w:r>
    </w:p>
    <w:p w:rsidRPr="00F24B61" w:rsidR="007F031D" w:rsidP="007F031D" w:rsidRDefault="007F031D" w14:paraId="0E520688" w14:textId="77777777">
      <w:pPr>
        <w:pStyle w:val="Plattetekst"/>
        <w:ind w:left="0" w:firstLine="115"/>
      </w:pPr>
      <w:r w:rsidRPr="00F24B61">
        <w:t>U heeft de antwoorden zo spoedig mogelijk na de uitstelbrief ontvangen.</w:t>
      </w:r>
    </w:p>
    <w:p w:rsidRPr="00C74E47" w:rsidR="007F031D" w:rsidP="007F031D" w:rsidRDefault="007F031D" w14:paraId="7BD15A2E" w14:textId="77777777">
      <w:pPr>
        <w:pStyle w:val="Plattetekst"/>
        <w:ind w:left="0" w:firstLine="115"/>
        <w:rPr>
          <w:i/>
          <w:iCs/>
          <w:color w:val="0070C0"/>
        </w:rPr>
      </w:pPr>
    </w:p>
    <w:p w:rsidRPr="00905DFD" w:rsidR="007F031D" w:rsidP="007F031D" w:rsidRDefault="007F031D" w14:paraId="53AB8E64" w14:textId="77777777">
      <w:pPr>
        <w:pStyle w:val="Plattetekst"/>
        <w:ind w:left="0"/>
        <w:rPr>
          <w:sz w:val="16"/>
          <w:szCs w:val="16"/>
        </w:rPr>
      </w:pPr>
    </w:p>
    <w:p w:rsidRPr="0093689F" w:rsidR="007F031D" w:rsidP="007F031D" w:rsidRDefault="007F031D" w14:paraId="6100E4DA" w14:textId="77777777">
      <w:pPr>
        <w:tabs>
          <w:tab w:val="left" w:pos="373"/>
        </w:tabs>
        <w:rPr>
          <w:sz w:val="18"/>
        </w:rPr>
      </w:pPr>
    </w:p>
    <w:p w:rsidRPr="0093689F" w:rsidR="00190AB8" w:rsidP="00905DFD" w:rsidRDefault="00190AB8" w14:paraId="1D66B51D" w14:textId="77777777">
      <w:pPr>
        <w:tabs>
          <w:tab w:val="left" w:pos="373"/>
        </w:tabs>
        <w:rPr>
          <w:sz w:val="18"/>
        </w:rPr>
      </w:pPr>
    </w:p>
    <w:sectPr w:rsidRPr="0093689F" w:rsidR="00190AB8">
      <w:headerReference w:type="even" r:id="rId8"/>
      <w:headerReference w:type="default" r:id="rId9"/>
      <w:footerReference w:type="even" r:id="rId10"/>
      <w:footerReference w:type="default" r:id="rId11"/>
      <w:headerReference w:type="first" r:id="rId12"/>
      <w:footerReference w:type="first" r:id="rId13"/>
      <w:type w:val="continuous"/>
      <w:pgSz w:w="11910" w:h="16840"/>
      <w:pgMar w:top="1340" w:right="1320" w:bottom="280" w:left="1300"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C69A2" w14:textId="77777777" w:rsidR="004B715F" w:rsidRDefault="004B715F" w:rsidP="00465111">
      <w:r>
        <w:separator/>
      </w:r>
    </w:p>
  </w:endnote>
  <w:endnote w:type="continuationSeparator" w:id="0">
    <w:p w14:paraId="7EA2B8B1" w14:textId="77777777" w:rsidR="004B715F" w:rsidRDefault="004B715F" w:rsidP="0046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6AD26" w14:textId="77777777" w:rsidR="00260E0A" w:rsidRDefault="00260E0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C69D" w14:textId="77777777" w:rsidR="00260E0A" w:rsidRDefault="00260E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2254" w14:textId="77777777" w:rsidR="00260E0A" w:rsidRDefault="00260E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74B0" w14:textId="77777777" w:rsidR="004B715F" w:rsidRDefault="004B715F" w:rsidP="00465111">
      <w:r>
        <w:separator/>
      </w:r>
    </w:p>
  </w:footnote>
  <w:footnote w:type="continuationSeparator" w:id="0">
    <w:p w14:paraId="6B5BFDEC" w14:textId="77777777" w:rsidR="004B715F" w:rsidRDefault="004B715F" w:rsidP="00465111">
      <w:r>
        <w:continuationSeparator/>
      </w:r>
    </w:p>
  </w:footnote>
  <w:footnote w:id="1">
    <w:p w14:paraId="2897FF2D" w14:textId="01BE20A4" w:rsidR="000938BC" w:rsidRPr="00905DFD" w:rsidRDefault="000938BC" w:rsidP="000938BC">
      <w:pPr>
        <w:pStyle w:val="Lijstalinea"/>
        <w:tabs>
          <w:tab w:val="left" w:pos="373"/>
        </w:tabs>
        <w:ind w:right="2310"/>
        <w:rPr>
          <w:sz w:val="16"/>
          <w:szCs w:val="16"/>
        </w:rPr>
      </w:pPr>
      <w:r>
        <w:rPr>
          <w:rStyle w:val="Voetnootmarkering"/>
        </w:rPr>
        <w:footnoteRef/>
      </w:r>
      <w:r>
        <w:t xml:space="preserve"> </w:t>
      </w:r>
      <w:r w:rsidRPr="00905DFD">
        <w:rPr>
          <w:sz w:val="16"/>
          <w:szCs w:val="16"/>
        </w:rPr>
        <w:t xml:space="preserve">Rechtbank Oost-Brabant, 10 april 2025, ECLI:NL:RBOBR:2025:2163 </w:t>
      </w:r>
      <w:r w:rsidRPr="00905DFD">
        <w:rPr>
          <w:spacing w:val="-2"/>
          <w:sz w:val="16"/>
          <w:szCs w:val="16"/>
        </w:rPr>
        <w:t>(</w:t>
      </w:r>
      <w:hyperlink r:id="rId1">
        <w:r w:rsidRPr="00905DFD">
          <w:rPr>
            <w:spacing w:val="-2"/>
            <w:sz w:val="16"/>
            <w:szCs w:val="16"/>
            <w:u w:val="single" w:color="467885"/>
          </w:rPr>
          <w:t>https://uitspraken.rechtspraak.nl/details?id=ECLI:NL:RBOBR:2025:2163</w:t>
        </w:r>
      </w:hyperlink>
      <w:r w:rsidRPr="00905DFD">
        <w:rPr>
          <w:spacing w:val="-2"/>
          <w:sz w:val="16"/>
          <w:szCs w:val="16"/>
        </w:rPr>
        <w:t>).</w:t>
      </w:r>
    </w:p>
    <w:p w14:paraId="330416B3" w14:textId="6A2534F7" w:rsidR="000938BC" w:rsidRDefault="000938BC">
      <w:pPr>
        <w:pStyle w:val="Voetnoottekst"/>
      </w:pPr>
    </w:p>
  </w:footnote>
  <w:footnote w:id="2">
    <w:p w14:paraId="16F9C533" w14:textId="0A15E376" w:rsidR="000938BC" w:rsidRDefault="000938BC">
      <w:pPr>
        <w:pStyle w:val="Voetnoottekst"/>
      </w:pPr>
      <w:r>
        <w:rPr>
          <w:rStyle w:val="Voetnootmarkering"/>
        </w:rPr>
        <w:footnoteRef/>
      </w:r>
      <w:r>
        <w:t xml:space="preserve"> </w:t>
      </w:r>
      <w:r w:rsidRPr="000938BC">
        <w:rPr>
          <w:sz w:val="16"/>
          <w:szCs w:val="16"/>
        </w:rPr>
        <w:t>Aanhangsel Handelingen II, vergaderjaar 2024-2025, nr. 1958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8B13" w14:textId="77777777" w:rsidR="00260E0A" w:rsidRDefault="00260E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C202D" w14:textId="77777777" w:rsidR="00260E0A" w:rsidRDefault="00260E0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AFB61" w14:textId="77777777" w:rsidR="00260E0A" w:rsidRDefault="00260E0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D04C5F"/>
    <w:multiLevelType w:val="hybridMultilevel"/>
    <w:tmpl w:val="0A8AC318"/>
    <w:lvl w:ilvl="0" w:tplc="1500E782">
      <w:start w:val="6"/>
      <w:numFmt w:val="bullet"/>
      <w:lvlText w:val="-"/>
      <w:lvlJc w:val="left"/>
      <w:pPr>
        <w:ind w:left="475" w:hanging="360"/>
      </w:pPr>
      <w:rPr>
        <w:rFonts w:ascii="Verdana" w:eastAsia="Verdana" w:hAnsi="Verdana" w:cs="Verdana" w:hint="default"/>
      </w:rPr>
    </w:lvl>
    <w:lvl w:ilvl="1" w:tplc="04130003" w:tentative="1">
      <w:start w:val="1"/>
      <w:numFmt w:val="bullet"/>
      <w:lvlText w:val="o"/>
      <w:lvlJc w:val="left"/>
      <w:pPr>
        <w:ind w:left="1195" w:hanging="360"/>
      </w:pPr>
      <w:rPr>
        <w:rFonts w:ascii="Courier New" w:hAnsi="Courier New" w:cs="Courier New" w:hint="default"/>
      </w:rPr>
    </w:lvl>
    <w:lvl w:ilvl="2" w:tplc="04130005" w:tentative="1">
      <w:start w:val="1"/>
      <w:numFmt w:val="bullet"/>
      <w:lvlText w:val=""/>
      <w:lvlJc w:val="left"/>
      <w:pPr>
        <w:ind w:left="1915" w:hanging="360"/>
      </w:pPr>
      <w:rPr>
        <w:rFonts w:ascii="Wingdings" w:hAnsi="Wingdings" w:hint="default"/>
      </w:rPr>
    </w:lvl>
    <w:lvl w:ilvl="3" w:tplc="04130001" w:tentative="1">
      <w:start w:val="1"/>
      <w:numFmt w:val="bullet"/>
      <w:lvlText w:val=""/>
      <w:lvlJc w:val="left"/>
      <w:pPr>
        <w:ind w:left="2635" w:hanging="360"/>
      </w:pPr>
      <w:rPr>
        <w:rFonts w:ascii="Symbol" w:hAnsi="Symbol" w:hint="default"/>
      </w:rPr>
    </w:lvl>
    <w:lvl w:ilvl="4" w:tplc="04130003" w:tentative="1">
      <w:start w:val="1"/>
      <w:numFmt w:val="bullet"/>
      <w:lvlText w:val="o"/>
      <w:lvlJc w:val="left"/>
      <w:pPr>
        <w:ind w:left="3355" w:hanging="360"/>
      </w:pPr>
      <w:rPr>
        <w:rFonts w:ascii="Courier New" w:hAnsi="Courier New" w:cs="Courier New" w:hint="default"/>
      </w:rPr>
    </w:lvl>
    <w:lvl w:ilvl="5" w:tplc="04130005" w:tentative="1">
      <w:start w:val="1"/>
      <w:numFmt w:val="bullet"/>
      <w:lvlText w:val=""/>
      <w:lvlJc w:val="left"/>
      <w:pPr>
        <w:ind w:left="4075" w:hanging="360"/>
      </w:pPr>
      <w:rPr>
        <w:rFonts w:ascii="Wingdings" w:hAnsi="Wingdings" w:hint="default"/>
      </w:rPr>
    </w:lvl>
    <w:lvl w:ilvl="6" w:tplc="04130001" w:tentative="1">
      <w:start w:val="1"/>
      <w:numFmt w:val="bullet"/>
      <w:lvlText w:val=""/>
      <w:lvlJc w:val="left"/>
      <w:pPr>
        <w:ind w:left="4795" w:hanging="360"/>
      </w:pPr>
      <w:rPr>
        <w:rFonts w:ascii="Symbol" w:hAnsi="Symbol" w:hint="default"/>
      </w:rPr>
    </w:lvl>
    <w:lvl w:ilvl="7" w:tplc="04130003" w:tentative="1">
      <w:start w:val="1"/>
      <w:numFmt w:val="bullet"/>
      <w:lvlText w:val="o"/>
      <w:lvlJc w:val="left"/>
      <w:pPr>
        <w:ind w:left="5515" w:hanging="360"/>
      </w:pPr>
      <w:rPr>
        <w:rFonts w:ascii="Courier New" w:hAnsi="Courier New" w:cs="Courier New" w:hint="default"/>
      </w:rPr>
    </w:lvl>
    <w:lvl w:ilvl="8" w:tplc="04130005" w:tentative="1">
      <w:start w:val="1"/>
      <w:numFmt w:val="bullet"/>
      <w:lvlText w:val=""/>
      <w:lvlJc w:val="left"/>
      <w:pPr>
        <w:ind w:left="6235" w:hanging="360"/>
      </w:pPr>
      <w:rPr>
        <w:rFonts w:ascii="Wingdings" w:hAnsi="Wingdings" w:hint="default"/>
      </w:rPr>
    </w:lvl>
  </w:abstractNum>
  <w:abstractNum w:abstractNumId="1" w15:restartNumberingAfterBreak="0">
    <w:nsid w:val="38C06172"/>
    <w:multiLevelType w:val="hybridMultilevel"/>
    <w:tmpl w:val="B47A6172"/>
    <w:lvl w:ilvl="0" w:tplc="D30E5468">
      <w:start w:val="1"/>
      <w:numFmt w:val="decimal"/>
      <w:lvlText w:val="%1)"/>
      <w:lvlJc w:val="left"/>
      <w:pPr>
        <w:ind w:left="115" w:hanging="260"/>
      </w:pPr>
      <w:rPr>
        <w:rFonts w:ascii="Verdana" w:eastAsia="Verdana" w:hAnsi="Verdana" w:cs="Verdana" w:hint="default"/>
        <w:b w:val="0"/>
        <w:bCs w:val="0"/>
        <w:i w:val="0"/>
        <w:iCs w:val="0"/>
        <w:spacing w:val="-1"/>
        <w:w w:val="100"/>
        <w:sz w:val="16"/>
        <w:szCs w:val="16"/>
        <w:lang w:val="nl-NL" w:eastAsia="en-US" w:bidi="ar-SA"/>
      </w:rPr>
    </w:lvl>
    <w:lvl w:ilvl="1" w:tplc="3EA0F734">
      <w:numFmt w:val="bullet"/>
      <w:lvlText w:val="•"/>
      <w:lvlJc w:val="left"/>
      <w:pPr>
        <w:ind w:left="1036" w:hanging="260"/>
      </w:pPr>
      <w:rPr>
        <w:rFonts w:hint="default"/>
        <w:lang w:val="nl-NL" w:eastAsia="en-US" w:bidi="ar-SA"/>
      </w:rPr>
    </w:lvl>
    <w:lvl w:ilvl="2" w:tplc="34A4CDF4">
      <w:numFmt w:val="bullet"/>
      <w:lvlText w:val="•"/>
      <w:lvlJc w:val="left"/>
      <w:pPr>
        <w:ind w:left="1953" w:hanging="260"/>
      </w:pPr>
      <w:rPr>
        <w:rFonts w:hint="default"/>
        <w:lang w:val="nl-NL" w:eastAsia="en-US" w:bidi="ar-SA"/>
      </w:rPr>
    </w:lvl>
    <w:lvl w:ilvl="3" w:tplc="9378DD2C">
      <w:numFmt w:val="bullet"/>
      <w:lvlText w:val="•"/>
      <w:lvlJc w:val="left"/>
      <w:pPr>
        <w:ind w:left="2869" w:hanging="260"/>
      </w:pPr>
      <w:rPr>
        <w:rFonts w:hint="default"/>
        <w:lang w:val="nl-NL" w:eastAsia="en-US" w:bidi="ar-SA"/>
      </w:rPr>
    </w:lvl>
    <w:lvl w:ilvl="4" w:tplc="86C0E388">
      <w:numFmt w:val="bullet"/>
      <w:lvlText w:val="•"/>
      <w:lvlJc w:val="left"/>
      <w:pPr>
        <w:ind w:left="3786" w:hanging="260"/>
      </w:pPr>
      <w:rPr>
        <w:rFonts w:hint="default"/>
        <w:lang w:val="nl-NL" w:eastAsia="en-US" w:bidi="ar-SA"/>
      </w:rPr>
    </w:lvl>
    <w:lvl w:ilvl="5" w:tplc="7174E77C">
      <w:numFmt w:val="bullet"/>
      <w:lvlText w:val="•"/>
      <w:lvlJc w:val="left"/>
      <w:pPr>
        <w:ind w:left="4702" w:hanging="260"/>
      </w:pPr>
      <w:rPr>
        <w:rFonts w:hint="default"/>
        <w:lang w:val="nl-NL" w:eastAsia="en-US" w:bidi="ar-SA"/>
      </w:rPr>
    </w:lvl>
    <w:lvl w:ilvl="6" w:tplc="2A926E96">
      <w:numFmt w:val="bullet"/>
      <w:lvlText w:val="•"/>
      <w:lvlJc w:val="left"/>
      <w:pPr>
        <w:ind w:left="5619" w:hanging="260"/>
      </w:pPr>
      <w:rPr>
        <w:rFonts w:hint="default"/>
        <w:lang w:val="nl-NL" w:eastAsia="en-US" w:bidi="ar-SA"/>
      </w:rPr>
    </w:lvl>
    <w:lvl w:ilvl="7" w:tplc="F14A52D6">
      <w:numFmt w:val="bullet"/>
      <w:lvlText w:val="•"/>
      <w:lvlJc w:val="left"/>
      <w:pPr>
        <w:ind w:left="6535" w:hanging="260"/>
      </w:pPr>
      <w:rPr>
        <w:rFonts w:hint="default"/>
        <w:lang w:val="nl-NL" w:eastAsia="en-US" w:bidi="ar-SA"/>
      </w:rPr>
    </w:lvl>
    <w:lvl w:ilvl="8" w:tplc="4D869816">
      <w:numFmt w:val="bullet"/>
      <w:lvlText w:val="•"/>
      <w:lvlJc w:val="left"/>
      <w:pPr>
        <w:ind w:left="7452" w:hanging="260"/>
      </w:pPr>
      <w:rPr>
        <w:rFonts w:hint="default"/>
        <w:lang w:val="nl-NL" w:eastAsia="en-US" w:bidi="ar-SA"/>
      </w:rPr>
    </w:lvl>
  </w:abstractNum>
  <w:abstractNum w:abstractNumId="2" w15:restartNumberingAfterBreak="0">
    <w:nsid w:val="3BDF0EF5"/>
    <w:multiLevelType w:val="hybridMultilevel"/>
    <w:tmpl w:val="F26A5678"/>
    <w:lvl w:ilvl="0" w:tplc="B346FE60">
      <w:start w:val="1"/>
      <w:numFmt w:val="decimal"/>
      <w:lvlText w:val="%1."/>
      <w:lvlJc w:val="left"/>
      <w:pPr>
        <w:ind w:left="115" w:hanging="245"/>
      </w:pPr>
      <w:rPr>
        <w:rFonts w:ascii="Verdana" w:eastAsia="Verdana" w:hAnsi="Verdana" w:cs="Verdana" w:hint="default"/>
        <w:b w:val="0"/>
        <w:bCs w:val="0"/>
        <w:i w:val="0"/>
        <w:iCs w:val="0"/>
        <w:spacing w:val="0"/>
        <w:w w:val="100"/>
        <w:sz w:val="18"/>
        <w:szCs w:val="18"/>
        <w:lang w:val="nl-NL" w:eastAsia="en-US" w:bidi="ar-SA"/>
      </w:rPr>
    </w:lvl>
    <w:lvl w:ilvl="1" w:tplc="637885D4">
      <w:numFmt w:val="bullet"/>
      <w:lvlText w:val="•"/>
      <w:lvlJc w:val="left"/>
      <w:pPr>
        <w:ind w:left="1036" w:hanging="245"/>
      </w:pPr>
      <w:rPr>
        <w:rFonts w:hint="default"/>
        <w:lang w:val="nl-NL" w:eastAsia="en-US" w:bidi="ar-SA"/>
      </w:rPr>
    </w:lvl>
    <w:lvl w:ilvl="2" w:tplc="7B2E0096">
      <w:numFmt w:val="bullet"/>
      <w:lvlText w:val="•"/>
      <w:lvlJc w:val="left"/>
      <w:pPr>
        <w:ind w:left="1953" w:hanging="245"/>
      </w:pPr>
      <w:rPr>
        <w:rFonts w:hint="default"/>
        <w:lang w:val="nl-NL" w:eastAsia="en-US" w:bidi="ar-SA"/>
      </w:rPr>
    </w:lvl>
    <w:lvl w:ilvl="3" w:tplc="CC32464E">
      <w:numFmt w:val="bullet"/>
      <w:lvlText w:val="•"/>
      <w:lvlJc w:val="left"/>
      <w:pPr>
        <w:ind w:left="2869" w:hanging="245"/>
      </w:pPr>
      <w:rPr>
        <w:rFonts w:hint="default"/>
        <w:lang w:val="nl-NL" w:eastAsia="en-US" w:bidi="ar-SA"/>
      </w:rPr>
    </w:lvl>
    <w:lvl w:ilvl="4" w:tplc="ABF8C338">
      <w:numFmt w:val="bullet"/>
      <w:lvlText w:val="•"/>
      <w:lvlJc w:val="left"/>
      <w:pPr>
        <w:ind w:left="3786" w:hanging="245"/>
      </w:pPr>
      <w:rPr>
        <w:rFonts w:hint="default"/>
        <w:lang w:val="nl-NL" w:eastAsia="en-US" w:bidi="ar-SA"/>
      </w:rPr>
    </w:lvl>
    <w:lvl w:ilvl="5" w:tplc="B6F422BA">
      <w:numFmt w:val="bullet"/>
      <w:lvlText w:val="•"/>
      <w:lvlJc w:val="left"/>
      <w:pPr>
        <w:ind w:left="4702" w:hanging="245"/>
      </w:pPr>
      <w:rPr>
        <w:rFonts w:hint="default"/>
        <w:lang w:val="nl-NL" w:eastAsia="en-US" w:bidi="ar-SA"/>
      </w:rPr>
    </w:lvl>
    <w:lvl w:ilvl="6" w:tplc="A28A181E">
      <w:numFmt w:val="bullet"/>
      <w:lvlText w:val="•"/>
      <w:lvlJc w:val="left"/>
      <w:pPr>
        <w:ind w:left="5619" w:hanging="245"/>
      </w:pPr>
      <w:rPr>
        <w:rFonts w:hint="default"/>
        <w:lang w:val="nl-NL" w:eastAsia="en-US" w:bidi="ar-SA"/>
      </w:rPr>
    </w:lvl>
    <w:lvl w:ilvl="7" w:tplc="BA82802C">
      <w:numFmt w:val="bullet"/>
      <w:lvlText w:val="•"/>
      <w:lvlJc w:val="left"/>
      <w:pPr>
        <w:ind w:left="6535" w:hanging="245"/>
      </w:pPr>
      <w:rPr>
        <w:rFonts w:hint="default"/>
        <w:lang w:val="nl-NL" w:eastAsia="en-US" w:bidi="ar-SA"/>
      </w:rPr>
    </w:lvl>
    <w:lvl w:ilvl="8" w:tplc="891EEBCA">
      <w:numFmt w:val="bullet"/>
      <w:lvlText w:val="•"/>
      <w:lvlJc w:val="left"/>
      <w:pPr>
        <w:ind w:left="7452" w:hanging="245"/>
      </w:pPr>
      <w:rPr>
        <w:rFonts w:hint="default"/>
        <w:lang w:val="nl-NL" w:eastAsia="en-US" w:bidi="ar-SA"/>
      </w:rPr>
    </w:lvl>
  </w:abstractNum>
  <w:abstractNum w:abstractNumId="3" w15:restartNumberingAfterBreak="0">
    <w:nsid w:val="7050790B"/>
    <w:multiLevelType w:val="hybridMultilevel"/>
    <w:tmpl w:val="8884B59E"/>
    <w:lvl w:ilvl="0" w:tplc="CB5C0EDC">
      <w:start w:val="8"/>
      <w:numFmt w:val="decimal"/>
      <w:lvlText w:val="%1."/>
      <w:lvlJc w:val="left"/>
      <w:pPr>
        <w:ind w:left="115" w:hanging="360"/>
      </w:pPr>
      <w:rPr>
        <w:rFonts w:hint="default"/>
      </w:rPr>
    </w:lvl>
    <w:lvl w:ilvl="1" w:tplc="04130019">
      <w:start w:val="1"/>
      <w:numFmt w:val="lowerLetter"/>
      <w:lvlText w:val="%2."/>
      <w:lvlJc w:val="left"/>
      <w:pPr>
        <w:ind w:left="835" w:hanging="360"/>
      </w:pPr>
    </w:lvl>
    <w:lvl w:ilvl="2" w:tplc="0413001B" w:tentative="1">
      <w:start w:val="1"/>
      <w:numFmt w:val="lowerRoman"/>
      <w:lvlText w:val="%3."/>
      <w:lvlJc w:val="right"/>
      <w:pPr>
        <w:ind w:left="1555" w:hanging="180"/>
      </w:pPr>
    </w:lvl>
    <w:lvl w:ilvl="3" w:tplc="0413000F" w:tentative="1">
      <w:start w:val="1"/>
      <w:numFmt w:val="decimal"/>
      <w:lvlText w:val="%4."/>
      <w:lvlJc w:val="left"/>
      <w:pPr>
        <w:ind w:left="2275" w:hanging="360"/>
      </w:pPr>
    </w:lvl>
    <w:lvl w:ilvl="4" w:tplc="04130019" w:tentative="1">
      <w:start w:val="1"/>
      <w:numFmt w:val="lowerLetter"/>
      <w:lvlText w:val="%5."/>
      <w:lvlJc w:val="left"/>
      <w:pPr>
        <w:ind w:left="2995" w:hanging="360"/>
      </w:pPr>
    </w:lvl>
    <w:lvl w:ilvl="5" w:tplc="0413001B" w:tentative="1">
      <w:start w:val="1"/>
      <w:numFmt w:val="lowerRoman"/>
      <w:lvlText w:val="%6."/>
      <w:lvlJc w:val="right"/>
      <w:pPr>
        <w:ind w:left="3715" w:hanging="180"/>
      </w:pPr>
    </w:lvl>
    <w:lvl w:ilvl="6" w:tplc="0413000F" w:tentative="1">
      <w:start w:val="1"/>
      <w:numFmt w:val="decimal"/>
      <w:lvlText w:val="%7."/>
      <w:lvlJc w:val="left"/>
      <w:pPr>
        <w:ind w:left="4435" w:hanging="360"/>
      </w:pPr>
    </w:lvl>
    <w:lvl w:ilvl="7" w:tplc="04130019" w:tentative="1">
      <w:start w:val="1"/>
      <w:numFmt w:val="lowerLetter"/>
      <w:lvlText w:val="%8."/>
      <w:lvlJc w:val="left"/>
      <w:pPr>
        <w:ind w:left="5155" w:hanging="360"/>
      </w:pPr>
    </w:lvl>
    <w:lvl w:ilvl="8" w:tplc="0413001B" w:tentative="1">
      <w:start w:val="1"/>
      <w:numFmt w:val="lowerRoman"/>
      <w:lvlText w:val="%9."/>
      <w:lvlJc w:val="right"/>
      <w:pPr>
        <w:ind w:left="5875" w:hanging="180"/>
      </w:pPr>
    </w:lvl>
  </w:abstractNum>
  <w:num w:numId="1" w16cid:durableId="1996101908">
    <w:abstractNumId w:val="1"/>
  </w:num>
  <w:num w:numId="2" w16cid:durableId="2105179442">
    <w:abstractNumId w:val="2"/>
  </w:num>
  <w:num w:numId="3" w16cid:durableId="2044866802">
    <w:abstractNumId w:val="3"/>
  </w:num>
  <w:num w:numId="4" w16cid:durableId="263728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8D"/>
    <w:rsid w:val="000026D9"/>
    <w:rsid w:val="00030059"/>
    <w:rsid w:val="00037CDB"/>
    <w:rsid w:val="000936FE"/>
    <w:rsid w:val="000938BC"/>
    <w:rsid w:val="000C596F"/>
    <w:rsid w:val="000F2B66"/>
    <w:rsid w:val="000F4693"/>
    <w:rsid w:val="000F6F5E"/>
    <w:rsid w:val="00122ACF"/>
    <w:rsid w:val="00132734"/>
    <w:rsid w:val="001377E8"/>
    <w:rsid w:val="001740E2"/>
    <w:rsid w:val="00182901"/>
    <w:rsid w:val="00190AB8"/>
    <w:rsid w:val="001A4F0E"/>
    <w:rsid w:val="001C5AD9"/>
    <w:rsid w:val="001E2953"/>
    <w:rsid w:val="001E6B4A"/>
    <w:rsid w:val="001F48B7"/>
    <w:rsid w:val="002179B1"/>
    <w:rsid w:val="00217FEE"/>
    <w:rsid w:val="00221E7C"/>
    <w:rsid w:val="00226D08"/>
    <w:rsid w:val="00240A21"/>
    <w:rsid w:val="00251BA8"/>
    <w:rsid w:val="00260175"/>
    <w:rsid w:val="00260E0A"/>
    <w:rsid w:val="002B3933"/>
    <w:rsid w:val="002B43A9"/>
    <w:rsid w:val="002C3CA6"/>
    <w:rsid w:val="002D187D"/>
    <w:rsid w:val="002D3710"/>
    <w:rsid w:val="002E532F"/>
    <w:rsid w:val="002F0608"/>
    <w:rsid w:val="002F4014"/>
    <w:rsid w:val="002F71E8"/>
    <w:rsid w:val="00301EFF"/>
    <w:rsid w:val="00315735"/>
    <w:rsid w:val="00315BE7"/>
    <w:rsid w:val="00327E57"/>
    <w:rsid w:val="00335A89"/>
    <w:rsid w:val="0035396F"/>
    <w:rsid w:val="00365E2F"/>
    <w:rsid w:val="0036613A"/>
    <w:rsid w:val="0037198D"/>
    <w:rsid w:val="003C6FB9"/>
    <w:rsid w:val="003D49B1"/>
    <w:rsid w:val="003E189F"/>
    <w:rsid w:val="004040B6"/>
    <w:rsid w:val="0040751C"/>
    <w:rsid w:val="00412782"/>
    <w:rsid w:val="00416762"/>
    <w:rsid w:val="00416B4C"/>
    <w:rsid w:val="0045516C"/>
    <w:rsid w:val="00465111"/>
    <w:rsid w:val="00477AE5"/>
    <w:rsid w:val="00496DDA"/>
    <w:rsid w:val="004976A0"/>
    <w:rsid w:val="004B04A7"/>
    <w:rsid w:val="004B715F"/>
    <w:rsid w:val="00511FBC"/>
    <w:rsid w:val="00531006"/>
    <w:rsid w:val="0054304E"/>
    <w:rsid w:val="005465E3"/>
    <w:rsid w:val="0059743F"/>
    <w:rsid w:val="005C5D3E"/>
    <w:rsid w:val="00627974"/>
    <w:rsid w:val="00627FBE"/>
    <w:rsid w:val="00630862"/>
    <w:rsid w:val="006711C1"/>
    <w:rsid w:val="006803EB"/>
    <w:rsid w:val="006918BB"/>
    <w:rsid w:val="0069250C"/>
    <w:rsid w:val="006C11A9"/>
    <w:rsid w:val="006D36D4"/>
    <w:rsid w:val="006E39DE"/>
    <w:rsid w:val="006F26A8"/>
    <w:rsid w:val="00701594"/>
    <w:rsid w:val="00716F29"/>
    <w:rsid w:val="007239A3"/>
    <w:rsid w:val="0072665A"/>
    <w:rsid w:val="00726F2D"/>
    <w:rsid w:val="007427BA"/>
    <w:rsid w:val="00754677"/>
    <w:rsid w:val="00760CCF"/>
    <w:rsid w:val="00765884"/>
    <w:rsid w:val="00796CC6"/>
    <w:rsid w:val="007B0489"/>
    <w:rsid w:val="007C34C6"/>
    <w:rsid w:val="007D2596"/>
    <w:rsid w:val="007F031D"/>
    <w:rsid w:val="007F3DA3"/>
    <w:rsid w:val="00800125"/>
    <w:rsid w:val="008015F1"/>
    <w:rsid w:val="00802229"/>
    <w:rsid w:val="008203DC"/>
    <w:rsid w:val="00832903"/>
    <w:rsid w:val="008409E6"/>
    <w:rsid w:val="008433BC"/>
    <w:rsid w:val="00854A5E"/>
    <w:rsid w:val="008A6B54"/>
    <w:rsid w:val="008C0808"/>
    <w:rsid w:val="008C5230"/>
    <w:rsid w:val="008C65A3"/>
    <w:rsid w:val="0090213D"/>
    <w:rsid w:val="00905DFD"/>
    <w:rsid w:val="009076A5"/>
    <w:rsid w:val="00924CBF"/>
    <w:rsid w:val="009267D6"/>
    <w:rsid w:val="0093689F"/>
    <w:rsid w:val="00960AA1"/>
    <w:rsid w:val="0096676A"/>
    <w:rsid w:val="00977B23"/>
    <w:rsid w:val="00997FDC"/>
    <w:rsid w:val="009A121B"/>
    <w:rsid w:val="009B3D4A"/>
    <w:rsid w:val="009E2C09"/>
    <w:rsid w:val="009E306C"/>
    <w:rsid w:val="009F4965"/>
    <w:rsid w:val="009F4A28"/>
    <w:rsid w:val="00A12070"/>
    <w:rsid w:val="00A161B5"/>
    <w:rsid w:val="00A16E05"/>
    <w:rsid w:val="00A42796"/>
    <w:rsid w:val="00A4596E"/>
    <w:rsid w:val="00A6314A"/>
    <w:rsid w:val="00A9092C"/>
    <w:rsid w:val="00AC2770"/>
    <w:rsid w:val="00AC4D11"/>
    <w:rsid w:val="00AD77BB"/>
    <w:rsid w:val="00B17D41"/>
    <w:rsid w:val="00B22CCB"/>
    <w:rsid w:val="00B36F9E"/>
    <w:rsid w:val="00B4176F"/>
    <w:rsid w:val="00B5189D"/>
    <w:rsid w:val="00B848E7"/>
    <w:rsid w:val="00B84E72"/>
    <w:rsid w:val="00B9056A"/>
    <w:rsid w:val="00B923C3"/>
    <w:rsid w:val="00B97FDF"/>
    <w:rsid w:val="00BB26F6"/>
    <w:rsid w:val="00BB3A83"/>
    <w:rsid w:val="00BC092F"/>
    <w:rsid w:val="00BC750B"/>
    <w:rsid w:val="00BD3EE6"/>
    <w:rsid w:val="00BD42FB"/>
    <w:rsid w:val="00BE324D"/>
    <w:rsid w:val="00BE3EA9"/>
    <w:rsid w:val="00BF7321"/>
    <w:rsid w:val="00C27CC8"/>
    <w:rsid w:val="00C3149E"/>
    <w:rsid w:val="00C373D5"/>
    <w:rsid w:val="00C60759"/>
    <w:rsid w:val="00C74E47"/>
    <w:rsid w:val="00C76F39"/>
    <w:rsid w:val="00C87237"/>
    <w:rsid w:val="00C9464E"/>
    <w:rsid w:val="00CA1B81"/>
    <w:rsid w:val="00CB45F9"/>
    <w:rsid w:val="00CC6F8D"/>
    <w:rsid w:val="00CF0CD4"/>
    <w:rsid w:val="00D03CE6"/>
    <w:rsid w:val="00D20A0C"/>
    <w:rsid w:val="00D4456B"/>
    <w:rsid w:val="00D80B33"/>
    <w:rsid w:val="00D82380"/>
    <w:rsid w:val="00DA0A2A"/>
    <w:rsid w:val="00DE08A9"/>
    <w:rsid w:val="00DE7567"/>
    <w:rsid w:val="00DF79F9"/>
    <w:rsid w:val="00E02B6F"/>
    <w:rsid w:val="00E14BF3"/>
    <w:rsid w:val="00E25373"/>
    <w:rsid w:val="00E33CD3"/>
    <w:rsid w:val="00E354CB"/>
    <w:rsid w:val="00E40B70"/>
    <w:rsid w:val="00E52DF3"/>
    <w:rsid w:val="00E56898"/>
    <w:rsid w:val="00E91C2D"/>
    <w:rsid w:val="00EB77B5"/>
    <w:rsid w:val="00ED268D"/>
    <w:rsid w:val="00F12546"/>
    <w:rsid w:val="00F1328E"/>
    <w:rsid w:val="00F24B61"/>
    <w:rsid w:val="00F302E2"/>
    <w:rsid w:val="00F417DF"/>
    <w:rsid w:val="00F45DA9"/>
    <w:rsid w:val="00F559EC"/>
    <w:rsid w:val="00F72EC9"/>
    <w:rsid w:val="00F8145D"/>
    <w:rsid w:val="00F81EBC"/>
    <w:rsid w:val="00F840F4"/>
    <w:rsid w:val="00F864DB"/>
    <w:rsid w:val="00F87E79"/>
    <w:rsid w:val="00FA0D52"/>
    <w:rsid w:val="00FA5262"/>
    <w:rsid w:val="00FC4B98"/>
    <w:rsid w:val="00FD2445"/>
    <w:rsid w:val="00FD4E60"/>
    <w:rsid w:val="00FF5DAA"/>
    <w:rsid w:val="00FF71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7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15"/>
    </w:pPr>
    <w:rPr>
      <w:sz w:val="18"/>
      <w:szCs w:val="18"/>
    </w:rPr>
  </w:style>
  <w:style w:type="paragraph" w:styleId="Titel">
    <w:name w:val="Title"/>
    <w:basedOn w:val="Standaard"/>
    <w:uiPriority w:val="10"/>
    <w:qFormat/>
    <w:pPr>
      <w:spacing w:before="74"/>
      <w:ind w:left="115"/>
    </w:pPr>
    <w:rPr>
      <w:b/>
      <w:bCs/>
      <w:sz w:val="18"/>
      <w:szCs w:val="18"/>
    </w:rPr>
  </w:style>
  <w:style w:type="paragraph" w:styleId="Lijstalinea">
    <w:name w:val="List Paragraph"/>
    <w:basedOn w:val="Standaard"/>
    <w:uiPriority w:val="1"/>
    <w:qFormat/>
    <w:pPr>
      <w:ind w:left="115"/>
    </w:pPr>
  </w:style>
  <w:style w:type="paragraph" w:customStyle="1" w:styleId="TableParagraph">
    <w:name w:val="Table Paragraph"/>
    <w:basedOn w:val="Standaard"/>
    <w:uiPriority w:val="1"/>
    <w:qFormat/>
  </w:style>
  <w:style w:type="character" w:styleId="Hyperlink">
    <w:name w:val="Hyperlink"/>
    <w:basedOn w:val="Standaardalinea-lettertype"/>
    <w:uiPriority w:val="99"/>
    <w:unhideWhenUsed/>
    <w:rsid w:val="00190AB8"/>
    <w:rPr>
      <w:color w:val="0000FF" w:themeColor="hyperlink"/>
      <w:u w:val="single"/>
    </w:rPr>
  </w:style>
  <w:style w:type="character" w:styleId="Onopgelostemelding">
    <w:name w:val="Unresolved Mention"/>
    <w:basedOn w:val="Standaardalinea-lettertype"/>
    <w:uiPriority w:val="99"/>
    <w:semiHidden/>
    <w:unhideWhenUsed/>
    <w:rsid w:val="00190AB8"/>
    <w:rPr>
      <w:color w:val="605E5C"/>
      <w:shd w:val="clear" w:color="auto" w:fill="E1DFDD"/>
    </w:rPr>
  </w:style>
  <w:style w:type="character" w:styleId="Verwijzingopmerking">
    <w:name w:val="annotation reference"/>
    <w:basedOn w:val="Standaardalinea-lettertype"/>
    <w:uiPriority w:val="99"/>
    <w:semiHidden/>
    <w:unhideWhenUsed/>
    <w:rsid w:val="00BD42FB"/>
    <w:rPr>
      <w:sz w:val="16"/>
      <w:szCs w:val="16"/>
    </w:rPr>
  </w:style>
  <w:style w:type="paragraph" w:styleId="Tekstopmerking">
    <w:name w:val="annotation text"/>
    <w:basedOn w:val="Standaard"/>
    <w:link w:val="TekstopmerkingChar"/>
    <w:uiPriority w:val="99"/>
    <w:unhideWhenUsed/>
    <w:rsid w:val="00BD42FB"/>
    <w:rPr>
      <w:sz w:val="20"/>
      <w:szCs w:val="20"/>
    </w:rPr>
  </w:style>
  <w:style w:type="character" w:customStyle="1" w:styleId="TekstopmerkingChar">
    <w:name w:val="Tekst opmerking Char"/>
    <w:basedOn w:val="Standaardalinea-lettertype"/>
    <w:link w:val="Tekstopmerking"/>
    <w:uiPriority w:val="99"/>
    <w:rsid w:val="00BD42FB"/>
    <w:rPr>
      <w:rFonts w:ascii="Verdana" w:eastAsia="Verdana" w:hAnsi="Verdana" w:cs="Verdana"/>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BD42FB"/>
    <w:rPr>
      <w:b/>
      <w:bCs/>
    </w:rPr>
  </w:style>
  <w:style w:type="character" w:customStyle="1" w:styleId="OnderwerpvanopmerkingChar">
    <w:name w:val="Onderwerp van opmerking Char"/>
    <w:basedOn w:val="TekstopmerkingChar"/>
    <w:link w:val="Onderwerpvanopmerking"/>
    <w:uiPriority w:val="99"/>
    <w:semiHidden/>
    <w:rsid w:val="00BD42FB"/>
    <w:rPr>
      <w:rFonts w:ascii="Verdana" w:eastAsia="Verdana" w:hAnsi="Verdana" w:cs="Verdana"/>
      <w:b/>
      <w:bCs/>
      <w:sz w:val="20"/>
      <w:szCs w:val="20"/>
      <w:lang w:val="nl-NL"/>
    </w:rPr>
  </w:style>
  <w:style w:type="paragraph" w:styleId="Revisie">
    <w:name w:val="Revision"/>
    <w:hidden/>
    <w:uiPriority w:val="99"/>
    <w:semiHidden/>
    <w:rsid w:val="002D187D"/>
    <w:pPr>
      <w:widowControl/>
      <w:autoSpaceDE/>
      <w:autoSpaceDN/>
    </w:pPr>
    <w:rPr>
      <w:rFonts w:ascii="Verdana" w:eastAsia="Verdana" w:hAnsi="Verdana" w:cs="Verdana"/>
      <w:lang w:val="nl-NL"/>
    </w:rPr>
  </w:style>
  <w:style w:type="paragraph" w:styleId="Voetnoottekst">
    <w:name w:val="footnote text"/>
    <w:basedOn w:val="Standaard"/>
    <w:link w:val="VoetnoottekstChar"/>
    <w:uiPriority w:val="99"/>
    <w:semiHidden/>
    <w:unhideWhenUsed/>
    <w:rsid w:val="00465111"/>
    <w:rPr>
      <w:sz w:val="20"/>
      <w:szCs w:val="20"/>
    </w:rPr>
  </w:style>
  <w:style w:type="character" w:customStyle="1" w:styleId="VoetnoottekstChar">
    <w:name w:val="Voetnoottekst Char"/>
    <w:basedOn w:val="Standaardalinea-lettertype"/>
    <w:link w:val="Voetnoottekst"/>
    <w:uiPriority w:val="99"/>
    <w:semiHidden/>
    <w:rsid w:val="00465111"/>
    <w:rPr>
      <w:rFonts w:ascii="Verdana" w:eastAsia="Verdana" w:hAnsi="Verdana" w:cs="Verdana"/>
      <w:sz w:val="20"/>
      <w:szCs w:val="20"/>
      <w:lang w:val="nl-NL"/>
    </w:rPr>
  </w:style>
  <w:style w:type="character" w:styleId="Voetnootmarkering">
    <w:name w:val="footnote reference"/>
    <w:basedOn w:val="Standaardalinea-lettertype"/>
    <w:uiPriority w:val="99"/>
    <w:semiHidden/>
    <w:unhideWhenUsed/>
    <w:rsid w:val="00465111"/>
    <w:rPr>
      <w:vertAlign w:val="superscript"/>
    </w:rPr>
  </w:style>
  <w:style w:type="paragraph" w:styleId="Koptekst">
    <w:name w:val="header"/>
    <w:basedOn w:val="Standaard"/>
    <w:link w:val="KoptekstChar"/>
    <w:uiPriority w:val="99"/>
    <w:unhideWhenUsed/>
    <w:rsid w:val="00260E0A"/>
    <w:pPr>
      <w:tabs>
        <w:tab w:val="center" w:pos="4536"/>
        <w:tab w:val="right" w:pos="9072"/>
      </w:tabs>
    </w:pPr>
  </w:style>
  <w:style w:type="character" w:customStyle="1" w:styleId="KoptekstChar">
    <w:name w:val="Koptekst Char"/>
    <w:basedOn w:val="Standaardalinea-lettertype"/>
    <w:link w:val="Koptekst"/>
    <w:uiPriority w:val="99"/>
    <w:rsid w:val="00260E0A"/>
    <w:rPr>
      <w:rFonts w:ascii="Verdana" w:eastAsia="Verdana" w:hAnsi="Verdana" w:cs="Verdana"/>
      <w:lang w:val="nl-NL"/>
    </w:rPr>
  </w:style>
  <w:style w:type="paragraph" w:styleId="Voettekst">
    <w:name w:val="footer"/>
    <w:basedOn w:val="Standaard"/>
    <w:link w:val="VoettekstChar"/>
    <w:uiPriority w:val="99"/>
    <w:unhideWhenUsed/>
    <w:rsid w:val="00260E0A"/>
    <w:pPr>
      <w:tabs>
        <w:tab w:val="center" w:pos="4536"/>
        <w:tab w:val="right" w:pos="9072"/>
      </w:tabs>
    </w:pPr>
  </w:style>
  <w:style w:type="character" w:customStyle="1" w:styleId="VoettekstChar">
    <w:name w:val="Voettekst Char"/>
    <w:basedOn w:val="Standaardalinea-lettertype"/>
    <w:link w:val="Voettekst"/>
    <w:uiPriority w:val="99"/>
    <w:rsid w:val="00260E0A"/>
    <w:rPr>
      <w:rFonts w:ascii="Verdana" w:eastAsia="Verdana" w:hAnsi="Verdana" w:cs="Verdana"/>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029745">
      <w:bodyDiv w:val="1"/>
      <w:marLeft w:val="0"/>
      <w:marRight w:val="0"/>
      <w:marTop w:val="0"/>
      <w:marBottom w:val="0"/>
      <w:divBdr>
        <w:top w:val="none" w:sz="0" w:space="0" w:color="auto"/>
        <w:left w:val="none" w:sz="0" w:space="0" w:color="auto"/>
        <w:bottom w:val="none" w:sz="0" w:space="0" w:color="auto"/>
        <w:right w:val="none" w:sz="0" w:space="0" w:color="auto"/>
      </w:divBdr>
    </w:div>
    <w:div w:id="1393962650">
      <w:bodyDiv w:val="1"/>
      <w:marLeft w:val="0"/>
      <w:marRight w:val="0"/>
      <w:marTop w:val="0"/>
      <w:marBottom w:val="0"/>
      <w:divBdr>
        <w:top w:val="none" w:sz="0" w:space="0" w:color="auto"/>
        <w:left w:val="none" w:sz="0" w:space="0" w:color="auto"/>
        <w:bottom w:val="none" w:sz="0" w:space="0" w:color="auto"/>
        <w:right w:val="none" w:sz="0" w:space="0" w:color="auto"/>
      </w:divBdr>
    </w:div>
    <w:div w:id="2056081028">
      <w:bodyDiv w:val="1"/>
      <w:marLeft w:val="0"/>
      <w:marRight w:val="0"/>
      <w:marTop w:val="0"/>
      <w:marBottom w:val="0"/>
      <w:divBdr>
        <w:top w:val="none" w:sz="0" w:space="0" w:color="auto"/>
        <w:left w:val="none" w:sz="0" w:space="0" w:color="auto"/>
        <w:bottom w:val="none" w:sz="0" w:space="0" w:color="auto"/>
        <w:right w:val="none" w:sz="0" w:space="0" w:color="auto"/>
      </w:divBdr>
    </w:div>
    <w:div w:id="2059208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uitspraken.rechtspraak.nl/details?id=ECLI%3ANL%3ARBOBR%3A2025%3A2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2200</ap:Words>
  <ap:Characters>12104</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2025-06-23T10:39:00.0000000Z</dcterms:created>
  <dcterms:modified xsi:type="dcterms:W3CDTF">2025-07-01T09:46:00.0000000Z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vt:lpwstr>
  </property>
  <property fmtid="{D5CDD505-2E9C-101B-9397-08002B2CF9AE}" pid="4" name="LastSaved">
    <vt:filetime>2025-05-14T00:00:00Z</vt:filetime>
  </property>
</Properties>
</file>