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2917BF" w:rsidRDefault="007A7D9C" w14:paraId="01E5E226" w14:textId="045301BC">
      <w:pPr>
        <w:rPr>
          <w:szCs w:val="18"/>
        </w:rPr>
      </w:pPr>
      <w:r>
        <w:rPr>
          <w:szCs w:val="18"/>
        </w:rPr>
        <w:t xml:space="preserve">Geachte </w:t>
      </w:r>
      <w:r w:rsidR="002917BF">
        <w:rPr>
          <w:szCs w:val="18"/>
        </w:rPr>
        <w:t>V</w:t>
      </w:r>
      <w:r>
        <w:rPr>
          <w:szCs w:val="18"/>
        </w:rPr>
        <w:t xml:space="preserve">oorzitter, </w:t>
      </w:r>
    </w:p>
    <w:p w:rsidR="007A7D9C" w:rsidP="002917BF" w:rsidRDefault="007A7D9C" w14:paraId="7315D770" w14:textId="77777777"/>
    <w:p w:rsidR="00F90A14" w:rsidP="002917BF" w:rsidRDefault="007A7D9C" w14:paraId="6B217E4E" w14:textId="0D979BBD">
      <w:bookmarkStart w:name="_Hlk201669372" w:id="0"/>
      <w:r w:rsidRPr="007A7D9C">
        <w:t>Met deze brief bied ik uw Kamer het rapport</w:t>
      </w:r>
      <w:r w:rsidR="000C27E6">
        <w:t xml:space="preserve"> </w:t>
      </w:r>
      <w:r w:rsidRPr="007A7D9C">
        <w:t xml:space="preserve">aan </w:t>
      </w:r>
      <w:r w:rsidR="00FB12CC">
        <w:t xml:space="preserve">over de evaluatie </w:t>
      </w:r>
      <w:r w:rsidRPr="007A7D9C">
        <w:t xml:space="preserve">van de </w:t>
      </w:r>
      <w:r w:rsidR="006659E9">
        <w:t>W</w:t>
      </w:r>
      <w:r>
        <w:t xml:space="preserve">et </w:t>
      </w:r>
      <w:r w:rsidR="00FB12CC">
        <w:t>o</w:t>
      </w:r>
      <w:r>
        <w:t xml:space="preserve">neerlijke </w:t>
      </w:r>
      <w:r w:rsidR="00FB12CC">
        <w:t>h</w:t>
      </w:r>
      <w:r>
        <w:t xml:space="preserve">andelspraktijken </w:t>
      </w:r>
      <w:r w:rsidR="00FB12CC">
        <w:t xml:space="preserve">landbouw- en voedselvoorzieningsketen </w:t>
      </w:r>
      <w:r w:rsidRPr="007A7D9C">
        <w:t xml:space="preserve">(hierna: </w:t>
      </w:r>
      <w:r w:rsidR="006659E9">
        <w:t>W</w:t>
      </w:r>
      <w:r>
        <w:t>et OHP</w:t>
      </w:r>
      <w:r w:rsidRPr="007A7D9C">
        <w:t xml:space="preserve">). </w:t>
      </w:r>
      <w:r w:rsidR="00FB12CC">
        <w:t xml:space="preserve">Deze evaluatie heeft plaatsgevonden in het kader van </w:t>
      </w:r>
      <w:r w:rsidRPr="00F7410E" w:rsidR="00F7410E">
        <w:t xml:space="preserve">de Strategische Evaluatieagenda </w:t>
      </w:r>
      <w:r w:rsidR="00FB12CC">
        <w:t xml:space="preserve">en is uitgevoerd door </w:t>
      </w:r>
      <w:r w:rsidRPr="00F7410E" w:rsidR="00F7410E">
        <w:t xml:space="preserve">het adviesbureau </w:t>
      </w:r>
      <w:proofErr w:type="spellStart"/>
      <w:r w:rsidRPr="00F7410E" w:rsidR="00F7410E">
        <w:t>Ecorys</w:t>
      </w:r>
      <w:proofErr w:type="spellEnd"/>
      <w:r w:rsidR="00FB12CC">
        <w:t>.</w:t>
      </w:r>
      <w:r w:rsidRPr="00F7410E" w:rsidR="00F7410E">
        <w:t xml:space="preserve"> De evaluatie </w:t>
      </w:r>
      <w:r w:rsidRPr="00F7410E" w:rsidR="00FB12CC">
        <w:t>h</w:t>
      </w:r>
      <w:r w:rsidR="00FB12CC">
        <w:t>ad</w:t>
      </w:r>
      <w:r w:rsidRPr="00F7410E" w:rsidR="00FB12CC">
        <w:t xml:space="preserve"> </w:t>
      </w:r>
      <w:r w:rsidRPr="00F7410E" w:rsidR="00F7410E">
        <w:t xml:space="preserve">als doel inzicht te geven in de doeltreffendheid en doelmatigheid van de </w:t>
      </w:r>
      <w:r w:rsidR="00FB12CC">
        <w:t>W</w:t>
      </w:r>
      <w:r w:rsidRPr="00F7410E" w:rsidR="00F7410E">
        <w:t xml:space="preserve">et </w:t>
      </w:r>
      <w:r w:rsidR="00FB12CC">
        <w:t xml:space="preserve">OHP </w:t>
      </w:r>
      <w:r w:rsidRPr="00F7410E" w:rsidR="00F7410E">
        <w:t>sinds de inwerkingtreding</w:t>
      </w:r>
      <w:r w:rsidR="00FB12CC">
        <w:t xml:space="preserve"> daarvan</w:t>
      </w:r>
      <w:r w:rsidR="00F7410E">
        <w:t xml:space="preserve">. </w:t>
      </w:r>
      <w:r w:rsidRPr="007A7D9C">
        <w:t xml:space="preserve">In deze brief ga ik </w:t>
      </w:r>
      <w:r w:rsidR="00094DE7">
        <w:t xml:space="preserve">in </w:t>
      </w:r>
      <w:r w:rsidRPr="007A7D9C">
        <w:t xml:space="preserve">op de belangrijkste conclusies en aandachtspunten voor </w:t>
      </w:r>
      <w:r>
        <w:t xml:space="preserve">de </w:t>
      </w:r>
      <w:r w:rsidR="006659E9">
        <w:t>W</w:t>
      </w:r>
      <w:r>
        <w:t>et OHP</w:t>
      </w:r>
      <w:r w:rsidRPr="007A7D9C">
        <w:t xml:space="preserve">. </w:t>
      </w:r>
    </w:p>
    <w:bookmarkEnd w:id="0"/>
    <w:p w:rsidR="003C4A48" w:rsidP="002917BF" w:rsidRDefault="003C4A48" w14:paraId="1E402B23" w14:textId="77777777"/>
    <w:p w:rsidRPr="006659E9" w:rsidR="00584BAC" w:rsidP="002917BF" w:rsidRDefault="006659E9" w14:paraId="733E5AD4" w14:textId="1F90CE0E">
      <w:pPr>
        <w:rPr>
          <w:b/>
          <w:bCs/>
        </w:rPr>
      </w:pPr>
      <w:r w:rsidRPr="006659E9">
        <w:rPr>
          <w:b/>
          <w:bCs/>
        </w:rPr>
        <w:t xml:space="preserve">Wet </w:t>
      </w:r>
      <w:r w:rsidR="00FB12CC">
        <w:rPr>
          <w:b/>
          <w:bCs/>
        </w:rPr>
        <w:t xml:space="preserve">OHP </w:t>
      </w:r>
    </w:p>
    <w:p w:rsidR="001536B3" w:rsidP="002917BF" w:rsidRDefault="00827562" w14:paraId="3A2F5DBE" w14:textId="5CC7C27D">
      <w:r>
        <w:t>Op</w:t>
      </w:r>
      <w:r w:rsidRPr="006659E9" w:rsidR="006659E9">
        <w:t xml:space="preserve"> 1 november 2021 </w:t>
      </w:r>
      <w:r>
        <w:t>is de</w:t>
      </w:r>
      <w:r w:rsidRPr="006659E9" w:rsidR="006659E9">
        <w:t xml:space="preserve"> Wet </w:t>
      </w:r>
      <w:r w:rsidR="006659E9">
        <w:t>OHP</w:t>
      </w:r>
      <w:r w:rsidRPr="006659E9" w:rsidR="006659E9">
        <w:t xml:space="preserve"> </w:t>
      </w:r>
      <w:r w:rsidR="00FB12CC">
        <w:t>in werking getreden</w:t>
      </w:r>
      <w:r>
        <w:rPr>
          <w:rStyle w:val="Voetnootmarkering"/>
        </w:rPr>
        <w:footnoteReference w:id="1"/>
      </w:r>
      <w:r>
        <w:t xml:space="preserve">. </w:t>
      </w:r>
      <w:r w:rsidR="00FB12CC">
        <w:t xml:space="preserve">Met deze wet is de Europese richtlijn inzake oneerlijke handelspraktijken in de relaties tussen ondernemingen in de voedselvoorzieningsketen (Richtlijn (EU) 2019/633) geïmplementeerd. </w:t>
      </w:r>
      <w:r>
        <w:t>De</w:t>
      </w:r>
      <w:r w:rsidR="00FB12CC">
        <w:t xml:space="preserve"> </w:t>
      </w:r>
      <w:r w:rsidR="00131380">
        <w:t>We</w:t>
      </w:r>
      <w:r>
        <w:t xml:space="preserve">t </w:t>
      </w:r>
      <w:r w:rsidR="00FB12CC">
        <w:t xml:space="preserve">OHP </w:t>
      </w:r>
      <w:r w:rsidR="00ED0906">
        <w:t xml:space="preserve">heeft als doel de </w:t>
      </w:r>
      <w:r w:rsidRPr="006659E9" w:rsidR="006659E9">
        <w:t xml:space="preserve">onderhandelingspositie van boeren, tuinders en vissers tegenover grotere en geconcentreerde marktpartijen </w:t>
      </w:r>
      <w:r w:rsidR="00ED0906">
        <w:t xml:space="preserve">te </w:t>
      </w:r>
      <w:r w:rsidRPr="006659E9" w:rsidR="006659E9">
        <w:t>versterken.</w:t>
      </w:r>
      <w:r>
        <w:t xml:space="preserve"> </w:t>
      </w:r>
      <w:r w:rsidR="00094DE7">
        <w:t>Bepaalde</w:t>
      </w:r>
      <w:r w:rsidR="00FB12CC">
        <w:t xml:space="preserve"> handelspraktijken </w:t>
      </w:r>
      <w:r w:rsidR="00094DE7">
        <w:t xml:space="preserve">zijn </w:t>
      </w:r>
      <w:r w:rsidR="00FB12CC">
        <w:t xml:space="preserve">als </w:t>
      </w:r>
      <w:r w:rsidR="00BD5549">
        <w:t>onrechtmatig aangeduid, waarbij onderscheid</w:t>
      </w:r>
      <w:r w:rsidR="002C46DC">
        <w:t>t wordt gemaakt tussen</w:t>
      </w:r>
      <w:r w:rsidR="00BD5549">
        <w:t xml:space="preserve"> twee </w:t>
      </w:r>
      <w:r w:rsidR="002C46DC">
        <w:t xml:space="preserve">type </w:t>
      </w:r>
      <w:r w:rsidR="001E141A">
        <w:t>praktijken</w:t>
      </w:r>
      <w:r w:rsidR="00BD5549">
        <w:t>.</w:t>
      </w:r>
      <w:r w:rsidR="00912E56">
        <w:t xml:space="preserve"> </w:t>
      </w:r>
      <w:r w:rsidR="00BD5549">
        <w:t>Handelsp</w:t>
      </w:r>
      <w:r w:rsidRPr="00131380" w:rsidR="00131380">
        <w:t xml:space="preserve">raktijken die op de </w:t>
      </w:r>
      <w:r w:rsidR="00BD5549">
        <w:t xml:space="preserve">zogenoemde </w:t>
      </w:r>
      <w:r w:rsidRPr="00131380" w:rsidR="00131380">
        <w:t xml:space="preserve">zwarte lijst staan zijn </w:t>
      </w:r>
      <w:r w:rsidR="00BD5549">
        <w:t xml:space="preserve">altijd </w:t>
      </w:r>
      <w:r w:rsidRPr="00131380" w:rsidR="00131380">
        <w:t xml:space="preserve">onrechtmatig. </w:t>
      </w:r>
      <w:r w:rsidR="00BD5549">
        <w:t>Handelsp</w:t>
      </w:r>
      <w:r w:rsidRPr="00131380" w:rsidR="00131380">
        <w:t xml:space="preserve">raktijken die op de </w:t>
      </w:r>
      <w:r w:rsidR="00BD5549">
        <w:t xml:space="preserve">zogenoemde </w:t>
      </w:r>
      <w:r w:rsidRPr="00131380" w:rsidR="00131380">
        <w:t>grijze lijst staan zijn alleen onrechtmatig indien deze niet van tevoren op heldere en ondubbelzinnige wijze zijn overeengekomen.</w:t>
      </w:r>
      <w:r w:rsidR="00131380">
        <w:t xml:space="preserve"> Voorbeelden van </w:t>
      </w:r>
      <w:r w:rsidR="00BD5549">
        <w:t>handels</w:t>
      </w:r>
      <w:r w:rsidR="00131380">
        <w:t xml:space="preserve">praktijken op de zwarte lijst zijn </w:t>
      </w:r>
      <w:r w:rsidR="00BD5549">
        <w:t>te late betaling van</w:t>
      </w:r>
      <w:r w:rsidRPr="006659E9" w:rsidR="006659E9">
        <w:t xml:space="preserve"> boeren, tuinders en vissers door afnemers voor bederfelijke producten of </w:t>
      </w:r>
      <w:r w:rsidR="00BD5549">
        <w:t xml:space="preserve">het kort van tevoren annuleren van </w:t>
      </w:r>
      <w:r w:rsidRPr="006659E9" w:rsidR="006659E9">
        <w:t>bestellingen van deze producten.</w:t>
      </w:r>
      <w:r w:rsidR="0084052A">
        <w:t xml:space="preserve"> Een voorbeeld van de grijze lijst is als de afnemer </w:t>
      </w:r>
      <w:r w:rsidRPr="0084052A" w:rsidR="0084052A">
        <w:t>onverkochte landbouw- en voedingsproducten retourne</w:t>
      </w:r>
      <w:r w:rsidR="0084052A">
        <w:t>ert</w:t>
      </w:r>
      <w:r w:rsidRPr="0084052A" w:rsidR="0084052A">
        <w:t xml:space="preserve"> zonder betaling</w:t>
      </w:r>
      <w:r w:rsidR="0084052A">
        <w:t xml:space="preserve">. </w:t>
      </w:r>
      <w:bookmarkStart w:name="_Hlk201670456" w:id="1"/>
      <w:r w:rsidR="000D0D61">
        <w:t>De Wet OHP wordt gehandhaafd door de Autoriteit Consument en Markt (ACM). L</w:t>
      </w:r>
      <w:r w:rsidRPr="000D0D61" w:rsidR="000D0D61">
        <w:t xml:space="preserve">everanciers kunnen </w:t>
      </w:r>
      <w:r w:rsidR="000D0D61">
        <w:t>daarnaast ook</w:t>
      </w:r>
      <w:r w:rsidRPr="000D0D61" w:rsidR="000D0D61">
        <w:t xml:space="preserve"> g</w:t>
      </w:r>
      <w:r w:rsidR="000D0D61">
        <w:t>eschillen</w:t>
      </w:r>
      <w:r w:rsidRPr="000D0D61" w:rsidR="000D0D61">
        <w:t xml:space="preserve"> aan de Geschillencommissie</w:t>
      </w:r>
      <w:r w:rsidR="000D0D61">
        <w:t xml:space="preserve"> (GSC</w:t>
      </w:r>
      <w:bookmarkEnd w:id="1"/>
      <w:r w:rsidR="000D0D61">
        <w:t>)</w:t>
      </w:r>
      <w:r w:rsidRPr="000D0D61" w:rsidR="000D0D61">
        <w:t xml:space="preserve"> voorleggen, die dan een bindende uitspraak kan doen.</w:t>
      </w:r>
      <w:r w:rsidR="00127E30">
        <w:t xml:space="preserve"> Tot op heden </w:t>
      </w:r>
      <w:r w:rsidR="00094DE7">
        <w:t xml:space="preserve">heeft de </w:t>
      </w:r>
      <w:r w:rsidR="00BD5549">
        <w:t xml:space="preserve">ACM heeft in drie zaken een besluit genomen en de GSC heeft in een zaak uitspraak gedaan. </w:t>
      </w:r>
    </w:p>
    <w:p w:rsidR="001536B3" w:rsidP="002917BF" w:rsidRDefault="001536B3" w14:paraId="462C1D10" w14:textId="77777777"/>
    <w:p w:rsidR="002917BF" w:rsidP="002917BF" w:rsidRDefault="002917BF" w14:paraId="4507FBDB" w14:textId="77777777"/>
    <w:p w:rsidR="002917BF" w:rsidP="002917BF" w:rsidRDefault="002917BF" w14:paraId="09E3036E" w14:textId="77777777"/>
    <w:p w:rsidRPr="000D0D61" w:rsidR="001536B3" w:rsidP="002917BF" w:rsidRDefault="006659E9" w14:paraId="7E5234A4" w14:textId="79AC72BA">
      <w:pPr>
        <w:rPr>
          <w:u w:val="single"/>
        </w:rPr>
      </w:pPr>
      <w:r w:rsidRPr="000D0D61">
        <w:rPr>
          <w:u w:val="single"/>
        </w:rPr>
        <w:t xml:space="preserve">Evaluatieopzet: </w:t>
      </w:r>
    </w:p>
    <w:p w:rsidR="00F7410E" w:rsidP="002917BF" w:rsidRDefault="00E37A90" w14:paraId="07230320" w14:textId="44386287">
      <w:bookmarkStart w:name="_Hlk201670909" w:id="2"/>
      <w:r w:rsidRPr="00E37A90">
        <w:t xml:space="preserve">Hoofdvraag voor de evaluatie was </w:t>
      </w:r>
      <w:r w:rsidR="00F7410E">
        <w:t xml:space="preserve">in hoeverre </w:t>
      </w:r>
      <w:r w:rsidRPr="00F7410E" w:rsidR="00F7410E">
        <w:t xml:space="preserve">de </w:t>
      </w:r>
      <w:r w:rsidR="00BD5549">
        <w:t>W</w:t>
      </w:r>
      <w:r w:rsidRPr="00F7410E" w:rsidR="00F7410E">
        <w:t xml:space="preserve">et OHP in de periode van </w:t>
      </w:r>
      <w:r w:rsidRPr="00F7410E" w:rsidR="00BD5549">
        <w:t>202</w:t>
      </w:r>
      <w:r w:rsidR="00BD5549">
        <w:t>1</w:t>
      </w:r>
      <w:r w:rsidRPr="00F7410E" w:rsidR="00BD5549">
        <w:t xml:space="preserve"> </w:t>
      </w:r>
      <w:r w:rsidRPr="00F7410E" w:rsidR="00F7410E">
        <w:t xml:space="preserve">tot en met 2024 doeltreffend en doelmatig </w:t>
      </w:r>
      <w:r w:rsidR="00F7410E">
        <w:t xml:space="preserve">is </w:t>
      </w:r>
      <w:r w:rsidRPr="00F7410E" w:rsidR="00F7410E">
        <w:t>gebleken</w:t>
      </w:r>
      <w:r w:rsidR="00F7410E">
        <w:t xml:space="preserve">. </w:t>
      </w:r>
      <w:r w:rsidRPr="00F7410E" w:rsidR="00F7410E">
        <w:t>Het adviesbureau heeft een documentenstudie uitgevoerd gezamenlijk met semigestructureerde interviews met verschillende partijen waaronder de ACM</w:t>
      </w:r>
      <w:r w:rsidR="00F7410E">
        <w:t xml:space="preserve">, de GSC, het </w:t>
      </w:r>
      <w:r w:rsidRPr="00463D3C" w:rsidR="00F7410E">
        <w:t>Centraal Bureau Levensmiddelenhandel (CBL)</w:t>
      </w:r>
      <w:r w:rsidR="00F7410E">
        <w:t>, de f</w:t>
      </w:r>
      <w:r w:rsidRPr="00463D3C" w:rsidR="00F7410E">
        <w:t>ederatie Nederlandse Levensmiddelen Industrie (FNLI)</w:t>
      </w:r>
      <w:r w:rsidR="00F7410E">
        <w:t xml:space="preserve">, de </w:t>
      </w:r>
      <w:r w:rsidRPr="00463D3C" w:rsidR="00F7410E">
        <w:t>Land- en Tuinbouw Organisatie (LTO)</w:t>
      </w:r>
      <w:r w:rsidR="00F7410E">
        <w:t xml:space="preserve"> en </w:t>
      </w:r>
      <w:r w:rsidRPr="00463D3C" w:rsidR="00F7410E">
        <w:t>Producenten Organisatie Varkenshouderij</w:t>
      </w:r>
      <w:r w:rsidR="00F7410E">
        <w:t xml:space="preserve"> (POV). Een volledige lijst van partijen is te vinden in het rapport. </w:t>
      </w:r>
      <w:r w:rsidRPr="00F7410E" w:rsidR="00F7410E">
        <w:t xml:space="preserve">Daarnaast </w:t>
      </w:r>
      <w:r w:rsidR="00BD5549">
        <w:t>is</w:t>
      </w:r>
      <w:r w:rsidRPr="00F7410E" w:rsidR="00F7410E">
        <w:t xml:space="preserve"> vanuit </w:t>
      </w:r>
      <w:r w:rsidR="00BD5549">
        <w:t xml:space="preserve">mijn </w:t>
      </w:r>
      <w:r w:rsidRPr="00F7410E" w:rsidR="00F7410E">
        <w:t>ministerie een enquête uitgezet bij de LVVN-community, een besloten platform van 200 akkerbouwers</w:t>
      </w:r>
      <w:r w:rsidR="00094DE7">
        <w:t xml:space="preserve">, </w:t>
      </w:r>
      <w:r w:rsidRPr="00F7410E" w:rsidR="00F7410E">
        <w:t>tuinders en veehouders voor het versterken van de evaluatie met praktijkinzichten</w:t>
      </w:r>
    </w:p>
    <w:bookmarkEnd w:id="2"/>
    <w:p w:rsidR="00C94341" w:rsidP="002917BF" w:rsidRDefault="00C94341" w14:paraId="02AA5BD3" w14:textId="77777777">
      <w:pPr>
        <w:rPr>
          <w:u w:val="single"/>
        </w:rPr>
      </w:pPr>
    </w:p>
    <w:p w:rsidR="00094DE7" w:rsidP="002917BF" w:rsidRDefault="00127E30" w14:paraId="7AAEC936" w14:textId="77777777">
      <w:pPr>
        <w:rPr>
          <w:u w:val="single"/>
        </w:rPr>
      </w:pPr>
      <w:r>
        <w:rPr>
          <w:u w:val="single"/>
        </w:rPr>
        <w:t>D</w:t>
      </w:r>
      <w:r w:rsidRPr="00463D3C" w:rsidR="006659E9">
        <w:rPr>
          <w:u w:val="single"/>
        </w:rPr>
        <w:t>oeltreffendheid</w:t>
      </w:r>
      <w:r w:rsidR="00F33C58">
        <w:rPr>
          <w:u w:val="single"/>
        </w:rPr>
        <w:t>, d</w:t>
      </w:r>
      <w:r w:rsidRPr="00463D3C" w:rsidR="006659E9">
        <w:rPr>
          <w:u w:val="single"/>
        </w:rPr>
        <w:t xml:space="preserve">oelmatigheid </w:t>
      </w:r>
      <w:r w:rsidR="00F33C58">
        <w:rPr>
          <w:u w:val="single"/>
        </w:rPr>
        <w:t xml:space="preserve">en doelbereik </w:t>
      </w:r>
      <w:r w:rsidRPr="00463D3C" w:rsidR="006659E9">
        <w:rPr>
          <w:u w:val="single"/>
        </w:rPr>
        <w:t xml:space="preserve">van de </w:t>
      </w:r>
      <w:r>
        <w:rPr>
          <w:u w:val="single"/>
        </w:rPr>
        <w:t>Wet</w:t>
      </w:r>
      <w:r w:rsidR="004F2780">
        <w:rPr>
          <w:u w:val="single"/>
        </w:rPr>
        <w:t xml:space="preserve"> OHP</w:t>
      </w:r>
    </w:p>
    <w:p w:rsidRPr="00094DE7" w:rsidR="00463D3C" w:rsidP="002917BF" w:rsidRDefault="00012A0D" w14:paraId="4E8B75ED" w14:textId="22F98914">
      <w:pPr>
        <w:rPr>
          <w:u w:val="single"/>
        </w:rPr>
      </w:pPr>
      <w:r w:rsidRPr="00012A0D">
        <w:t xml:space="preserve">De evaluatie laat zien dat de </w:t>
      </w:r>
      <w:r w:rsidR="008C11BE">
        <w:t>W</w:t>
      </w:r>
      <w:r w:rsidRPr="00012A0D">
        <w:t>et positief scoort op doeltreffendheid</w:t>
      </w:r>
      <w:r w:rsidR="00390333">
        <w:t xml:space="preserve">. </w:t>
      </w:r>
      <w:r w:rsidR="00ED0906">
        <w:t xml:space="preserve">Tegelijkertijd wordt aangegeven </w:t>
      </w:r>
      <w:r w:rsidR="00321312">
        <w:t>dat agrarische ondernemers terughoudend zijn in het melden van oneerlijke handelspraktijken</w:t>
      </w:r>
      <w:r w:rsidR="00ED0906">
        <w:t>,</w:t>
      </w:r>
      <w:r w:rsidR="00321312">
        <w:t xml:space="preserve"> omdat ze verwachten dat het doen van een melding de relatie met een afnemer schaadt</w:t>
      </w:r>
      <w:r w:rsidR="00ED0906">
        <w:t xml:space="preserve"> en </w:t>
      </w:r>
      <w:r w:rsidR="00321312">
        <w:t xml:space="preserve">omzet kan kosten. Deze terughoudendheid in het melden, maakt dat de </w:t>
      </w:r>
      <w:r w:rsidR="00BD5549">
        <w:t xml:space="preserve">Wet OHP </w:t>
      </w:r>
      <w:r w:rsidR="00321312">
        <w:t xml:space="preserve">vooralsnog minder doeltreffend is dan mogelijk zou zijn. </w:t>
      </w:r>
      <w:bookmarkStart w:name="_Hlk201671047" w:id="3"/>
      <w:r w:rsidR="00321312">
        <w:t xml:space="preserve">Positief is dat er </w:t>
      </w:r>
      <w:r w:rsidR="00414E48">
        <w:t xml:space="preserve">een </w:t>
      </w:r>
      <w:r w:rsidR="004F2780">
        <w:t xml:space="preserve">normerende en preventieve werking van de </w:t>
      </w:r>
      <w:r w:rsidR="00BD5549">
        <w:t>W</w:t>
      </w:r>
      <w:r w:rsidR="004F2780">
        <w:t xml:space="preserve">et </w:t>
      </w:r>
      <w:r w:rsidR="00ED0906">
        <w:t xml:space="preserve">OHP </w:t>
      </w:r>
      <w:r w:rsidR="00414E48">
        <w:t>uitgaat</w:t>
      </w:r>
      <w:r w:rsidR="00ED0906">
        <w:t>. H</w:t>
      </w:r>
      <w:r w:rsidR="004F2780">
        <w:t xml:space="preserve">et is voor </w:t>
      </w:r>
      <w:r w:rsidR="001E00E9">
        <w:t>leveranciers</w:t>
      </w:r>
      <w:r w:rsidR="004F2780">
        <w:t xml:space="preserve"> en afnemers in de keten duidelijker dan voorheen wat wel </w:t>
      </w:r>
      <w:r w:rsidR="00BD5549">
        <w:t xml:space="preserve">en wat </w:t>
      </w:r>
      <w:r w:rsidR="004F2780">
        <w:t>niet</w:t>
      </w:r>
      <w:r w:rsidR="00ED0906">
        <w:t xml:space="preserve"> is</w:t>
      </w:r>
      <w:r w:rsidR="004F2780">
        <w:t xml:space="preserve"> toegestaan.</w:t>
      </w:r>
      <w:r w:rsidRPr="00B3000B" w:rsidR="00B3000B">
        <w:rPr>
          <w:rFonts w:ascii="Segoe UI" w:hAnsi="Segoe UI" w:cs="Segoe UI"/>
          <w:szCs w:val="18"/>
        </w:rPr>
        <w:t xml:space="preserve"> </w:t>
      </w:r>
      <w:bookmarkEnd w:id="3"/>
      <w:r w:rsidRPr="00B3000B" w:rsidR="00B3000B">
        <w:t xml:space="preserve">Dit wordt bevestigd door </w:t>
      </w:r>
      <w:r w:rsidR="00ED0906">
        <w:t xml:space="preserve">de </w:t>
      </w:r>
      <w:r w:rsidRPr="00B3000B" w:rsidR="00B3000B">
        <w:t xml:space="preserve">contractwijzigingen die na invoering van de </w:t>
      </w:r>
      <w:r w:rsidR="00821765">
        <w:t>W</w:t>
      </w:r>
      <w:r w:rsidRPr="00B3000B" w:rsidR="00B3000B">
        <w:t xml:space="preserve">et </w:t>
      </w:r>
      <w:r w:rsidR="00821765">
        <w:t xml:space="preserve">OHP </w:t>
      </w:r>
      <w:r w:rsidRPr="00B3000B" w:rsidR="00B3000B">
        <w:t>zijn waargenomen</w:t>
      </w:r>
      <w:r w:rsidR="00821765">
        <w:t>.</w:t>
      </w:r>
      <w:r w:rsidR="004F2780">
        <w:t xml:space="preserve"> </w:t>
      </w:r>
      <w:r w:rsidRPr="00127E30" w:rsidR="00127E30">
        <w:t xml:space="preserve">Het probleem van oneerlijke handelspraktijken is vertaald in een wettelijke aanpak en heeft daarmee status verworven. Verwacht wordt dat er </w:t>
      </w:r>
      <w:r w:rsidR="00ED0906">
        <w:t xml:space="preserve">door een grotere bekendheid van de </w:t>
      </w:r>
      <w:r w:rsidR="00821765">
        <w:t>W</w:t>
      </w:r>
      <w:r w:rsidR="00ED0906">
        <w:t>et</w:t>
      </w:r>
      <w:r w:rsidR="00821765">
        <w:t xml:space="preserve"> OHP</w:t>
      </w:r>
      <w:r w:rsidR="00ED0906">
        <w:t xml:space="preserve"> </w:t>
      </w:r>
      <w:r w:rsidRPr="00127E30" w:rsidR="00127E30">
        <w:t>meer klachten worden ingediend</w:t>
      </w:r>
      <w:r w:rsidR="00ED0906">
        <w:t xml:space="preserve">, en </w:t>
      </w:r>
      <w:r w:rsidR="00821765">
        <w:t xml:space="preserve">dat </w:t>
      </w:r>
      <w:r w:rsidR="00ED0906">
        <w:t xml:space="preserve">de wet bijdraagt aan meer evenwicht in de </w:t>
      </w:r>
      <w:r w:rsidRPr="00127E30" w:rsidR="00127E30">
        <w:t>machtsverhoudingen</w:t>
      </w:r>
      <w:r w:rsidR="00ED0906">
        <w:t xml:space="preserve"> in de keten. </w:t>
      </w:r>
    </w:p>
    <w:p w:rsidR="00127E30" w:rsidP="002917BF" w:rsidRDefault="00127E30" w14:paraId="5D477C0A" w14:textId="77777777">
      <w:pPr>
        <w:rPr>
          <w:u w:val="single"/>
        </w:rPr>
      </w:pPr>
    </w:p>
    <w:p w:rsidR="00127E30" w:rsidP="002917BF" w:rsidRDefault="00321312" w14:paraId="7AE4A1DB" w14:textId="126436E1">
      <w:bookmarkStart w:name="_Hlk201671170" w:id="4"/>
      <w:r>
        <w:t>De doelmatigheid van</w:t>
      </w:r>
      <w:r w:rsidRPr="004F2780" w:rsidR="004F2780">
        <w:t xml:space="preserve"> de</w:t>
      </w:r>
      <w:r>
        <w:t xml:space="preserve"> Wet </w:t>
      </w:r>
      <w:r w:rsidR="00821765">
        <w:t xml:space="preserve">OHP </w:t>
      </w:r>
      <w:r>
        <w:t xml:space="preserve">is </w:t>
      </w:r>
      <w:r w:rsidR="00ED0906">
        <w:t>nog</w:t>
      </w:r>
      <w:r w:rsidRPr="004F2780" w:rsidR="00ED0906">
        <w:t xml:space="preserve"> moeilijk te beoordelen</w:t>
      </w:r>
      <w:r w:rsidR="00ED0906">
        <w:t xml:space="preserve"> </w:t>
      </w:r>
      <w:r w:rsidR="00414E48">
        <w:t>doordat er nog weinig uitspraken zijn geweest</w:t>
      </w:r>
      <w:r w:rsidR="00ED0906">
        <w:t xml:space="preserve">. Toch </w:t>
      </w:r>
      <w:r w:rsidR="00414E48">
        <w:t>wordt</w:t>
      </w:r>
      <w:r w:rsidR="00ED0906">
        <w:t xml:space="preserve"> ook de doelmatigheid </w:t>
      </w:r>
      <w:r w:rsidR="00414E48">
        <w:t>vooralsnog als</w:t>
      </w:r>
      <w:r w:rsidRPr="004F2780" w:rsidR="004F2780">
        <w:t xml:space="preserve"> goed</w:t>
      </w:r>
      <w:r w:rsidR="00414E48">
        <w:t xml:space="preserve"> beoordeeld</w:t>
      </w:r>
      <w:r w:rsidRPr="004F2780" w:rsidR="004F2780">
        <w:t xml:space="preserve">. Er zijn vaste kosten om de capaciteit en beschikbaarheid </w:t>
      </w:r>
      <w:r w:rsidRPr="004F2780" w:rsidR="00ED0906">
        <w:t xml:space="preserve">te garanderen </w:t>
      </w:r>
      <w:r w:rsidRPr="004F2780" w:rsidR="004F2780">
        <w:t xml:space="preserve">van </w:t>
      </w:r>
      <w:r w:rsidR="00ED0906">
        <w:t xml:space="preserve">de </w:t>
      </w:r>
      <w:r w:rsidRPr="004F2780" w:rsidR="004F2780">
        <w:t>organisatie</w:t>
      </w:r>
      <w:r w:rsidR="00ED0906">
        <w:t xml:space="preserve">s </w:t>
      </w:r>
      <w:r w:rsidRPr="004F2780" w:rsidR="004F2780">
        <w:t>waar leveranciers naartoe kunnen met hun klacht. Op de langere termijn kan scherper naar doelmatigheid worden gekeken</w:t>
      </w:r>
      <w:r w:rsidR="00ED0906">
        <w:t xml:space="preserve">, </w:t>
      </w:r>
      <w:r w:rsidR="00954ED4">
        <w:t xml:space="preserve">om tot </w:t>
      </w:r>
      <w:r w:rsidR="00ED0906">
        <w:t xml:space="preserve">een goede </w:t>
      </w:r>
      <w:r w:rsidRPr="004F2780" w:rsidR="004F2780">
        <w:t>balans</w:t>
      </w:r>
      <w:r w:rsidR="00954ED4">
        <w:t xml:space="preserve"> te komen</w:t>
      </w:r>
      <w:r w:rsidRPr="004F2780" w:rsidR="004F2780">
        <w:t xml:space="preserve"> tussen de vaste kosten voor de capaciteit en variabele kosten per afhandeling van een case.</w:t>
      </w:r>
      <w:r w:rsidR="00954ED4">
        <w:t xml:space="preserve"> </w:t>
      </w:r>
    </w:p>
    <w:bookmarkEnd w:id="4"/>
    <w:p w:rsidR="00321312" w:rsidP="002917BF" w:rsidRDefault="00321312" w14:paraId="46F041D4" w14:textId="77777777"/>
    <w:p w:rsidRPr="004F2780" w:rsidR="00321312" w:rsidP="002917BF" w:rsidRDefault="00321312" w14:paraId="0E66625F" w14:textId="5E2C27C9">
      <w:r>
        <w:t xml:space="preserve">De verschillende partijen zijn ook gevraagd of het doelbereik van de wet verhoogd zou worden door </w:t>
      </w:r>
      <w:r w:rsidR="00821765">
        <w:t>handels</w:t>
      </w:r>
      <w:r>
        <w:t>praktijk</w:t>
      </w:r>
      <w:r w:rsidR="00821765">
        <w:t>en</w:t>
      </w:r>
      <w:r>
        <w:t xml:space="preserve"> aan de grijze of zwarte lijst toe te voegen. </w:t>
      </w:r>
      <w:r w:rsidRPr="00321312">
        <w:t xml:space="preserve">De geïnterviewden kwamen niet met tekortkomingen of suggesties om </w:t>
      </w:r>
      <w:r w:rsidR="00F33C58">
        <w:t xml:space="preserve">de lijsten aan te passen.  </w:t>
      </w:r>
    </w:p>
    <w:p w:rsidR="00127E30" w:rsidP="002917BF" w:rsidRDefault="00127E30" w14:paraId="0138F8EA" w14:textId="77777777">
      <w:pPr>
        <w:rPr>
          <w:u w:val="single"/>
        </w:rPr>
      </w:pPr>
    </w:p>
    <w:p w:rsidR="006659E9" w:rsidP="002917BF" w:rsidRDefault="006659E9" w14:paraId="68324B0C" w14:textId="38F3C8C1">
      <w:pPr>
        <w:rPr>
          <w:u w:val="single"/>
        </w:rPr>
      </w:pPr>
      <w:r w:rsidRPr="00463D3C">
        <w:rPr>
          <w:u w:val="single"/>
        </w:rPr>
        <w:t>Aanbevelingen</w:t>
      </w:r>
    </w:p>
    <w:p w:rsidRPr="00B96597" w:rsidR="00B96597" w:rsidP="002917BF" w:rsidRDefault="00B96597" w14:paraId="095C35FE" w14:textId="77777777">
      <w:r w:rsidRPr="00B96597">
        <w:t xml:space="preserve">Naast de bovengenoemde aspecten schetst de evaluator een aantal </w:t>
      </w:r>
    </w:p>
    <w:p w:rsidR="006527F8" w:rsidP="002917BF" w:rsidRDefault="00821765" w14:paraId="31540A5B" w14:textId="1AF7EBA6">
      <w:r>
        <w:t>a</w:t>
      </w:r>
      <w:r w:rsidRPr="00B96597" w:rsidR="00B96597">
        <w:t>andachtspunten</w:t>
      </w:r>
      <w:r w:rsidR="00B96597">
        <w:t>.</w:t>
      </w:r>
    </w:p>
    <w:p w:rsidR="006527F8" w:rsidP="002917BF" w:rsidRDefault="00B96597" w14:paraId="67111250" w14:textId="2187D4F7">
      <w:pPr>
        <w:pStyle w:val="Lijstalinea"/>
        <w:numPr>
          <w:ilvl w:val="0"/>
          <w:numId w:val="15"/>
        </w:numPr>
      </w:pPr>
      <w:r>
        <w:t xml:space="preserve">De evaluator geeft aan dat de </w:t>
      </w:r>
      <w:r w:rsidRPr="00FF4A69" w:rsidR="00FF4A69">
        <w:t xml:space="preserve">uitvoeringsstructuur met de ACM en de </w:t>
      </w:r>
      <w:r w:rsidRPr="00FF4A69" w:rsidR="00821765">
        <w:t>G</w:t>
      </w:r>
      <w:r w:rsidR="00821765">
        <w:t>SC</w:t>
      </w:r>
      <w:r w:rsidRPr="00FF4A69" w:rsidR="00821765">
        <w:t xml:space="preserve"> </w:t>
      </w:r>
      <w:r w:rsidRPr="00FF4A69" w:rsidR="00FF4A69">
        <w:t>in stand</w:t>
      </w:r>
      <w:r>
        <w:t xml:space="preserve"> moet worden gehouden</w:t>
      </w:r>
      <w:r w:rsidRPr="00FF4A69" w:rsidR="00FF4A69">
        <w:t>. Het geeft de klagers twee verschillende mogelijkheden om een klacht in te dienen</w:t>
      </w:r>
      <w:r w:rsidR="00954ED4">
        <w:t>, waarmee zowel handhavende als meer bemiddelende oplossingen kunnen worden bereikt</w:t>
      </w:r>
      <w:r w:rsidRPr="00FF4A69" w:rsidR="00FF4A69">
        <w:t>. Ook wordt de jurisprudentie rijker als twee instanties naar al dan niet soortgelijke cases kijken.</w:t>
      </w:r>
      <w:r w:rsidR="006527F8">
        <w:t xml:space="preserve"> </w:t>
      </w:r>
    </w:p>
    <w:p w:rsidR="006527F8" w:rsidP="002917BF" w:rsidRDefault="00B96597" w14:paraId="322866E8" w14:textId="3D8C6F4E">
      <w:pPr>
        <w:pStyle w:val="Lijstalinea"/>
        <w:numPr>
          <w:ilvl w:val="0"/>
          <w:numId w:val="15"/>
        </w:numPr>
      </w:pPr>
      <w:r>
        <w:t xml:space="preserve">De evaluator geeft ook het advies om </w:t>
      </w:r>
      <w:r w:rsidRPr="00FF4A69" w:rsidR="00FF4A69">
        <w:t xml:space="preserve">oneerlijke handelspraktijken die nu op de zwarte en grijze lijst uit de </w:t>
      </w:r>
      <w:r w:rsidR="00821765">
        <w:t>W</w:t>
      </w:r>
      <w:r w:rsidRPr="00FF4A69" w:rsidR="00FF4A69">
        <w:t xml:space="preserve">et OHP staan </w:t>
      </w:r>
      <w:r>
        <w:t>v</w:t>
      </w:r>
      <w:r w:rsidRPr="00FF4A69" w:rsidR="00FF4A69">
        <w:t>ooralsnog niet aa</w:t>
      </w:r>
      <w:r>
        <w:t>n te passen. Ze geven wel aan dat er uitgezocht kan worden</w:t>
      </w:r>
      <w:r w:rsidRPr="00FF4A69" w:rsidR="00FF4A69">
        <w:t xml:space="preserve"> of </w:t>
      </w:r>
      <w:r w:rsidR="00275339">
        <w:t xml:space="preserve">een verplichting mogelijk is dat </w:t>
      </w:r>
      <w:r w:rsidRPr="00FF4A69" w:rsidR="00FF4A69">
        <w:t xml:space="preserve">voor extra (duurzaamheid)eisen een meerprijs moet worden betaald </w:t>
      </w:r>
      <w:r w:rsidR="00275339">
        <w:t>die</w:t>
      </w:r>
      <w:r w:rsidRPr="00FF4A69" w:rsidR="00FF4A69">
        <w:t xml:space="preserve"> contractueel</w:t>
      </w:r>
      <w:r w:rsidR="00275339">
        <w:t xml:space="preserve"> moet worden vastgelegd.</w:t>
      </w:r>
      <w:r w:rsidR="00736987">
        <w:t xml:space="preserve"> Op deze suggestie zal ik terugkomen in het najaar in de door mij toegezegde Kamerbrief over de bijdrage van ketenpartijen.  </w:t>
      </w:r>
    </w:p>
    <w:p w:rsidR="006527F8" w:rsidP="002917BF" w:rsidRDefault="006527F8" w14:paraId="43DE1148" w14:textId="323FE2C5">
      <w:pPr>
        <w:pStyle w:val="Lijstalinea"/>
        <w:numPr>
          <w:ilvl w:val="0"/>
          <w:numId w:val="15"/>
        </w:numPr>
      </w:pPr>
      <w:bookmarkStart w:name="_Hlk201671429" w:id="5"/>
      <w:r>
        <w:t>Er</w:t>
      </w:r>
      <w:r w:rsidR="00B96597">
        <w:t xml:space="preserve"> wordt aanbevolen dat er </w:t>
      </w:r>
      <w:r w:rsidRPr="00FF4A69" w:rsidR="00FF4A69">
        <w:t>e</w:t>
      </w:r>
      <w:r w:rsidR="00B96597">
        <w:t>e</w:t>
      </w:r>
      <w:r w:rsidRPr="00FF4A69" w:rsidR="00FF4A69">
        <w:t xml:space="preserve">n soort voorwas mogelijk </w:t>
      </w:r>
      <w:r w:rsidR="00954ED4">
        <w:t xml:space="preserve">zou </w:t>
      </w:r>
      <w:r w:rsidRPr="00FF4A69" w:rsidR="00FF4A69">
        <w:t>moet</w:t>
      </w:r>
      <w:r w:rsidR="00954ED4">
        <w:t>e</w:t>
      </w:r>
      <w:r w:rsidRPr="00FF4A69" w:rsidR="00FF4A69">
        <w:t>n zijn. De ACM en de G</w:t>
      </w:r>
      <w:r w:rsidR="00B96597">
        <w:t>SC</w:t>
      </w:r>
      <w:r w:rsidRPr="00FF4A69" w:rsidR="00FF4A69">
        <w:t xml:space="preserve"> zouden moeten communiceren dat leveranciers welkom zijn om een mogelijk oneerlijke handelspraktijk laagdrempelig te bespreken, zonder dat het als een ‘formele klantenmelding’ wordt geregistreerd. Hiermee kan worden beoordeeld of de kwestie een oneerlijke handelspraktijk kan zijn of dat het oneerlijk voelt, maar geen overtreding van de wet is.</w:t>
      </w:r>
    </w:p>
    <w:p w:rsidR="006527F8" w:rsidP="002917BF" w:rsidRDefault="006527F8" w14:paraId="038E102B" w14:textId="3253ABE4">
      <w:pPr>
        <w:pStyle w:val="Lijstalinea"/>
        <w:numPr>
          <w:ilvl w:val="0"/>
          <w:numId w:val="15"/>
        </w:numPr>
      </w:pPr>
      <w:r>
        <w:t xml:space="preserve">De </w:t>
      </w:r>
      <w:r w:rsidR="001E00E9">
        <w:t>anonimiteit</w:t>
      </w:r>
      <w:r w:rsidR="00B96597">
        <w:t xml:space="preserve"> van de klager </w:t>
      </w:r>
      <w:r>
        <w:t xml:space="preserve">moet worden </w:t>
      </w:r>
      <w:r w:rsidR="00B96597">
        <w:t>gewaarborgd.</w:t>
      </w:r>
      <w:r w:rsidRPr="00FF4A69" w:rsidR="00FF4A69">
        <w:t xml:space="preserve"> </w:t>
      </w:r>
      <w:r w:rsidR="00954ED4">
        <w:t xml:space="preserve">Dit is met name lastig doordat de omzet moet worden aangetoond door betrokken partijen, zodat de ACM kan beoordelen of een leverancier een lagere omzet heeft dan de afnemer en voldoet aan de drempelwaardes. Nu maakt de ACM gebruik </w:t>
      </w:r>
      <w:r w:rsidR="00D17066">
        <w:t xml:space="preserve">van de omzet van enkele van de </w:t>
      </w:r>
      <w:r w:rsidRPr="00FF4A69" w:rsidR="00D17066">
        <w:t xml:space="preserve">grootste leveranciers </w:t>
      </w:r>
      <w:r w:rsidR="00D17066">
        <w:t xml:space="preserve">uit een sector om te bepalen of de </w:t>
      </w:r>
      <w:r w:rsidR="00275339">
        <w:t xml:space="preserve">betrokken </w:t>
      </w:r>
      <w:r w:rsidR="00D17066">
        <w:t xml:space="preserve">partijen binnen de drempelwaardes vallen. De aanbeveling is om uit te gaan van de </w:t>
      </w:r>
      <w:r w:rsidRPr="006527F8">
        <w:t>omzetcijfers van een specifieke sector uit het Bedrijveninformatienet (BIN)</w:t>
      </w:r>
      <w:r>
        <w:t xml:space="preserve">. </w:t>
      </w:r>
    </w:p>
    <w:p w:rsidRPr="00FF4A69" w:rsidR="00463D3C" w:rsidP="002917BF" w:rsidRDefault="00B96597" w14:paraId="089C8B85" w14:textId="4C902A0F">
      <w:pPr>
        <w:pStyle w:val="Lijstalinea"/>
        <w:numPr>
          <w:ilvl w:val="0"/>
          <w:numId w:val="15"/>
        </w:numPr>
      </w:pPr>
      <w:r>
        <w:t>Tenslotte wordt aangegeven dat v</w:t>
      </w:r>
      <w:r w:rsidRPr="00FF4A69" w:rsidR="00FF4A69">
        <w:t xml:space="preserve">erschillende brancheorganisaties </w:t>
      </w:r>
      <w:r>
        <w:t>in</w:t>
      </w:r>
      <w:r w:rsidRPr="00FF4A69" w:rsidR="00FF4A69">
        <w:t xml:space="preserve"> de </w:t>
      </w:r>
      <w:r>
        <w:t xml:space="preserve">eerdere cases </w:t>
      </w:r>
      <w:r w:rsidRPr="00FF4A69" w:rsidR="00FF4A69">
        <w:t xml:space="preserve">belangrijk </w:t>
      </w:r>
      <w:r>
        <w:t>waren</w:t>
      </w:r>
      <w:r w:rsidR="00954ED4">
        <w:t xml:space="preserve"> bij het aankaarten van</w:t>
      </w:r>
      <w:r w:rsidRPr="00FF4A69" w:rsidR="00FF4A69">
        <w:t xml:space="preserve"> oneerlijke handelspraktijken. De overheid zou een nieuwe ronde langs brancheorganisaties kunnen maken om ze te stimuleren van de </w:t>
      </w:r>
      <w:r w:rsidR="00821765">
        <w:t>W</w:t>
      </w:r>
      <w:r w:rsidRPr="00FF4A69" w:rsidR="00FF4A69">
        <w:t>et OHP gebruik te maken.</w:t>
      </w:r>
    </w:p>
    <w:bookmarkEnd w:id="5"/>
    <w:p w:rsidR="00B96597" w:rsidP="002917BF" w:rsidRDefault="00B96597" w14:paraId="7929848F" w14:textId="77777777"/>
    <w:p w:rsidRPr="00463D3C" w:rsidR="006659E9" w:rsidP="002917BF" w:rsidRDefault="006659E9" w14:paraId="12DAEE1F" w14:textId="5A0B28CF">
      <w:pPr>
        <w:rPr>
          <w:u w:val="single"/>
        </w:rPr>
      </w:pPr>
      <w:r w:rsidRPr="00463D3C">
        <w:rPr>
          <w:u w:val="single"/>
        </w:rPr>
        <w:t xml:space="preserve">Appreciatie </w:t>
      </w:r>
    </w:p>
    <w:p w:rsidR="00F630A6" w:rsidP="002917BF" w:rsidRDefault="00A17C02" w14:paraId="31ACBDE6" w14:textId="6E9D842E">
      <w:bookmarkStart w:name="_Hlk201671674" w:id="6"/>
      <w:r>
        <w:t xml:space="preserve">Deze evaluatie bevat een aantal nuttige conclusies en aanbevelingen, waarbij </w:t>
      </w:r>
      <w:r w:rsidR="004B7F21">
        <w:t>het voornaamste is dat de Wet</w:t>
      </w:r>
      <w:r w:rsidR="008505F8">
        <w:t xml:space="preserve"> OHP</w:t>
      </w:r>
      <w:r w:rsidR="004B7F21">
        <w:t xml:space="preserve"> doeltreffend is als het gaat om het verbeteren van de positie van de boer in de keten. </w:t>
      </w:r>
      <w:bookmarkEnd w:id="6"/>
      <w:r w:rsidR="008505F8">
        <w:t xml:space="preserve">De Wet OHP is </w:t>
      </w:r>
      <w:r w:rsidR="00821765">
        <w:t xml:space="preserve">nog </w:t>
      </w:r>
      <w:r w:rsidR="008505F8">
        <w:t>relatief kort van kracht</w:t>
      </w:r>
      <w:r w:rsidR="008C11BE">
        <w:t xml:space="preserve"> en ik</w:t>
      </w:r>
      <w:r w:rsidR="00821765">
        <w:t xml:space="preserve"> </w:t>
      </w:r>
      <w:r w:rsidR="008505F8">
        <w:t xml:space="preserve">zal de werking en uitspraken </w:t>
      </w:r>
      <w:r w:rsidR="00821765">
        <w:t xml:space="preserve">nauwlettend in de gaten houden </w:t>
      </w:r>
      <w:r w:rsidR="008505F8">
        <w:t xml:space="preserve">om ook de effecten op langere termijn te zien. </w:t>
      </w:r>
      <w:r w:rsidR="00F630A6">
        <w:t xml:space="preserve">Wat betreft de aandachtspunten beaam ik het belang van goede toegankelijkheid van de organisaties waar partijen een klacht kunnen indienen. En zie ik naast een handhavende rol van de ACM als toezichthouder ook de meerwaarde van een laagdrempelige </w:t>
      </w:r>
      <w:r w:rsidR="008C11BE">
        <w:t>GSC</w:t>
      </w:r>
      <w:r w:rsidR="00F630A6">
        <w:t>, waar het mogelijk is om via vertegenwoordigende partijen anoniem klachten te behandelen. In dat licht omarm ik ook</w:t>
      </w:r>
      <w:r w:rsidR="00F863CC">
        <w:t xml:space="preserve"> de</w:t>
      </w:r>
      <w:r w:rsidR="00F630A6">
        <w:t xml:space="preserve"> aandachtspunt</w:t>
      </w:r>
      <w:r w:rsidR="00F863CC">
        <w:t xml:space="preserve">en rondom anonimiteit, waarbij </w:t>
      </w:r>
      <w:r w:rsidR="00F630A6">
        <w:t>de evaluat</w:t>
      </w:r>
      <w:r w:rsidR="00246688">
        <w:t>ie</w:t>
      </w:r>
      <w:r w:rsidR="00F630A6">
        <w:t xml:space="preserve"> </w:t>
      </w:r>
      <w:r w:rsidR="00F863CC">
        <w:t xml:space="preserve">ook </w:t>
      </w:r>
      <w:r w:rsidR="00246688">
        <w:t xml:space="preserve">benoemt dat </w:t>
      </w:r>
      <w:r w:rsidR="00F630A6">
        <w:t>brancheorganisaties</w:t>
      </w:r>
      <w:r w:rsidR="00F863CC">
        <w:t xml:space="preserve"> </w:t>
      </w:r>
      <w:r w:rsidR="00F630A6">
        <w:t xml:space="preserve">een rol zouden kunnen vervullen in de </w:t>
      </w:r>
      <w:r w:rsidR="008C11BE">
        <w:t>v</w:t>
      </w:r>
      <w:r w:rsidR="00F630A6">
        <w:t>ertegenwoordiging van partijen.</w:t>
      </w:r>
    </w:p>
    <w:p w:rsidR="00F630A6" w:rsidP="002917BF" w:rsidRDefault="00F630A6" w14:paraId="1F3F580E" w14:textId="642F8BE8"/>
    <w:p w:rsidR="004708E7" w:rsidP="002917BF" w:rsidRDefault="004708E7" w14:paraId="7BC7BF90" w14:textId="1E56E742">
      <w:r>
        <w:t xml:space="preserve">De </w:t>
      </w:r>
      <w:r w:rsidR="00821765">
        <w:t>W</w:t>
      </w:r>
      <w:r>
        <w:t xml:space="preserve">et OHP is ingericht om oneerlijke handelspraktijken tegen te gaan en zo de positie van de boer in de keten te versterken. De </w:t>
      </w:r>
      <w:r w:rsidR="00821765">
        <w:t>W</w:t>
      </w:r>
      <w:r>
        <w:t xml:space="preserve">et OHP kan geen specifieke hoogte van vergoedingen afdwingen of een minimale prijs voor de boer garanderen. Wel zorgt de </w:t>
      </w:r>
      <w:r w:rsidR="00821765">
        <w:t>W</w:t>
      </w:r>
      <w:r>
        <w:t xml:space="preserve">et OHP voor een meer transparante prijsvorming, omdat afnemers verplicht zijn om de producent op een begrijpelijke manier aan te geven hoe de overeengekomen prijs tot stand is gekomen. </w:t>
      </w:r>
    </w:p>
    <w:p w:rsidR="004708E7" w:rsidP="002917BF" w:rsidRDefault="004708E7" w14:paraId="510BF5CB" w14:textId="77777777"/>
    <w:p w:rsidR="008505F8" w:rsidP="002917BF" w:rsidRDefault="008505F8" w14:paraId="684C5526" w14:textId="765AFB6C">
      <w:r w:rsidRPr="00B3000B">
        <w:t>Ik verwelkom de aanbevelingen en</w:t>
      </w:r>
      <w:r>
        <w:t xml:space="preserve"> bespreek deze met de </w:t>
      </w:r>
      <w:bookmarkStart w:name="_Hlk201671994" w:id="7"/>
      <w:r w:rsidR="00821765">
        <w:t>ACM</w:t>
      </w:r>
      <w:r w:rsidR="00F863CC">
        <w:t xml:space="preserve"> en de G</w:t>
      </w:r>
      <w:r w:rsidR="00821765">
        <w:t>SC</w:t>
      </w:r>
      <w:r w:rsidR="00F863CC">
        <w:t xml:space="preserve">. </w:t>
      </w:r>
      <w:bookmarkEnd w:id="7"/>
      <w:r>
        <w:t xml:space="preserve">Daarnaast benut ik deze aanbevelingen ook </w:t>
      </w:r>
      <w:r w:rsidRPr="00B3000B">
        <w:t xml:space="preserve">richting </w:t>
      </w:r>
      <w:r w:rsidR="00F863CC">
        <w:t xml:space="preserve">de </w:t>
      </w:r>
      <w:r w:rsidRPr="00B3000B">
        <w:t>Europ</w:t>
      </w:r>
      <w:r w:rsidR="00F863CC">
        <w:t>ese Commissie</w:t>
      </w:r>
      <w:r w:rsidRPr="00B3000B">
        <w:t xml:space="preserve">, waar op dit moment </w:t>
      </w:r>
      <w:r>
        <w:t xml:space="preserve">Richtlijn </w:t>
      </w:r>
      <w:r w:rsidR="00821765">
        <w:t xml:space="preserve">(EU) 2019/633 </w:t>
      </w:r>
      <w:r w:rsidR="00F863CC">
        <w:t>op Europees niveau</w:t>
      </w:r>
      <w:r w:rsidRPr="00B3000B">
        <w:t xml:space="preserve"> wordt geëvalueerd en</w:t>
      </w:r>
      <w:r>
        <w:t xml:space="preserve"> waar naar verwachting eind dit jaar input kan worden gegeven </w:t>
      </w:r>
      <w:r w:rsidR="00821765">
        <w:t xml:space="preserve">met het oog op een mogelijke wijziging van die </w:t>
      </w:r>
      <w:r>
        <w:t>Richtlijn</w:t>
      </w:r>
      <w:r w:rsidRPr="00B3000B">
        <w:t>.</w:t>
      </w:r>
      <w:r>
        <w:t xml:space="preserve"> </w:t>
      </w:r>
    </w:p>
    <w:p w:rsidR="008C11BE" w:rsidP="002917BF" w:rsidRDefault="008C11BE" w14:paraId="79514EC8" w14:textId="77777777"/>
    <w:p w:rsidR="001536B3" w:rsidP="002917BF" w:rsidRDefault="00F630A6" w14:paraId="3CA2784E" w14:textId="009AE881">
      <w:bookmarkStart w:name="_Hlk201671904" w:id="8"/>
      <w:r>
        <w:t xml:space="preserve">Het is waardevol dat voor deze evaluatie partijen in de hele keten zijn benaderd en dat zowel grote als kleine brancheorganisaties hun input hebben gegeven. Hiermee is er een zo volledig mogelijk beeld ontstaan, en wordt bevestigd dat de </w:t>
      </w:r>
      <w:r w:rsidR="00821765">
        <w:t>W</w:t>
      </w:r>
      <w:r>
        <w:t xml:space="preserve">et OHP bijdraagt aan transparantere en eerlijker afspraken in de keten en daarmee </w:t>
      </w:r>
      <w:r w:rsidR="00F863CC">
        <w:t xml:space="preserve">bijdraagt aan het versterken van </w:t>
      </w:r>
      <w:r>
        <w:t>de positie van de boer</w:t>
      </w:r>
      <w:r w:rsidR="00F863CC">
        <w:t xml:space="preserve"> in de keten</w:t>
      </w:r>
      <w:r>
        <w:t xml:space="preserve">.  </w:t>
      </w:r>
    </w:p>
    <w:bookmarkEnd w:id="8"/>
    <w:p w:rsidR="00F630A6" w:rsidP="002917BF" w:rsidRDefault="00F630A6" w14:paraId="161D84DC" w14:textId="77777777"/>
    <w:p w:rsidR="00584BAC" w:rsidP="002917BF" w:rsidRDefault="001E00E9" w14:paraId="3FEE1F2E" w14:textId="77777777">
      <w:r>
        <w:t>Hoogachtend,</w:t>
      </w:r>
    </w:p>
    <w:p w:rsidRPr="00EC58D9" w:rsidR="00F71F9E" w:rsidP="002917BF" w:rsidRDefault="00F71F9E" w14:paraId="2D2EEF32" w14:textId="77777777"/>
    <w:p w:rsidR="007239A1" w:rsidP="002917BF" w:rsidRDefault="007239A1" w14:paraId="7C9B0F93" w14:textId="77777777"/>
    <w:p w:rsidRPr="00EC58D9" w:rsidR="00EF5F4C" w:rsidP="002917BF" w:rsidRDefault="00EF5F4C" w14:paraId="08BA9055" w14:textId="77777777"/>
    <w:p w:rsidRPr="00EC58D9" w:rsidR="007239A1" w:rsidP="002917BF" w:rsidRDefault="007239A1" w14:paraId="63B1865E" w14:textId="77777777"/>
    <w:p w:rsidRPr="006A15A5" w:rsidR="007239A1" w:rsidP="002917BF" w:rsidRDefault="001E00E9" w14:paraId="2C7CA9AE" w14:textId="77777777">
      <w:pPr>
        <w:rPr>
          <w:szCs w:val="18"/>
        </w:rPr>
      </w:pPr>
      <w:r w:rsidRPr="00B11DD6">
        <w:t>Femke Marije Wiersma</w:t>
      </w:r>
    </w:p>
    <w:p w:rsidR="004E505E" w:rsidP="002917BF" w:rsidRDefault="001E00E9" w14:paraId="45863068" w14:textId="77777777">
      <w:r w:rsidRPr="00EC58D9">
        <w:t xml:space="preserve">Minister van </w:t>
      </w:r>
      <w:r w:rsidR="00704E60">
        <w:rPr>
          <w:rFonts w:cs="Calibri"/>
          <w:szCs w:val="18"/>
        </w:rPr>
        <w:t>Landbouw, Visserij, Voedselzekerheid en Natuur</w:t>
      </w:r>
    </w:p>
    <w:p w:rsidR="00144B73" w:rsidP="002917BF" w:rsidRDefault="00144B73" w14:paraId="15C552D1" w14:textId="77777777">
      <w:pPr>
        <w:rPr>
          <w:i/>
          <w:iCs/>
        </w:rPr>
      </w:pPr>
    </w:p>
    <w:sectPr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C584" w14:textId="77777777" w:rsidR="00F16AF9" w:rsidRDefault="00F16AF9">
      <w:r>
        <w:separator/>
      </w:r>
    </w:p>
    <w:p w14:paraId="686D1BDD" w14:textId="77777777" w:rsidR="00F16AF9" w:rsidRDefault="00F16AF9"/>
  </w:endnote>
  <w:endnote w:type="continuationSeparator" w:id="0">
    <w:p w14:paraId="7E5BBAB7" w14:textId="77777777" w:rsidR="00F16AF9" w:rsidRDefault="00F16AF9">
      <w:r>
        <w:continuationSeparator/>
      </w:r>
    </w:p>
    <w:p w14:paraId="2016F385" w14:textId="77777777" w:rsidR="00F16AF9" w:rsidRDefault="00F16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C3C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86FD8" w14:paraId="43A72D42" w14:textId="77777777" w:rsidTr="00CA6A25">
      <w:trPr>
        <w:trHeight w:hRule="exact" w:val="240"/>
      </w:trPr>
      <w:tc>
        <w:tcPr>
          <w:tcW w:w="7601" w:type="dxa"/>
          <w:shd w:val="clear" w:color="auto" w:fill="auto"/>
        </w:tcPr>
        <w:p w14:paraId="37EA0A0C" w14:textId="77777777" w:rsidR="00527BD4" w:rsidRDefault="00527BD4" w:rsidP="003F1F6B">
          <w:pPr>
            <w:pStyle w:val="Huisstijl-Rubricering"/>
          </w:pPr>
        </w:p>
      </w:tc>
      <w:tc>
        <w:tcPr>
          <w:tcW w:w="2156" w:type="dxa"/>
        </w:tcPr>
        <w:p w14:paraId="28905204" w14:textId="2A532F28" w:rsidR="00527BD4" w:rsidRPr="00645414" w:rsidRDefault="001E00E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677A3">
            <w:t>4</w:t>
          </w:r>
          <w:r w:rsidR="00144B73">
            <w:fldChar w:fldCharType="end"/>
          </w:r>
        </w:p>
      </w:tc>
    </w:tr>
  </w:tbl>
  <w:p w14:paraId="7F8013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86FD8" w14:paraId="4D42EF4B" w14:textId="77777777" w:rsidTr="00CA6A25">
      <w:trPr>
        <w:trHeight w:hRule="exact" w:val="240"/>
      </w:trPr>
      <w:tc>
        <w:tcPr>
          <w:tcW w:w="7601" w:type="dxa"/>
          <w:shd w:val="clear" w:color="auto" w:fill="auto"/>
        </w:tcPr>
        <w:p w14:paraId="72613325" w14:textId="77777777" w:rsidR="00527BD4" w:rsidRDefault="00527BD4" w:rsidP="008C356D">
          <w:pPr>
            <w:pStyle w:val="Huisstijl-Rubricering"/>
          </w:pPr>
        </w:p>
      </w:tc>
      <w:tc>
        <w:tcPr>
          <w:tcW w:w="2170" w:type="dxa"/>
        </w:tcPr>
        <w:p w14:paraId="15F403D0" w14:textId="5D28D83D" w:rsidR="00527BD4" w:rsidRPr="00ED539E" w:rsidRDefault="001E00E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677A3">
            <w:t>4</w:t>
          </w:r>
          <w:r w:rsidR="00144B73">
            <w:fldChar w:fldCharType="end"/>
          </w:r>
        </w:p>
      </w:tc>
    </w:tr>
  </w:tbl>
  <w:p w14:paraId="1BE2FAF2" w14:textId="77777777" w:rsidR="00527BD4" w:rsidRPr="00BC3B53" w:rsidRDefault="00527BD4" w:rsidP="008C356D">
    <w:pPr>
      <w:pStyle w:val="Voettekst"/>
      <w:spacing w:line="240" w:lineRule="auto"/>
      <w:rPr>
        <w:sz w:val="2"/>
        <w:szCs w:val="2"/>
      </w:rPr>
    </w:pPr>
  </w:p>
  <w:p w14:paraId="6DC1E2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65B8" w14:textId="77777777" w:rsidR="00F16AF9" w:rsidRDefault="00F16AF9">
      <w:r>
        <w:separator/>
      </w:r>
    </w:p>
    <w:p w14:paraId="17EA1C7D" w14:textId="77777777" w:rsidR="00F16AF9" w:rsidRDefault="00F16AF9"/>
  </w:footnote>
  <w:footnote w:type="continuationSeparator" w:id="0">
    <w:p w14:paraId="20BA7007" w14:textId="77777777" w:rsidR="00F16AF9" w:rsidRDefault="00F16AF9">
      <w:r>
        <w:continuationSeparator/>
      </w:r>
    </w:p>
    <w:p w14:paraId="2B6884C7" w14:textId="77777777" w:rsidR="00F16AF9" w:rsidRDefault="00F16AF9"/>
  </w:footnote>
  <w:footnote w:id="1">
    <w:p w14:paraId="36FAF207" w14:textId="137482C8" w:rsidR="002917BF" w:rsidRPr="00827562" w:rsidRDefault="00827562">
      <w:pPr>
        <w:pStyle w:val="Voetnoottekst"/>
      </w:pPr>
      <w:r>
        <w:rPr>
          <w:rStyle w:val="Voetnootmarkering"/>
        </w:rPr>
        <w:footnoteRef/>
      </w:r>
      <w:r>
        <w:t xml:space="preserve"> </w:t>
      </w:r>
      <w:r w:rsidRPr="00827562">
        <w:t>De Wet OHP Landbouw implementeert de Europese richtlijn 2019/633/EU (de "Richtlijn")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86FD8" w14:paraId="653272C0" w14:textId="77777777" w:rsidTr="00A50CF6">
      <w:tc>
        <w:tcPr>
          <w:tcW w:w="2156" w:type="dxa"/>
          <w:shd w:val="clear" w:color="auto" w:fill="auto"/>
        </w:tcPr>
        <w:p w14:paraId="3D07897E" w14:textId="77777777" w:rsidR="00527BD4" w:rsidRPr="005819CE" w:rsidRDefault="001E00E9" w:rsidP="00A50CF6">
          <w:pPr>
            <w:pStyle w:val="Huisstijl-Adres"/>
            <w:rPr>
              <w:b/>
            </w:rPr>
          </w:pPr>
          <w:r>
            <w:rPr>
              <w:b/>
            </w:rPr>
            <w:t>Directoraat-generaal Agro</w:t>
          </w:r>
          <w:r w:rsidRPr="005819CE">
            <w:rPr>
              <w:b/>
            </w:rPr>
            <w:br/>
          </w:r>
          <w:r>
            <w:t xml:space="preserve">Directie Europees, Internationaal en Agro economisch beleid </w:t>
          </w:r>
        </w:p>
      </w:tc>
    </w:tr>
    <w:tr w:rsidR="00486FD8" w14:paraId="68AFEB5E" w14:textId="77777777" w:rsidTr="00A50CF6">
      <w:trPr>
        <w:trHeight w:hRule="exact" w:val="200"/>
      </w:trPr>
      <w:tc>
        <w:tcPr>
          <w:tcW w:w="2156" w:type="dxa"/>
          <w:shd w:val="clear" w:color="auto" w:fill="auto"/>
        </w:tcPr>
        <w:p w14:paraId="5B6910A2" w14:textId="77777777" w:rsidR="00527BD4" w:rsidRPr="005819CE" w:rsidRDefault="00527BD4" w:rsidP="00A50CF6"/>
      </w:tc>
    </w:tr>
    <w:tr w:rsidR="00486FD8" w14:paraId="195FF8AA" w14:textId="77777777" w:rsidTr="00502512">
      <w:trPr>
        <w:trHeight w:hRule="exact" w:val="774"/>
      </w:trPr>
      <w:tc>
        <w:tcPr>
          <w:tcW w:w="2156" w:type="dxa"/>
          <w:shd w:val="clear" w:color="auto" w:fill="auto"/>
        </w:tcPr>
        <w:p w14:paraId="3FE57128" w14:textId="77777777" w:rsidR="00527BD4" w:rsidRDefault="001E00E9" w:rsidP="003A5290">
          <w:pPr>
            <w:pStyle w:val="Huisstijl-Kopje"/>
          </w:pPr>
          <w:r>
            <w:t>Ons kenmerk</w:t>
          </w:r>
        </w:p>
        <w:p w14:paraId="6032D69C" w14:textId="0037E844" w:rsidR="00527BD4" w:rsidRPr="005819CE" w:rsidRDefault="001E00E9" w:rsidP="001E6117">
          <w:pPr>
            <w:pStyle w:val="Huisstijl-Kopje"/>
          </w:pPr>
          <w:r>
            <w:rPr>
              <w:b w:val="0"/>
            </w:rPr>
            <w:t>DGA-EIA</w:t>
          </w:r>
          <w:r w:rsidRPr="00502512">
            <w:rPr>
              <w:b w:val="0"/>
            </w:rPr>
            <w:t xml:space="preserve"> / </w:t>
          </w:r>
          <w:r w:rsidR="002917BF" w:rsidRPr="002917BF">
            <w:rPr>
              <w:b w:val="0"/>
            </w:rPr>
            <w:t>99623573</w:t>
          </w:r>
        </w:p>
      </w:tc>
    </w:tr>
  </w:tbl>
  <w:p w14:paraId="11D34B02" w14:textId="77777777" w:rsidR="00527BD4" w:rsidRDefault="00527BD4" w:rsidP="008C356D"/>
  <w:p w14:paraId="71F13682" w14:textId="77777777" w:rsidR="00527BD4" w:rsidRPr="00740712" w:rsidRDefault="00527BD4" w:rsidP="008C356D"/>
  <w:p w14:paraId="4DC50E90" w14:textId="77777777" w:rsidR="00527BD4" w:rsidRPr="00217880" w:rsidRDefault="00527BD4" w:rsidP="008C356D">
    <w:pPr>
      <w:spacing w:line="0" w:lineRule="atLeast"/>
      <w:rPr>
        <w:sz w:val="2"/>
        <w:szCs w:val="2"/>
      </w:rPr>
    </w:pPr>
  </w:p>
  <w:p w14:paraId="1BCC958A" w14:textId="77777777" w:rsidR="00527BD4" w:rsidRDefault="00527BD4" w:rsidP="004F44C2">
    <w:pPr>
      <w:pStyle w:val="Koptekst"/>
      <w:rPr>
        <w:rFonts w:cs="Verdana-Bold"/>
        <w:b/>
        <w:bCs/>
        <w:smallCaps/>
        <w:szCs w:val="18"/>
      </w:rPr>
    </w:pPr>
  </w:p>
  <w:p w14:paraId="12917FD7" w14:textId="77777777" w:rsidR="00527BD4" w:rsidRDefault="00527BD4" w:rsidP="004F44C2"/>
  <w:p w14:paraId="72E21120" w14:textId="77777777" w:rsidR="00527BD4" w:rsidRPr="00740712" w:rsidRDefault="00527BD4" w:rsidP="004F44C2"/>
  <w:p w14:paraId="65B7F76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86FD8" w14:paraId="6CFA2338" w14:textId="77777777" w:rsidTr="00751A6A">
      <w:trPr>
        <w:trHeight w:val="2636"/>
      </w:trPr>
      <w:tc>
        <w:tcPr>
          <w:tcW w:w="737" w:type="dxa"/>
          <w:shd w:val="clear" w:color="auto" w:fill="auto"/>
        </w:tcPr>
        <w:p w14:paraId="1759FAC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F55CE8" w14:textId="77777777" w:rsidR="00527BD4" w:rsidRDefault="001E00E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1E74E6C" wp14:editId="01B8751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3260DC2" w14:textId="77777777" w:rsidR="00527BD4" w:rsidRDefault="00527BD4" w:rsidP="00D0609E">
    <w:pPr>
      <w:framePr w:w="6340" w:h="2750" w:hRule="exact" w:hSpace="180" w:wrap="around" w:vAnchor="page" w:hAnchor="text" w:x="3873" w:y="-140"/>
    </w:pPr>
  </w:p>
  <w:p w14:paraId="75EAB36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86FD8" w14:paraId="2639F0A2" w14:textId="77777777" w:rsidTr="00A50CF6">
      <w:tc>
        <w:tcPr>
          <w:tcW w:w="2160" w:type="dxa"/>
          <w:shd w:val="clear" w:color="auto" w:fill="auto"/>
        </w:tcPr>
        <w:p w14:paraId="47F14DC9" w14:textId="77777777" w:rsidR="00527BD4" w:rsidRPr="005819CE" w:rsidRDefault="001E00E9" w:rsidP="00A50CF6">
          <w:pPr>
            <w:pStyle w:val="Huisstijl-Adres"/>
            <w:rPr>
              <w:b/>
            </w:rPr>
          </w:pPr>
          <w:r>
            <w:rPr>
              <w:b/>
            </w:rPr>
            <w:t>Directoraat-generaal Agro</w:t>
          </w:r>
          <w:r w:rsidRPr="005819CE">
            <w:rPr>
              <w:b/>
            </w:rPr>
            <w:br/>
          </w:r>
          <w:r>
            <w:t xml:space="preserve">Directie Europees, Internationaal en Agro economisch beleid </w:t>
          </w:r>
        </w:p>
        <w:p w14:paraId="0F41EA12" w14:textId="77777777" w:rsidR="00527BD4" w:rsidRPr="00BE5ED9" w:rsidRDefault="001E00E9" w:rsidP="00A50CF6">
          <w:pPr>
            <w:pStyle w:val="Huisstijl-Adres"/>
          </w:pPr>
          <w:r>
            <w:rPr>
              <w:b/>
            </w:rPr>
            <w:t>Bezoekadres</w:t>
          </w:r>
          <w:r>
            <w:rPr>
              <w:b/>
            </w:rPr>
            <w:br/>
          </w:r>
          <w:r>
            <w:t>Bezuidenhoutseweg 73</w:t>
          </w:r>
          <w:r w:rsidRPr="005819CE">
            <w:br/>
          </w:r>
          <w:r>
            <w:t>2594 AC Den Haag</w:t>
          </w:r>
        </w:p>
        <w:p w14:paraId="6EBD640B" w14:textId="77777777" w:rsidR="00EF495B" w:rsidRDefault="001E00E9" w:rsidP="0098788A">
          <w:pPr>
            <w:pStyle w:val="Huisstijl-Adres"/>
          </w:pPr>
          <w:r>
            <w:rPr>
              <w:b/>
            </w:rPr>
            <w:t>Postadres</w:t>
          </w:r>
          <w:r>
            <w:rPr>
              <w:b/>
            </w:rPr>
            <w:br/>
          </w:r>
          <w:r>
            <w:t>Postbus 20401</w:t>
          </w:r>
          <w:r w:rsidRPr="005819CE">
            <w:br/>
            <w:t>2500 E</w:t>
          </w:r>
          <w:r>
            <w:t>K</w:t>
          </w:r>
          <w:r w:rsidRPr="005819CE">
            <w:t xml:space="preserve"> Den Haag</w:t>
          </w:r>
        </w:p>
        <w:p w14:paraId="72B3D9FA" w14:textId="77777777" w:rsidR="00556BEE" w:rsidRPr="005B3814" w:rsidRDefault="001E00E9" w:rsidP="0098788A">
          <w:pPr>
            <w:pStyle w:val="Huisstijl-Adres"/>
          </w:pPr>
          <w:r>
            <w:rPr>
              <w:b/>
            </w:rPr>
            <w:t>Overheidsidentificatienr</w:t>
          </w:r>
          <w:r>
            <w:rPr>
              <w:b/>
            </w:rPr>
            <w:br/>
          </w:r>
          <w:r w:rsidR="00BA129E">
            <w:rPr>
              <w:rFonts w:cs="Agrofont"/>
              <w:iCs/>
            </w:rPr>
            <w:t>00000001858272854000</w:t>
          </w:r>
        </w:p>
        <w:p w14:paraId="2F4C893F" w14:textId="622ED428" w:rsidR="00527BD4" w:rsidRPr="002917BF" w:rsidRDefault="001E00E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86FD8" w14:paraId="50A78F49" w14:textId="77777777" w:rsidTr="00A50CF6">
      <w:trPr>
        <w:trHeight w:hRule="exact" w:val="200"/>
      </w:trPr>
      <w:tc>
        <w:tcPr>
          <w:tcW w:w="2160" w:type="dxa"/>
          <w:shd w:val="clear" w:color="auto" w:fill="auto"/>
        </w:tcPr>
        <w:p w14:paraId="17D139EA" w14:textId="77777777" w:rsidR="00527BD4" w:rsidRPr="005819CE" w:rsidRDefault="00527BD4" w:rsidP="00A50CF6"/>
      </w:tc>
    </w:tr>
    <w:tr w:rsidR="00486FD8" w14:paraId="6F8BACDA" w14:textId="77777777" w:rsidTr="00A50CF6">
      <w:tc>
        <w:tcPr>
          <w:tcW w:w="2160" w:type="dxa"/>
          <w:shd w:val="clear" w:color="auto" w:fill="auto"/>
        </w:tcPr>
        <w:p w14:paraId="4730D616" w14:textId="77777777" w:rsidR="000C0163" w:rsidRPr="005819CE" w:rsidRDefault="001E00E9" w:rsidP="000C0163">
          <w:pPr>
            <w:pStyle w:val="Huisstijl-Kopje"/>
          </w:pPr>
          <w:r>
            <w:t>Ons kenmerk</w:t>
          </w:r>
          <w:r w:rsidRPr="005819CE">
            <w:t xml:space="preserve"> </w:t>
          </w:r>
        </w:p>
        <w:p w14:paraId="3791D96B" w14:textId="66B34878" w:rsidR="000C0163" w:rsidRPr="005819CE" w:rsidRDefault="001E00E9" w:rsidP="000C0163">
          <w:pPr>
            <w:pStyle w:val="Huisstijl-Gegeven"/>
          </w:pPr>
          <w:r>
            <w:t>DGA-EIA /</w:t>
          </w:r>
          <w:r w:rsidR="00486354">
            <w:t xml:space="preserve"> </w:t>
          </w:r>
          <w:r w:rsidR="002917BF" w:rsidRPr="002917BF">
            <w:t>99623573</w:t>
          </w:r>
        </w:p>
        <w:p w14:paraId="60248AB9" w14:textId="77777777" w:rsidR="00527BD4" w:rsidRPr="005819CE" w:rsidRDefault="001E00E9" w:rsidP="00A50CF6">
          <w:pPr>
            <w:pStyle w:val="Huisstijl-Kopje"/>
          </w:pPr>
          <w:r>
            <w:t>Bijlage(n)</w:t>
          </w:r>
        </w:p>
        <w:p w14:paraId="74EAD21E" w14:textId="2F0097D5" w:rsidR="00527BD4" w:rsidRPr="005819CE" w:rsidRDefault="002917BF" w:rsidP="00A50CF6">
          <w:pPr>
            <w:pStyle w:val="Huisstijl-Gegeven"/>
          </w:pPr>
          <w:r>
            <w:t>1</w:t>
          </w:r>
        </w:p>
      </w:tc>
    </w:tr>
  </w:tbl>
  <w:p w14:paraId="5C730D05" w14:textId="77777777" w:rsidR="00121BF0" w:rsidRPr="00121BF0" w:rsidRDefault="00121BF0" w:rsidP="00121BF0">
    <w:pPr>
      <w:rPr>
        <w:vanish/>
      </w:rPr>
    </w:pPr>
  </w:p>
  <w:tbl>
    <w:tblPr>
      <w:tblW w:w="7350" w:type="dxa"/>
      <w:tblLayout w:type="fixed"/>
      <w:tblCellMar>
        <w:left w:w="0" w:type="dxa"/>
        <w:right w:w="0" w:type="dxa"/>
      </w:tblCellMar>
      <w:tblLook w:val="0000" w:firstRow="0" w:lastRow="0" w:firstColumn="0" w:lastColumn="0" w:noHBand="0" w:noVBand="0"/>
    </w:tblPr>
    <w:tblGrid>
      <w:gridCol w:w="861"/>
      <w:gridCol w:w="6489"/>
    </w:tblGrid>
    <w:tr w:rsidR="00486FD8" w14:paraId="32A01051" w14:textId="77777777" w:rsidTr="007A7D9C">
      <w:trPr>
        <w:trHeight w:val="400"/>
      </w:trPr>
      <w:tc>
        <w:tcPr>
          <w:tcW w:w="7347" w:type="dxa"/>
          <w:gridSpan w:val="2"/>
          <w:shd w:val="clear" w:color="auto" w:fill="auto"/>
        </w:tcPr>
        <w:p w14:paraId="44C77353" w14:textId="77777777" w:rsidR="00527BD4" w:rsidRPr="00BC3B53" w:rsidRDefault="001E00E9" w:rsidP="00A50CF6">
          <w:pPr>
            <w:pStyle w:val="Huisstijl-Retouradres"/>
          </w:pPr>
          <w:r>
            <w:t>&gt; Retouradres Postbus 20401 2500 EK Den Haag</w:t>
          </w:r>
        </w:p>
      </w:tc>
    </w:tr>
    <w:tr w:rsidR="00486FD8" w14:paraId="0515B14B" w14:textId="77777777" w:rsidTr="007A7D9C">
      <w:tc>
        <w:tcPr>
          <w:tcW w:w="7347" w:type="dxa"/>
          <w:gridSpan w:val="2"/>
          <w:shd w:val="clear" w:color="auto" w:fill="auto"/>
        </w:tcPr>
        <w:p w14:paraId="419ED31C" w14:textId="77777777" w:rsidR="00527BD4" w:rsidRPr="00983E8F" w:rsidRDefault="00527BD4" w:rsidP="00A50CF6">
          <w:pPr>
            <w:pStyle w:val="Huisstijl-Rubricering"/>
          </w:pPr>
        </w:p>
      </w:tc>
    </w:tr>
    <w:tr w:rsidR="00486FD8" w14:paraId="0EF0CDBF" w14:textId="77777777" w:rsidTr="007A7D9C">
      <w:trPr>
        <w:trHeight w:hRule="exact" w:val="2440"/>
      </w:trPr>
      <w:tc>
        <w:tcPr>
          <w:tcW w:w="7347" w:type="dxa"/>
          <w:gridSpan w:val="2"/>
          <w:shd w:val="clear" w:color="auto" w:fill="auto"/>
        </w:tcPr>
        <w:p w14:paraId="553C45B3" w14:textId="77777777" w:rsidR="002917BF" w:rsidRPr="008F06CE" w:rsidRDefault="002917BF" w:rsidP="007D1CDF">
          <w:pPr>
            <w:tabs>
              <w:tab w:val="left" w:pos="5580"/>
            </w:tabs>
            <w:rPr>
              <w:szCs w:val="18"/>
            </w:rPr>
          </w:pPr>
          <w:r w:rsidRPr="008F06CE">
            <w:rPr>
              <w:szCs w:val="18"/>
            </w:rPr>
            <w:t>De Voorzitter van de Tweede Kamer</w:t>
          </w:r>
        </w:p>
        <w:p w14:paraId="044AB720" w14:textId="77777777" w:rsidR="002917BF" w:rsidRPr="008F06CE" w:rsidRDefault="002917BF" w:rsidP="007D1CDF">
          <w:pPr>
            <w:tabs>
              <w:tab w:val="left" w:pos="5580"/>
            </w:tabs>
            <w:rPr>
              <w:szCs w:val="18"/>
            </w:rPr>
          </w:pPr>
          <w:r w:rsidRPr="008F06CE">
            <w:rPr>
              <w:szCs w:val="18"/>
            </w:rPr>
            <w:t>der Staten-Generaal</w:t>
          </w:r>
        </w:p>
        <w:p w14:paraId="41600AF6" w14:textId="77777777" w:rsidR="002917BF" w:rsidRPr="000F5C1D" w:rsidRDefault="002917BF" w:rsidP="007D1CDF">
          <w:pPr>
            <w:tabs>
              <w:tab w:val="left" w:pos="5580"/>
            </w:tabs>
            <w:rPr>
              <w:szCs w:val="18"/>
            </w:rPr>
          </w:pPr>
          <w:r w:rsidRPr="000F5C1D">
            <w:rPr>
              <w:szCs w:val="18"/>
            </w:rPr>
            <w:t>Prinses Irenestraat 6</w:t>
          </w:r>
        </w:p>
        <w:p w14:paraId="1C914C05" w14:textId="77777777" w:rsidR="002917BF" w:rsidRPr="009A0EEB" w:rsidRDefault="002917BF" w:rsidP="007D1CDF">
          <w:pPr>
            <w:tabs>
              <w:tab w:val="left" w:pos="5580"/>
            </w:tabs>
            <w:rPr>
              <w:szCs w:val="18"/>
            </w:rPr>
          </w:pPr>
          <w:r w:rsidRPr="000F5C1D">
            <w:rPr>
              <w:szCs w:val="18"/>
            </w:rPr>
            <w:t>2595 BD  DEN HAAG</w:t>
          </w:r>
        </w:p>
        <w:p w14:paraId="2C3F2EBD" w14:textId="7DFF7038" w:rsidR="00527BD4" w:rsidRDefault="00527BD4" w:rsidP="00A50CF6">
          <w:pPr>
            <w:pStyle w:val="Huisstijl-NAW"/>
          </w:pPr>
        </w:p>
      </w:tc>
    </w:tr>
    <w:tr w:rsidR="00486FD8" w14:paraId="137E4FAA" w14:textId="77777777" w:rsidTr="007A7D9C">
      <w:trPr>
        <w:trHeight w:hRule="exact" w:val="400"/>
      </w:trPr>
      <w:tc>
        <w:tcPr>
          <w:tcW w:w="7347" w:type="dxa"/>
          <w:gridSpan w:val="2"/>
          <w:shd w:val="clear" w:color="auto" w:fill="auto"/>
        </w:tcPr>
        <w:p w14:paraId="4711DD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86FD8" w14:paraId="350D4092" w14:textId="77777777" w:rsidTr="007A7D9C">
      <w:trPr>
        <w:trHeight w:val="240"/>
      </w:trPr>
      <w:tc>
        <w:tcPr>
          <w:tcW w:w="861" w:type="dxa"/>
          <w:shd w:val="clear" w:color="auto" w:fill="auto"/>
        </w:tcPr>
        <w:p w14:paraId="6FC2DFEE" w14:textId="77777777" w:rsidR="00527BD4" w:rsidRPr="007709EF" w:rsidRDefault="001E00E9" w:rsidP="00A50CF6">
          <w:pPr>
            <w:rPr>
              <w:szCs w:val="18"/>
            </w:rPr>
          </w:pPr>
          <w:r>
            <w:rPr>
              <w:szCs w:val="18"/>
            </w:rPr>
            <w:t>Datum</w:t>
          </w:r>
        </w:p>
      </w:tc>
      <w:tc>
        <w:tcPr>
          <w:tcW w:w="6489" w:type="dxa"/>
          <w:shd w:val="clear" w:color="auto" w:fill="auto"/>
        </w:tcPr>
        <w:p w14:paraId="2215AFFD" w14:textId="151B7AC7" w:rsidR="00527BD4" w:rsidRPr="007709EF" w:rsidRDefault="00EF5F4C" w:rsidP="00A50CF6">
          <w:r>
            <w:t>1 juli 2025</w:t>
          </w:r>
        </w:p>
      </w:tc>
    </w:tr>
    <w:tr w:rsidR="00486FD8" w14:paraId="7B393154" w14:textId="77777777" w:rsidTr="007A7D9C">
      <w:trPr>
        <w:trHeight w:val="240"/>
      </w:trPr>
      <w:tc>
        <w:tcPr>
          <w:tcW w:w="861" w:type="dxa"/>
          <w:shd w:val="clear" w:color="auto" w:fill="auto"/>
        </w:tcPr>
        <w:p w14:paraId="5872FBB3" w14:textId="33E829F8" w:rsidR="00527BD4" w:rsidRPr="007709EF" w:rsidRDefault="001E00E9" w:rsidP="00A50CF6">
          <w:pPr>
            <w:rPr>
              <w:szCs w:val="18"/>
            </w:rPr>
          </w:pPr>
          <w:r>
            <w:rPr>
              <w:szCs w:val="18"/>
            </w:rPr>
            <w:t>Betreft</w:t>
          </w:r>
          <w:r w:rsidR="007A7D9C">
            <w:rPr>
              <w:szCs w:val="18"/>
            </w:rPr>
            <w:t xml:space="preserve">  </w:t>
          </w:r>
        </w:p>
      </w:tc>
      <w:tc>
        <w:tcPr>
          <w:tcW w:w="6489" w:type="dxa"/>
          <w:shd w:val="clear" w:color="auto" w:fill="auto"/>
        </w:tcPr>
        <w:p w14:paraId="4E2EF9FD" w14:textId="1448C1E4" w:rsidR="00527BD4" w:rsidRPr="007709EF" w:rsidRDefault="007A7D9C" w:rsidP="00A50CF6">
          <w:r>
            <w:t>Evaluatierapport Wet Oneerlijke Handelspraktijken</w:t>
          </w:r>
        </w:p>
      </w:tc>
    </w:tr>
  </w:tbl>
  <w:p w14:paraId="5C265C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AFC626C">
      <w:start w:val="1"/>
      <w:numFmt w:val="bullet"/>
      <w:pStyle w:val="Lijstopsomteken"/>
      <w:lvlText w:val="•"/>
      <w:lvlJc w:val="left"/>
      <w:pPr>
        <w:tabs>
          <w:tab w:val="num" w:pos="227"/>
        </w:tabs>
        <w:ind w:left="227" w:hanging="227"/>
      </w:pPr>
      <w:rPr>
        <w:rFonts w:ascii="Verdana" w:hAnsi="Verdana" w:hint="default"/>
        <w:sz w:val="18"/>
        <w:szCs w:val="18"/>
      </w:rPr>
    </w:lvl>
    <w:lvl w:ilvl="1" w:tplc="515A8256" w:tentative="1">
      <w:start w:val="1"/>
      <w:numFmt w:val="bullet"/>
      <w:lvlText w:val="o"/>
      <w:lvlJc w:val="left"/>
      <w:pPr>
        <w:tabs>
          <w:tab w:val="num" w:pos="1440"/>
        </w:tabs>
        <w:ind w:left="1440" w:hanging="360"/>
      </w:pPr>
      <w:rPr>
        <w:rFonts w:ascii="Courier New" w:hAnsi="Courier New" w:cs="Courier New" w:hint="default"/>
      </w:rPr>
    </w:lvl>
    <w:lvl w:ilvl="2" w:tplc="982E894E" w:tentative="1">
      <w:start w:val="1"/>
      <w:numFmt w:val="bullet"/>
      <w:lvlText w:val=""/>
      <w:lvlJc w:val="left"/>
      <w:pPr>
        <w:tabs>
          <w:tab w:val="num" w:pos="2160"/>
        </w:tabs>
        <w:ind w:left="2160" w:hanging="360"/>
      </w:pPr>
      <w:rPr>
        <w:rFonts w:ascii="Wingdings" w:hAnsi="Wingdings" w:hint="default"/>
      </w:rPr>
    </w:lvl>
    <w:lvl w:ilvl="3" w:tplc="163EB986" w:tentative="1">
      <w:start w:val="1"/>
      <w:numFmt w:val="bullet"/>
      <w:lvlText w:val=""/>
      <w:lvlJc w:val="left"/>
      <w:pPr>
        <w:tabs>
          <w:tab w:val="num" w:pos="2880"/>
        </w:tabs>
        <w:ind w:left="2880" w:hanging="360"/>
      </w:pPr>
      <w:rPr>
        <w:rFonts w:ascii="Symbol" w:hAnsi="Symbol" w:hint="default"/>
      </w:rPr>
    </w:lvl>
    <w:lvl w:ilvl="4" w:tplc="02A6F7EC" w:tentative="1">
      <w:start w:val="1"/>
      <w:numFmt w:val="bullet"/>
      <w:lvlText w:val="o"/>
      <w:lvlJc w:val="left"/>
      <w:pPr>
        <w:tabs>
          <w:tab w:val="num" w:pos="3600"/>
        </w:tabs>
        <w:ind w:left="3600" w:hanging="360"/>
      </w:pPr>
      <w:rPr>
        <w:rFonts w:ascii="Courier New" w:hAnsi="Courier New" w:cs="Courier New" w:hint="default"/>
      </w:rPr>
    </w:lvl>
    <w:lvl w:ilvl="5" w:tplc="DAF0BF52" w:tentative="1">
      <w:start w:val="1"/>
      <w:numFmt w:val="bullet"/>
      <w:lvlText w:val=""/>
      <w:lvlJc w:val="left"/>
      <w:pPr>
        <w:tabs>
          <w:tab w:val="num" w:pos="4320"/>
        </w:tabs>
        <w:ind w:left="4320" w:hanging="360"/>
      </w:pPr>
      <w:rPr>
        <w:rFonts w:ascii="Wingdings" w:hAnsi="Wingdings" w:hint="default"/>
      </w:rPr>
    </w:lvl>
    <w:lvl w:ilvl="6" w:tplc="40C8AD66" w:tentative="1">
      <w:start w:val="1"/>
      <w:numFmt w:val="bullet"/>
      <w:lvlText w:val=""/>
      <w:lvlJc w:val="left"/>
      <w:pPr>
        <w:tabs>
          <w:tab w:val="num" w:pos="5040"/>
        </w:tabs>
        <w:ind w:left="5040" w:hanging="360"/>
      </w:pPr>
      <w:rPr>
        <w:rFonts w:ascii="Symbol" w:hAnsi="Symbol" w:hint="default"/>
      </w:rPr>
    </w:lvl>
    <w:lvl w:ilvl="7" w:tplc="A06A9EC8" w:tentative="1">
      <w:start w:val="1"/>
      <w:numFmt w:val="bullet"/>
      <w:lvlText w:val="o"/>
      <w:lvlJc w:val="left"/>
      <w:pPr>
        <w:tabs>
          <w:tab w:val="num" w:pos="5760"/>
        </w:tabs>
        <w:ind w:left="5760" w:hanging="360"/>
      </w:pPr>
      <w:rPr>
        <w:rFonts w:ascii="Courier New" w:hAnsi="Courier New" w:cs="Courier New" w:hint="default"/>
      </w:rPr>
    </w:lvl>
    <w:lvl w:ilvl="8" w:tplc="E7E4AF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60A672">
      <w:start w:val="1"/>
      <w:numFmt w:val="bullet"/>
      <w:pStyle w:val="Lijstopsomteken2"/>
      <w:lvlText w:val="–"/>
      <w:lvlJc w:val="left"/>
      <w:pPr>
        <w:tabs>
          <w:tab w:val="num" w:pos="227"/>
        </w:tabs>
        <w:ind w:left="227" w:firstLine="0"/>
      </w:pPr>
      <w:rPr>
        <w:rFonts w:ascii="Verdana" w:hAnsi="Verdana" w:hint="default"/>
      </w:rPr>
    </w:lvl>
    <w:lvl w:ilvl="1" w:tplc="E850CF4A" w:tentative="1">
      <w:start w:val="1"/>
      <w:numFmt w:val="bullet"/>
      <w:lvlText w:val="o"/>
      <w:lvlJc w:val="left"/>
      <w:pPr>
        <w:tabs>
          <w:tab w:val="num" w:pos="1440"/>
        </w:tabs>
        <w:ind w:left="1440" w:hanging="360"/>
      </w:pPr>
      <w:rPr>
        <w:rFonts w:ascii="Courier New" w:hAnsi="Courier New" w:cs="Courier New" w:hint="default"/>
      </w:rPr>
    </w:lvl>
    <w:lvl w:ilvl="2" w:tplc="EFB8287C" w:tentative="1">
      <w:start w:val="1"/>
      <w:numFmt w:val="bullet"/>
      <w:lvlText w:val=""/>
      <w:lvlJc w:val="left"/>
      <w:pPr>
        <w:tabs>
          <w:tab w:val="num" w:pos="2160"/>
        </w:tabs>
        <w:ind w:left="2160" w:hanging="360"/>
      </w:pPr>
      <w:rPr>
        <w:rFonts w:ascii="Wingdings" w:hAnsi="Wingdings" w:hint="default"/>
      </w:rPr>
    </w:lvl>
    <w:lvl w:ilvl="3" w:tplc="A11C4954" w:tentative="1">
      <w:start w:val="1"/>
      <w:numFmt w:val="bullet"/>
      <w:lvlText w:val=""/>
      <w:lvlJc w:val="left"/>
      <w:pPr>
        <w:tabs>
          <w:tab w:val="num" w:pos="2880"/>
        </w:tabs>
        <w:ind w:left="2880" w:hanging="360"/>
      </w:pPr>
      <w:rPr>
        <w:rFonts w:ascii="Symbol" w:hAnsi="Symbol" w:hint="default"/>
      </w:rPr>
    </w:lvl>
    <w:lvl w:ilvl="4" w:tplc="AA3409CE" w:tentative="1">
      <w:start w:val="1"/>
      <w:numFmt w:val="bullet"/>
      <w:lvlText w:val="o"/>
      <w:lvlJc w:val="left"/>
      <w:pPr>
        <w:tabs>
          <w:tab w:val="num" w:pos="3600"/>
        </w:tabs>
        <w:ind w:left="3600" w:hanging="360"/>
      </w:pPr>
      <w:rPr>
        <w:rFonts w:ascii="Courier New" w:hAnsi="Courier New" w:cs="Courier New" w:hint="default"/>
      </w:rPr>
    </w:lvl>
    <w:lvl w:ilvl="5" w:tplc="69F8BB52" w:tentative="1">
      <w:start w:val="1"/>
      <w:numFmt w:val="bullet"/>
      <w:lvlText w:val=""/>
      <w:lvlJc w:val="left"/>
      <w:pPr>
        <w:tabs>
          <w:tab w:val="num" w:pos="4320"/>
        </w:tabs>
        <w:ind w:left="4320" w:hanging="360"/>
      </w:pPr>
      <w:rPr>
        <w:rFonts w:ascii="Wingdings" w:hAnsi="Wingdings" w:hint="default"/>
      </w:rPr>
    </w:lvl>
    <w:lvl w:ilvl="6" w:tplc="EDAEE3F6" w:tentative="1">
      <w:start w:val="1"/>
      <w:numFmt w:val="bullet"/>
      <w:lvlText w:val=""/>
      <w:lvlJc w:val="left"/>
      <w:pPr>
        <w:tabs>
          <w:tab w:val="num" w:pos="5040"/>
        </w:tabs>
        <w:ind w:left="5040" w:hanging="360"/>
      </w:pPr>
      <w:rPr>
        <w:rFonts w:ascii="Symbol" w:hAnsi="Symbol" w:hint="default"/>
      </w:rPr>
    </w:lvl>
    <w:lvl w:ilvl="7" w:tplc="EBC239DE" w:tentative="1">
      <w:start w:val="1"/>
      <w:numFmt w:val="bullet"/>
      <w:lvlText w:val="o"/>
      <w:lvlJc w:val="left"/>
      <w:pPr>
        <w:tabs>
          <w:tab w:val="num" w:pos="5760"/>
        </w:tabs>
        <w:ind w:left="5760" w:hanging="360"/>
      </w:pPr>
      <w:rPr>
        <w:rFonts w:ascii="Courier New" w:hAnsi="Courier New" w:cs="Courier New" w:hint="default"/>
      </w:rPr>
    </w:lvl>
    <w:lvl w:ilvl="8" w:tplc="7CAAEB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9250C"/>
    <w:multiLevelType w:val="hybridMultilevel"/>
    <w:tmpl w:val="4330D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9E12AE"/>
    <w:multiLevelType w:val="hybridMultilevel"/>
    <w:tmpl w:val="4330D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5333361">
    <w:abstractNumId w:val="10"/>
  </w:num>
  <w:num w:numId="2" w16cid:durableId="1203135562">
    <w:abstractNumId w:val="7"/>
  </w:num>
  <w:num w:numId="3" w16cid:durableId="1979601844">
    <w:abstractNumId w:val="6"/>
  </w:num>
  <w:num w:numId="4" w16cid:durableId="1761678209">
    <w:abstractNumId w:val="5"/>
  </w:num>
  <w:num w:numId="5" w16cid:durableId="1246184624">
    <w:abstractNumId w:val="4"/>
  </w:num>
  <w:num w:numId="6" w16cid:durableId="888490823">
    <w:abstractNumId w:val="8"/>
  </w:num>
  <w:num w:numId="7" w16cid:durableId="1138109482">
    <w:abstractNumId w:val="3"/>
  </w:num>
  <w:num w:numId="8" w16cid:durableId="264386333">
    <w:abstractNumId w:val="2"/>
  </w:num>
  <w:num w:numId="9" w16cid:durableId="1300113095">
    <w:abstractNumId w:val="1"/>
  </w:num>
  <w:num w:numId="10" w16cid:durableId="2068259837">
    <w:abstractNumId w:val="0"/>
  </w:num>
  <w:num w:numId="11" w16cid:durableId="2116099018">
    <w:abstractNumId w:val="9"/>
  </w:num>
  <w:num w:numId="12" w16cid:durableId="1182863478">
    <w:abstractNumId w:val="11"/>
  </w:num>
  <w:num w:numId="13" w16cid:durableId="1308970499">
    <w:abstractNumId w:val="15"/>
  </w:num>
  <w:num w:numId="14" w16cid:durableId="254747475">
    <w:abstractNumId w:val="12"/>
  </w:num>
  <w:num w:numId="15" w16cid:durableId="28800271">
    <w:abstractNumId w:val="14"/>
  </w:num>
  <w:num w:numId="16" w16cid:durableId="21046448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A0D"/>
    <w:rsid w:val="00013862"/>
    <w:rsid w:val="00016012"/>
    <w:rsid w:val="00020189"/>
    <w:rsid w:val="00020EE4"/>
    <w:rsid w:val="00023E8D"/>
    <w:rsid w:val="00023E9A"/>
    <w:rsid w:val="000301C7"/>
    <w:rsid w:val="00033CDD"/>
    <w:rsid w:val="00034A84"/>
    <w:rsid w:val="00035E67"/>
    <w:rsid w:val="000366F3"/>
    <w:rsid w:val="0006024D"/>
    <w:rsid w:val="00064021"/>
    <w:rsid w:val="000677A3"/>
    <w:rsid w:val="00071F28"/>
    <w:rsid w:val="00074079"/>
    <w:rsid w:val="00092799"/>
    <w:rsid w:val="00092C5F"/>
    <w:rsid w:val="00094DE7"/>
    <w:rsid w:val="00096680"/>
    <w:rsid w:val="000A0F36"/>
    <w:rsid w:val="000A174A"/>
    <w:rsid w:val="000A3E0A"/>
    <w:rsid w:val="000A65AC"/>
    <w:rsid w:val="000B7281"/>
    <w:rsid w:val="000B7FAB"/>
    <w:rsid w:val="000C0163"/>
    <w:rsid w:val="000C1BA1"/>
    <w:rsid w:val="000C27E6"/>
    <w:rsid w:val="000C3EA9"/>
    <w:rsid w:val="000D0225"/>
    <w:rsid w:val="000D0D61"/>
    <w:rsid w:val="000D73D7"/>
    <w:rsid w:val="000E7895"/>
    <w:rsid w:val="000F1558"/>
    <w:rsid w:val="000F161D"/>
    <w:rsid w:val="000F498F"/>
    <w:rsid w:val="00121BF0"/>
    <w:rsid w:val="00123704"/>
    <w:rsid w:val="001270C7"/>
    <w:rsid w:val="00127E30"/>
    <w:rsid w:val="00131380"/>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00E9"/>
    <w:rsid w:val="001E141A"/>
    <w:rsid w:val="001E34C6"/>
    <w:rsid w:val="001E5581"/>
    <w:rsid w:val="001E6117"/>
    <w:rsid w:val="001F3C70"/>
    <w:rsid w:val="00200D88"/>
    <w:rsid w:val="00201F68"/>
    <w:rsid w:val="00212F2A"/>
    <w:rsid w:val="00214F2B"/>
    <w:rsid w:val="00217880"/>
    <w:rsid w:val="00222D66"/>
    <w:rsid w:val="00224A8A"/>
    <w:rsid w:val="00225022"/>
    <w:rsid w:val="0022610B"/>
    <w:rsid w:val="002309A8"/>
    <w:rsid w:val="00236CFE"/>
    <w:rsid w:val="002428E3"/>
    <w:rsid w:val="00243031"/>
    <w:rsid w:val="00246688"/>
    <w:rsid w:val="00260BAF"/>
    <w:rsid w:val="002650F7"/>
    <w:rsid w:val="002720A9"/>
    <w:rsid w:val="00273F3B"/>
    <w:rsid w:val="00274DB7"/>
    <w:rsid w:val="00275339"/>
    <w:rsid w:val="00275984"/>
    <w:rsid w:val="00280F74"/>
    <w:rsid w:val="00286998"/>
    <w:rsid w:val="002917BF"/>
    <w:rsid w:val="00291AB7"/>
    <w:rsid w:val="0029422B"/>
    <w:rsid w:val="002B153C"/>
    <w:rsid w:val="002B52FC"/>
    <w:rsid w:val="002C2830"/>
    <w:rsid w:val="002C46DC"/>
    <w:rsid w:val="002D001A"/>
    <w:rsid w:val="002D28E2"/>
    <w:rsid w:val="002D317B"/>
    <w:rsid w:val="002D3587"/>
    <w:rsid w:val="002D502D"/>
    <w:rsid w:val="002E0F69"/>
    <w:rsid w:val="002F5147"/>
    <w:rsid w:val="002F7ABD"/>
    <w:rsid w:val="00312597"/>
    <w:rsid w:val="00321312"/>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24FD"/>
    <w:rsid w:val="00383DA1"/>
    <w:rsid w:val="00385F30"/>
    <w:rsid w:val="00390333"/>
    <w:rsid w:val="0039201D"/>
    <w:rsid w:val="00393696"/>
    <w:rsid w:val="00393963"/>
    <w:rsid w:val="00395575"/>
    <w:rsid w:val="00395672"/>
    <w:rsid w:val="003A06C8"/>
    <w:rsid w:val="003A0D7C"/>
    <w:rsid w:val="003A1B16"/>
    <w:rsid w:val="003A397A"/>
    <w:rsid w:val="003A5290"/>
    <w:rsid w:val="003B0155"/>
    <w:rsid w:val="003B7EE7"/>
    <w:rsid w:val="003C2CCB"/>
    <w:rsid w:val="003C4166"/>
    <w:rsid w:val="003C4A48"/>
    <w:rsid w:val="003D39EC"/>
    <w:rsid w:val="003E3DD5"/>
    <w:rsid w:val="003F07C6"/>
    <w:rsid w:val="003F1F6B"/>
    <w:rsid w:val="003F3757"/>
    <w:rsid w:val="003F38BD"/>
    <w:rsid w:val="003F44B7"/>
    <w:rsid w:val="004008E9"/>
    <w:rsid w:val="00403659"/>
    <w:rsid w:val="00413D48"/>
    <w:rsid w:val="00414E48"/>
    <w:rsid w:val="0042619F"/>
    <w:rsid w:val="00427954"/>
    <w:rsid w:val="00441AC2"/>
    <w:rsid w:val="0044249B"/>
    <w:rsid w:val="0045023C"/>
    <w:rsid w:val="00451647"/>
    <w:rsid w:val="00451A5B"/>
    <w:rsid w:val="00452BCD"/>
    <w:rsid w:val="00452CEA"/>
    <w:rsid w:val="00463D3C"/>
    <w:rsid w:val="00465B52"/>
    <w:rsid w:val="0046708E"/>
    <w:rsid w:val="004708E7"/>
    <w:rsid w:val="00472A65"/>
    <w:rsid w:val="00474463"/>
    <w:rsid w:val="00474B75"/>
    <w:rsid w:val="00481085"/>
    <w:rsid w:val="00483984"/>
    <w:rsid w:val="00483F0B"/>
    <w:rsid w:val="00486354"/>
    <w:rsid w:val="00486FD8"/>
    <w:rsid w:val="00494237"/>
    <w:rsid w:val="00496319"/>
    <w:rsid w:val="00497279"/>
    <w:rsid w:val="004A670A"/>
    <w:rsid w:val="004B5465"/>
    <w:rsid w:val="004B70F0"/>
    <w:rsid w:val="004B7F21"/>
    <w:rsid w:val="004D505E"/>
    <w:rsid w:val="004D72CA"/>
    <w:rsid w:val="004E2242"/>
    <w:rsid w:val="004E505E"/>
    <w:rsid w:val="004F2780"/>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5F80"/>
    <w:rsid w:val="0057620F"/>
    <w:rsid w:val="005819CE"/>
    <w:rsid w:val="0058298D"/>
    <w:rsid w:val="00584BAC"/>
    <w:rsid w:val="00593C2B"/>
    <w:rsid w:val="00595231"/>
    <w:rsid w:val="00596166"/>
    <w:rsid w:val="00597F64"/>
    <w:rsid w:val="005A207F"/>
    <w:rsid w:val="005A2F35"/>
    <w:rsid w:val="005B3814"/>
    <w:rsid w:val="005B463E"/>
    <w:rsid w:val="005B4CB1"/>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27F8"/>
    <w:rsid w:val="00653606"/>
    <w:rsid w:val="006537A1"/>
    <w:rsid w:val="006610E9"/>
    <w:rsid w:val="00661591"/>
    <w:rsid w:val="006659E9"/>
    <w:rsid w:val="0066632F"/>
    <w:rsid w:val="00674A89"/>
    <w:rsid w:val="00674F3D"/>
    <w:rsid w:val="00685545"/>
    <w:rsid w:val="006864B3"/>
    <w:rsid w:val="00691B1F"/>
    <w:rsid w:val="00692D64"/>
    <w:rsid w:val="00695903"/>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6987"/>
    <w:rsid w:val="0073720D"/>
    <w:rsid w:val="00737507"/>
    <w:rsid w:val="00740712"/>
    <w:rsid w:val="007426AA"/>
    <w:rsid w:val="00742AB9"/>
    <w:rsid w:val="00751A6A"/>
    <w:rsid w:val="00754FBF"/>
    <w:rsid w:val="007709EF"/>
    <w:rsid w:val="00783559"/>
    <w:rsid w:val="0079551B"/>
    <w:rsid w:val="00797AA5"/>
    <w:rsid w:val="007A26BD"/>
    <w:rsid w:val="007A4105"/>
    <w:rsid w:val="007A7D9C"/>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765"/>
    <w:rsid w:val="00821FC1"/>
    <w:rsid w:val="00823AE2"/>
    <w:rsid w:val="00827562"/>
    <w:rsid w:val="0083178B"/>
    <w:rsid w:val="00833695"/>
    <w:rsid w:val="008336B7"/>
    <w:rsid w:val="00833A8E"/>
    <w:rsid w:val="0084052A"/>
    <w:rsid w:val="00842CD8"/>
    <w:rsid w:val="008431FA"/>
    <w:rsid w:val="00846BAA"/>
    <w:rsid w:val="00847444"/>
    <w:rsid w:val="008505F8"/>
    <w:rsid w:val="008547BA"/>
    <w:rsid w:val="008553C7"/>
    <w:rsid w:val="00857FEB"/>
    <w:rsid w:val="008601AF"/>
    <w:rsid w:val="00872271"/>
    <w:rsid w:val="00883137"/>
    <w:rsid w:val="008901D2"/>
    <w:rsid w:val="008902F5"/>
    <w:rsid w:val="008A1F5D"/>
    <w:rsid w:val="008A28F5"/>
    <w:rsid w:val="008B1198"/>
    <w:rsid w:val="008B3471"/>
    <w:rsid w:val="008B3929"/>
    <w:rsid w:val="008B4125"/>
    <w:rsid w:val="008B4CB3"/>
    <w:rsid w:val="008B567B"/>
    <w:rsid w:val="008B7B24"/>
    <w:rsid w:val="008C11BE"/>
    <w:rsid w:val="008C29E3"/>
    <w:rsid w:val="008C356D"/>
    <w:rsid w:val="008E0B3F"/>
    <w:rsid w:val="008E49AD"/>
    <w:rsid w:val="008E698E"/>
    <w:rsid w:val="008F2584"/>
    <w:rsid w:val="008F3246"/>
    <w:rsid w:val="008F3C1B"/>
    <w:rsid w:val="008F508C"/>
    <w:rsid w:val="0090271B"/>
    <w:rsid w:val="00910642"/>
    <w:rsid w:val="00910DDF"/>
    <w:rsid w:val="00912422"/>
    <w:rsid w:val="00912E56"/>
    <w:rsid w:val="009143D7"/>
    <w:rsid w:val="00930B13"/>
    <w:rsid w:val="009311C8"/>
    <w:rsid w:val="00933376"/>
    <w:rsid w:val="00933A2F"/>
    <w:rsid w:val="00954ED4"/>
    <w:rsid w:val="00970035"/>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7C02"/>
    <w:rsid w:val="00A21E76"/>
    <w:rsid w:val="00A23BC8"/>
    <w:rsid w:val="00A26532"/>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4CF0"/>
    <w:rsid w:val="00AE7F68"/>
    <w:rsid w:val="00AF2321"/>
    <w:rsid w:val="00AF52F6"/>
    <w:rsid w:val="00AF52FD"/>
    <w:rsid w:val="00AF54A8"/>
    <w:rsid w:val="00AF6F49"/>
    <w:rsid w:val="00AF7237"/>
    <w:rsid w:val="00B0043A"/>
    <w:rsid w:val="00B00D75"/>
    <w:rsid w:val="00B06DB4"/>
    <w:rsid w:val="00B070CB"/>
    <w:rsid w:val="00B11DD6"/>
    <w:rsid w:val="00B12456"/>
    <w:rsid w:val="00B145F0"/>
    <w:rsid w:val="00B259C8"/>
    <w:rsid w:val="00B26CCF"/>
    <w:rsid w:val="00B3000B"/>
    <w:rsid w:val="00B30FC2"/>
    <w:rsid w:val="00B331A2"/>
    <w:rsid w:val="00B425F0"/>
    <w:rsid w:val="00B42DFA"/>
    <w:rsid w:val="00B531DD"/>
    <w:rsid w:val="00B55014"/>
    <w:rsid w:val="00B62232"/>
    <w:rsid w:val="00B70BF3"/>
    <w:rsid w:val="00B71DC2"/>
    <w:rsid w:val="00B91CFC"/>
    <w:rsid w:val="00B9300F"/>
    <w:rsid w:val="00B93893"/>
    <w:rsid w:val="00B96597"/>
    <w:rsid w:val="00BA11F9"/>
    <w:rsid w:val="00BA129E"/>
    <w:rsid w:val="00BA6EB2"/>
    <w:rsid w:val="00BA7E0A"/>
    <w:rsid w:val="00BC3B53"/>
    <w:rsid w:val="00BC3B96"/>
    <w:rsid w:val="00BC4AE3"/>
    <w:rsid w:val="00BC5B28"/>
    <w:rsid w:val="00BD5549"/>
    <w:rsid w:val="00BE3F88"/>
    <w:rsid w:val="00BE4756"/>
    <w:rsid w:val="00BE5ED9"/>
    <w:rsid w:val="00BE625B"/>
    <w:rsid w:val="00BE7B41"/>
    <w:rsid w:val="00C03762"/>
    <w:rsid w:val="00C15A91"/>
    <w:rsid w:val="00C206F1"/>
    <w:rsid w:val="00C217E1"/>
    <w:rsid w:val="00C219B1"/>
    <w:rsid w:val="00C4015B"/>
    <w:rsid w:val="00C40C60"/>
    <w:rsid w:val="00C5258E"/>
    <w:rsid w:val="00C530C9"/>
    <w:rsid w:val="00C619A7"/>
    <w:rsid w:val="00C73D5F"/>
    <w:rsid w:val="00C8584E"/>
    <w:rsid w:val="00C94341"/>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066"/>
    <w:rsid w:val="00D17AF8"/>
    <w:rsid w:val="00D21E4B"/>
    <w:rsid w:val="00D23522"/>
    <w:rsid w:val="00D264D6"/>
    <w:rsid w:val="00D33BF0"/>
    <w:rsid w:val="00D33DE0"/>
    <w:rsid w:val="00D36447"/>
    <w:rsid w:val="00D4524C"/>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37A90"/>
    <w:rsid w:val="00E51469"/>
    <w:rsid w:val="00E634E3"/>
    <w:rsid w:val="00E64C97"/>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0906"/>
    <w:rsid w:val="00ED539E"/>
    <w:rsid w:val="00ED62CF"/>
    <w:rsid w:val="00EE0392"/>
    <w:rsid w:val="00EE4A1F"/>
    <w:rsid w:val="00EE4C2D"/>
    <w:rsid w:val="00EF1B5A"/>
    <w:rsid w:val="00EF24FB"/>
    <w:rsid w:val="00EF2CCA"/>
    <w:rsid w:val="00EF495B"/>
    <w:rsid w:val="00EF5F4C"/>
    <w:rsid w:val="00EF60DC"/>
    <w:rsid w:val="00F00F54"/>
    <w:rsid w:val="00F03963"/>
    <w:rsid w:val="00F11068"/>
    <w:rsid w:val="00F1256D"/>
    <w:rsid w:val="00F13A4E"/>
    <w:rsid w:val="00F16AF9"/>
    <w:rsid w:val="00F172BB"/>
    <w:rsid w:val="00F17B10"/>
    <w:rsid w:val="00F21BEF"/>
    <w:rsid w:val="00F2315B"/>
    <w:rsid w:val="00F247A0"/>
    <w:rsid w:val="00F33C58"/>
    <w:rsid w:val="00F41A6F"/>
    <w:rsid w:val="00F45A25"/>
    <w:rsid w:val="00F50F86"/>
    <w:rsid w:val="00F53F91"/>
    <w:rsid w:val="00F61569"/>
    <w:rsid w:val="00F61A72"/>
    <w:rsid w:val="00F62B67"/>
    <w:rsid w:val="00F630A6"/>
    <w:rsid w:val="00F66F13"/>
    <w:rsid w:val="00F71F9E"/>
    <w:rsid w:val="00F74073"/>
    <w:rsid w:val="00F7410E"/>
    <w:rsid w:val="00F75603"/>
    <w:rsid w:val="00F845B4"/>
    <w:rsid w:val="00F863CC"/>
    <w:rsid w:val="00F8713B"/>
    <w:rsid w:val="00F90A14"/>
    <w:rsid w:val="00F93F9E"/>
    <w:rsid w:val="00FA2CD7"/>
    <w:rsid w:val="00FB06ED"/>
    <w:rsid w:val="00FB12CC"/>
    <w:rsid w:val="00FC02F0"/>
    <w:rsid w:val="00FC3165"/>
    <w:rsid w:val="00FC36AB"/>
    <w:rsid w:val="00FC4300"/>
    <w:rsid w:val="00FC7F66"/>
    <w:rsid w:val="00FD5776"/>
    <w:rsid w:val="00FE1CB6"/>
    <w:rsid w:val="00FE486B"/>
    <w:rsid w:val="00FE4F08"/>
    <w:rsid w:val="00FF192E"/>
    <w:rsid w:val="00FF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2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27562"/>
    <w:rPr>
      <w:vertAlign w:val="superscript"/>
    </w:rPr>
  </w:style>
  <w:style w:type="paragraph" w:styleId="Lijstalinea">
    <w:name w:val="List Paragraph"/>
    <w:basedOn w:val="Standaard"/>
    <w:uiPriority w:val="34"/>
    <w:qFormat/>
    <w:rsid w:val="006527F8"/>
    <w:pPr>
      <w:ind w:left="720"/>
      <w:contextualSpacing/>
    </w:pPr>
  </w:style>
  <w:style w:type="character" w:styleId="Verwijzingopmerking">
    <w:name w:val="annotation reference"/>
    <w:basedOn w:val="Standaardalinea-lettertype"/>
    <w:semiHidden/>
    <w:unhideWhenUsed/>
    <w:rsid w:val="00EE0392"/>
    <w:rPr>
      <w:sz w:val="16"/>
      <w:szCs w:val="16"/>
    </w:rPr>
  </w:style>
  <w:style w:type="paragraph" w:styleId="Tekstopmerking">
    <w:name w:val="annotation text"/>
    <w:basedOn w:val="Standaard"/>
    <w:link w:val="TekstopmerkingChar"/>
    <w:unhideWhenUsed/>
    <w:rsid w:val="00EE0392"/>
    <w:pPr>
      <w:spacing w:line="240" w:lineRule="auto"/>
    </w:pPr>
    <w:rPr>
      <w:sz w:val="20"/>
      <w:szCs w:val="20"/>
    </w:rPr>
  </w:style>
  <w:style w:type="character" w:customStyle="1" w:styleId="TekstopmerkingChar">
    <w:name w:val="Tekst opmerking Char"/>
    <w:basedOn w:val="Standaardalinea-lettertype"/>
    <w:link w:val="Tekstopmerking"/>
    <w:rsid w:val="00EE039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E0392"/>
    <w:rPr>
      <w:b/>
      <w:bCs/>
    </w:rPr>
  </w:style>
  <w:style w:type="character" w:customStyle="1" w:styleId="OnderwerpvanopmerkingChar">
    <w:name w:val="Onderwerp van opmerking Char"/>
    <w:basedOn w:val="TekstopmerkingChar"/>
    <w:link w:val="Onderwerpvanopmerking"/>
    <w:semiHidden/>
    <w:rsid w:val="00EE0392"/>
    <w:rPr>
      <w:rFonts w:ascii="Verdana" w:hAnsi="Verdana"/>
      <w:b/>
      <w:bCs/>
      <w:lang w:val="nl-NL" w:eastAsia="nl-NL"/>
    </w:rPr>
  </w:style>
  <w:style w:type="paragraph" w:styleId="Revisie">
    <w:name w:val="Revision"/>
    <w:hidden/>
    <w:uiPriority w:val="99"/>
    <w:semiHidden/>
    <w:rsid w:val="00ED090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1376</ap:Words>
  <ap:Characters>7573</ap:Characters>
  <ap:DocSecurity>0</ap:DocSecurity>
  <ap:Lines>63</ap:Lines>
  <ap:Paragraphs>17</ap:Paragraphs>
  <ap:ScaleCrop>false</ap:ScaleCrop>
  <ap:LinksUpToDate>false</ap:LinksUpToDate>
  <ap:CharactersWithSpaces>8932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2025-07-01T08:48:00.0000000Z</dcterms:created>
  <dcterms:modified xsi:type="dcterms:W3CDTF">2025-07-01T08:48:00.0000000Z</dcterms:modified>
  <dc:description>------------------------</dc:description>
  <dc:subject/>
  <keywords/>
  <version/>
  <category/>
</coreProperties>
</file>