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6CA8" w:rsidRDefault="00696CA8" w14:paraId="56707B63" w14:textId="77777777"/>
    <w:p w:rsidR="00366578" w:rsidP="00366578" w:rsidRDefault="00366578" w14:paraId="04E6D5DA" w14:textId="3307AA4A">
      <w:pPr>
        <w:pStyle w:val="broodtekst"/>
      </w:pPr>
      <w:r>
        <w:t>Georganiseerde, ondermijnende criminaliteit heeft een grote ontwrichtende impact op onze samenleving. H</w:t>
      </w:r>
      <w:r w:rsidR="00D63328">
        <w:t xml:space="preserve">et </w:t>
      </w:r>
      <w:r>
        <w:t>financieel gewin</w:t>
      </w:r>
      <w:r w:rsidR="00D63328">
        <w:t xml:space="preserve"> is hierbij</w:t>
      </w:r>
      <w:r>
        <w:t xml:space="preserve"> het onderliggende motief voor criminelen.</w:t>
      </w:r>
      <w:r w:rsidR="00EF21E9">
        <w:t xml:space="preserve"> In nauwe samenwerking met publieke en private partners wordt daarom ingezet </w:t>
      </w:r>
      <w:r>
        <w:t xml:space="preserve">op het doorbreken van het criminele verdienmodel en het terugdringen van criminele geldstromen. Dit betreft een fundamenteel onderdeel van de aanpak van de georganiseerde, ondermijnende criminaliteit. </w:t>
      </w:r>
      <w:r w:rsidR="00B87CD1">
        <w:t>He</w:t>
      </w:r>
      <w:r>
        <w:t>t raakt criminelen</w:t>
      </w:r>
      <w:r w:rsidR="00EF21E9">
        <w:t xml:space="preserve"> namelijk</w:t>
      </w:r>
      <w:r>
        <w:t xml:space="preserve"> exact daar waar het pijn doet, </w:t>
      </w:r>
      <w:r w:rsidR="00127C0E">
        <w:t>w</w:t>
      </w:r>
      <w:r>
        <w:t xml:space="preserve">ant geld </w:t>
      </w:r>
      <w:r w:rsidR="00F03922">
        <w:t>vormt</w:t>
      </w:r>
      <w:r>
        <w:t xml:space="preserve"> een </w:t>
      </w:r>
      <w:r w:rsidR="0043190F">
        <w:t xml:space="preserve">belangrijk </w:t>
      </w:r>
      <w:r w:rsidR="00E16606">
        <w:t>middel voor criminelen om macht en invloed uit te oefenen</w:t>
      </w:r>
      <w:r>
        <w:t xml:space="preserve">. </w:t>
      </w:r>
      <w:r w:rsidRPr="0096074E">
        <w:t xml:space="preserve">Met </w:t>
      </w:r>
      <w:r>
        <w:t xml:space="preserve">dit criminele </w:t>
      </w:r>
      <w:r w:rsidRPr="0096074E">
        <w:t xml:space="preserve">geld worden drugs, wapens en handlangers gekocht en de winsten worden ingezet voor consumptie of </w:t>
      </w:r>
      <w:r>
        <w:t>criminele</w:t>
      </w:r>
      <w:r w:rsidRPr="0096074E">
        <w:t xml:space="preserve"> investeringen in onze samenleving. </w:t>
      </w:r>
      <w:r w:rsidR="0045405E">
        <w:t xml:space="preserve">Daarom zetten we in op een allesomvattende aanpak, in de vorm van het voorkomen, verstoren en afpakken van criminele geldstromen. </w:t>
      </w:r>
    </w:p>
    <w:p w:rsidR="00366578" w:rsidP="00366578" w:rsidRDefault="00366578" w14:paraId="67C607A0" w14:textId="77777777">
      <w:pPr>
        <w:pStyle w:val="broodtekst"/>
      </w:pPr>
    </w:p>
    <w:p w:rsidR="00366578" w:rsidP="00366578" w:rsidRDefault="0045405E" w14:paraId="0B961904" w14:textId="76AB5CBD">
      <w:pPr>
        <w:pStyle w:val="broodtekst"/>
      </w:pPr>
      <w:r>
        <w:t xml:space="preserve">Om te beginnen </w:t>
      </w:r>
      <w:r w:rsidR="00EF21E9">
        <w:t xml:space="preserve">moet worden </w:t>
      </w:r>
      <w:r w:rsidR="00366578">
        <w:t xml:space="preserve">voorkomen dat illegaal verdiend geld wordt </w:t>
      </w:r>
      <w:r w:rsidR="00EF21E9">
        <w:t>mis</w:t>
      </w:r>
      <w:r w:rsidR="00366578">
        <w:t xml:space="preserve">bruikt voor investeringen in </w:t>
      </w:r>
      <w:r w:rsidR="00EF21E9">
        <w:t xml:space="preserve">legale </w:t>
      </w:r>
      <w:r w:rsidR="00366578">
        <w:t xml:space="preserve">objecten, ondernemingen en consumptiegoederen. </w:t>
      </w:r>
      <w:r w:rsidR="00A25ECE">
        <w:t xml:space="preserve">Het doorbreken van de financiële link tussen de onder- en bovenwereld staat hierbij centraal. </w:t>
      </w:r>
      <w:r w:rsidR="00366578">
        <w:t xml:space="preserve">Middels het terugdringen en verstoren van criminele geldstromen, zoals onze gezamenlijke aanpak van witwassen en </w:t>
      </w:r>
      <w:r w:rsidR="005F0A94">
        <w:t>t</w:t>
      </w:r>
      <w:r w:rsidR="00366578">
        <w:t>errorisme</w:t>
      </w:r>
      <w:r w:rsidR="005F0A94">
        <w:t>financiering</w:t>
      </w:r>
      <w:r w:rsidR="00366578">
        <w:t xml:space="preserve">, kunnen we de macht en invloed van criminelen terugdringen. Zo </w:t>
      </w:r>
      <w:r w:rsidR="008B4CBD">
        <w:t>helpen we ons financiële stelsel integer te houden en nemen de ondermijnende effecten op onze samenleving af.</w:t>
      </w:r>
    </w:p>
    <w:p w:rsidRPr="0096074E" w:rsidR="00366578" w:rsidP="00366578" w:rsidRDefault="00366578" w14:paraId="184A5ABD" w14:textId="77777777">
      <w:pPr>
        <w:pStyle w:val="broodtekst"/>
      </w:pPr>
      <w:bookmarkStart w:name="ondertekening" w:id="0"/>
      <w:bookmarkEnd w:id="0"/>
    </w:p>
    <w:p w:rsidRPr="0096074E" w:rsidR="00366578" w:rsidP="00366578" w:rsidRDefault="00366578" w14:paraId="2EB2713D" w14:textId="648B9FF2">
      <w:pPr>
        <w:pStyle w:val="broodtekst"/>
      </w:pPr>
      <w:r w:rsidRPr="0096074E">
        <w:t>De Financial Intelligence Unit-Nederland (hierna: FIU-Nederland) vervult een belangrijke rol in deze aanpak. De FIU-Nederland is in de Wet ter voorkoming van witwassen en financieren van terrorisme (</w:t>
      </w:r>
      <w:proofErr w:type="spellStart"/>
      <w:r w:rsidRPr="0096074E">
        <w:t>Wwft</w:t>
      </w:r>
      <w:proofErr w:type="spellEnd"/>
      <w:r w:rsidRPr="0096074E">
        <w:t xml:space="preserve">) namelijk aangewezen als de autoriteit waar ongebruikelijke transacties dienen te worden gemeld door </w:t>
      </w:r>
      <w:proofErr w:type="spellStart"/>
      <w:r w:rsidRPr="0096074E">
        <w:t>meldingsplichtige</w:t>
      </w:r>
      <w:proofErr w:type="spellEnd"/>
      <w:r w:rsidRPr="0096074E">
        <w:t xml:space="preserve"> instellingen. De FIU-Nederland analyseert de meldingen en brengt transacties en geldstromen in kaart die in verband kunnen worden gebracht met witwassen en onderliggende basisdelicten en het financieren van terrorisme. Ongebruikelijke transacties die door het hoofd van de FIU-Nederland </w:t>
      </w:r>
      <w:r w:rsidR="009910AE">
        <w:t xml:space="preserve">als </w:t>
      </w:r>
      <w:r w:rsidRPr="0096074E">
        <w:t>verdacht zijn verklaard, worden ter beschikking gesteld aan de diverse (bijzondere) opsporingsdiensten en inlichtingen- en veiligheidsdiensten. De FIU-Nederland vervult daarmee een belangrijke rol in het voorkomen en opsporen van misdrijven</w:t>
      </w:r>
      <w:r w:rsidR="00536171">
        <w:rPr>
          <w:rStyle w:val="Voetnootmarkering"/>
        </w:rPr>
        <w:footnoteReference w:id="1"/>
      </w:r>
      <w:r w:rsidRPr="0096074E">
        <w:t>.</w:t>
      </w:r>
    </w:p>
    <w:p w:rsidR="00366578" w:rsidP="00366578" w:rsidRDefault="00366578" w14:paraId="0EAF01DC" w14:textId="4662D731">
      <w:pPr>
        <w:pStyle w:val="broodtekst"/>
      </w:pPr>
      <w:r w:rsidRPr="0096074E">
        <w:t xml:space="preserve">Vanwege het belangrijke werk dat de FIU-Nederland verricht, bied ik uw Kamer graag, conform de memorie van toelichting bij artikel 13, aanhef en onder i van de </w:t>
      </w:r>
      <w:r w:rsidR="00FA49AB">
        <w:t>Wet ter voorkoming van witwassen en het financieren van terrorisme (</w:t>
      </w:r>
      <w:proofErr w:type="spellStart"/>
      <w:r w:rsidRPr="0096074E">
        <w:t>Wwft</w:t>
      </w:r>
      <w:proofErr w:type="spellEnd"/>
      <w:r w:rsidR="00FA49AB">
        <w:t>)</w:t>
      </w:r>
      <w:r w:rsidRPr="0096074E">
        <w:t>, het jaaroverzicht 202</w:t>
      </w:r>
      <w:r w:rsidR="00245EEE">
        <w:t>4</w:t>
      </w:r>
      <w:r w:rsidRPr="0096074E">
        <w:t xml:space="preserve"> van FIU-Nederland aan. Hieronder ga ik in op de meest belangwekkende onderwerpen in dit jaaroverzicht.</w:t>
      </w:r>
    </w:p>
    <w:p w:rsidR="00490922" w:rsidRDefault="00490922" w14:paraId="2954A8F4" w14:textId="77777777"/>
    <w:p w:rsidRPr="00C559B8" w:rsidR="00417BA4" w:rsidP="00417BA4" w:rsidRDefault="00417BA4" w14:paraId="41494225" w14:textId="77777777">
      <w:pPr>
        <w:spacing w:line="240" w:lineRule="auto"/>
        <w:rPr>
          <w:b/>
          <w:bCs/>
        </w:rPr>
      </w:pPr>
      <w:r w:rsidRPr="00C559B8">
        <w:rPr>
          <w:b/>
          <w:bCs/>
        </w:rPr>
        <w:t>Ongebruikelijke en verdacht verklaarde transacties</w:t>
      </w:r>
    </w:p>
    <w:p w:rsidR="00E330B0" w:rsidP="00E330B0" w:rsidRDefault="00E330B0" w14:paraId="07A0F35C" w14:textId="65D12274">
      <w:r>
        <w:t>In 2024 is het aantal gemelde ongebruikelijke transacties verder gestegen naar bijna 3</w:t>
      </w:r>
      <w:r w:rsidR="00674E43">
        <w:t>,</w:t>
      </w:r>
      <w:r>
        <w:t>5 miljoen, ten opzichte van 2</w:t>
      </w:r>
      <w:r w:rsidR="00674E43">
        <w:t>,</w:t>
      </w:r>
      <w:r>
        <w:t>3 miljoen gemelde ongebruikelijke transacties in 2023. Deze stijging is te verklaren door een toename in het aantal meldingen door drie meldersgroepen, namelijk</w:t>
      </w:r>
      <w:r w:rsidR="00704BE8">
        <w:t>:</w:t>
      </w:r>
      <w:r>
        <w:t xml:space="preserve"> </w:t>
      </w:r>
      <w:proofErr w:type="spellStart"/>
      <w:r>
        <w:t>payment</w:t>
      </w:r>
      <w:proofErr w:type="spellEnd"/>
      <w:r>
        <w:t xml:space="preserve"> services providers, </w:t>
      </w:r>
      <w:proofErr w:type="spellStart"/>
      <w:r>
        <w:t>cryptoexchanges</w:t>
      </w:r>
      <w:proofErr w:type="spellEnd"/>
      <w:r>
        <w:t xml:space="preserve"> en creditcardmaatschappijen. In het geval van de </w:t>
      </w:r>
      <w:proofErr w:type="spellStart"/>
      <w:r>
        <w:t>payment</w:t>
      </w:r>
      <w:proofErr w:type="spellEnd"/>
      <w:r>
        <w:t xml:space="preserve"> servi</w:t>
      </w:r>
      <w:r w:rsidR="00704BE8">
        <w:t>c</w:t>
      </w:r>
      <w:r>
        <w:t xml:space="preserve">es providers wordt de stijging van het aantal meldingen met name veroorzaakt doordat deze (internationaal opererende) sector enorm aan het groeien is, en daarmee ook het aantal transacties dat in deze sector wordt verwerkt. Voor de stijging in meldingen door </w:t>
      </w:r>
      <w:proofErr w:type="spellStart"/>
      <w:r>
        <w:t>cryptoexchanges</w:t>
      </w:r>
      <w:proofErr w:type="spellEnd"/>
      <w:r>
        <w:t xml:space="preserve"> geldt dat dit een nog relatief nieuwe meldergroep betreft (sinds 2021) en dat ook deze sector aan het groeie</w:t>
      </w:r>
      <w:r w:rsidR="00837909">
        <w:t>n</w:t>
      </w:r>
      <w:r>
        <w:t xml:space="preserve"> is. Daarnaast spelen de prijsstijgingen ook een rol. </w:t>
      </w:r>
      <w:r w:rsidR="005F0A94">
        <w:t>Vanwege</w:t>
      </w:r>
      <w:r>
        <w:t xml:space="preserve"> objectieve </w:t>
      </w:r>
      <w:r w:rsidR="005F0A94">
        <w:t>meldings</w:t>
      </w:r>
      <w:r>
        <w:t>indicatoren</w:t>
      </w:r>
      <w:r w:rsidR="00536171">
        <w:rPr>
          <w:rStyle w:val="Voetnootmarkering"/>
        </w:rPr>
        <w:footnoteReference w:id="2"/>
      </w:r>
      <w:r>
        <w:t xml:space="preserve"> leiden hogere crypto-prijzen tot meer meldingen</w:t>
      </w:r>
      <w:r w:rsidRPr="41CAE60D">
        <w:t>.</w:t>
      </w:r>
      <w:r>
        <w:t xml:space="preserve"> Deze sector meldde dan ook 95% van de ongebruikelijke transacties op basis van een objectieve indicator.</w:t>
      </w:r>
      <w:r w:rsidRPr="00C03109">
        <w:t xml:space="preserve"> </w:t>
      </w:r>
      <w:r>
        <w:t>De stijging in meldingen door de creditcardmaatschappijen wordt veroorzaakt doordat de toezichthouder de opdracht gaf om alle vormen van fraude, ook met terugwerkende kracht, te melden bij de FIU-Nederland. Hiervan is 97% gemeld op basis van de subjectieve indicator. De ongebruikelijke transacties vanuit deze meldersgroep zijn dus voor een groot deel fraude-gerelateerde transacties die vóór 2024 zijn uitgevoerd, maar pas in 2024 gemeld zijn</w:t>
      </w:r>
      <w:r w:rsidRPr="41CAE60D">
        <w:t xml:space="preserve">. </w:t>
      </w:r>
      <w:r w:rsidR="00536171">
        <w:t xml:space="preserve">Naar verwachting zal uit het jaaroverzicht 2025 blijken dat dit weer is gedaald. </w:t>
      </w:r>
    </w:p>
    <w:p w:rsidR="00704BE8" w:rsidP="00E330B0" w:rsidRDefault="00704BE8" w14:paraId="7696BA15" w14:textId="77777777"/>
    <w:p w:rsidR="00E330B0" w:rsidP="00E330B0" w:rsidRDefault="00C543D6" w14:paraId="68AEAA6E" w14:textId="13EB78B1">
      <w:pPr>
        <w:spacing w:line="240" w:lineRule="auto"/>
      </w:pPr>
      <w:r>
        <w:t>Er zijn</w:t>
      </w:r>
      <w:r w:rsidR="00E330B0">
        <w:t xml:space="preserve"> 118.408 transacties als verdacht verklaard in 2024, wat een daling betreft ten opzichte van 2023 toen er </w:t>
      </w:r>
      <w:r w:rsidRPr="00A40D39" w:rsidR="00E330B0">
        <w:t>180.578</w:t>
      </w:r>
      <w:r w:rsidR="00E330B0">
        <w:t xml:space="preserve"> transacties als verdacht werden verklaard. De FIU-Nederland </w:t>
      </w:r>
      <w:r w:rsidR="0084118C">
        <w:t>geeft aan in het jaaroverzicht dat</w:t>
      </w:r>
      <w:r w:rsidR="00E330B0">
        <w:t xml:space="preserve"> deze daling in verdacht verklaarde transacties </w:t>
      </w:r>
      <w:r w:rsidR="0084118C">
        <w:t>wordt veroorzaakt</w:t>
      </w:r>
      <w:r w:rsidR="00E330B0">
        <w:t xml:space="preserve"> </w:t>
      </w:r>
      <w:r w:rsidR="00674E43">
        <w:t xml:space="preserve">doordat er in 2023 sprake was van een uitzonderlijke situatie met één dossier met daarin meer dan vijftigduizend transacties. </w:t>
      </w:r>
      <w:r w:rsidR="00E330B0">
        <w:t xml:space="preserve"> De daling van de totale waarde van de verdacht verklaarde transacties met ruim 7 miljard euro wordt</w:t>
      </w:r>
      <w:r w:rsidR="00704BE8">
        <w:t xml:space="preserve"> hierdoor ook</w:t>
      </w:r>
      <w:r w:rsidR="00E330B0">
        <w:t xml:space="preserve"> verklaard. </w:t>
      </w:r>
    </w:p>
    <w:p w:rsidR="00E330B0" w:rsidP="00417BA4" w:rsidRDefault="00E330B0" w14:paraId="70FDB1E8" w14:textId="3390A654">
      <w:pPr>
        <w:pStyle w:val="broodtekst"/>
      </w:pPr>
    </w:p>
    <w:p w:rsidRPr="00EB1A3B" w:rsidR="00E330B0" w:rsidP="00417BA4" w:rsidRDefault="00EB1A3B" w14:paraId="65311C46" w14:textId="2ECB6516">
      <w:pPr>
        <w:pStyle w:val="broodtekst"/>
        <w:rPr>
          <w:b/>
          <w:bCs/>
        </w:rPr>
      </w:pPr>
      <w:r w:rsidRPr="00EB1A3B">
        <w:rPr>
          <w:b/>
          <w:bCs/>
        </w:rPr>
        <w:t>Belangrijke geïdentificeerde inzichten</w:t>
      </w:r>
      <w:r w:rsidR="00D825C6">
        <w:rPr>
          <w:b/>
          <w:bCs/>
        </w:rPr>
        <w:t xml:space="preserve"> door de FIU-Nederland</w:t>
      </w:r>
      <w:r w:rsidR="008976CD">
        <w:rPr>
          <w:b/>
          <w:bCs/>
        </w:rPr>
        <w:t xml:space="preserve"> in 2024</w:t>
      </w:r>
    </w:p>
    <w:p w:rsidR="00704BE8" w:rsidP="005C007D" w:rsidRDefault="00536171" w14:paraId="7199A981" w14:textId="77777777">
      <w:pPr>
        <w:pStyle w:val="broodtekst"/>
      </w:pPr>
      <w:r>
        <w:t xml:space="preserve">Naast het verdacht verklaren van ongebruikelijke transacties, brengt de FIU-Nederland ook trends en ontwikkelingen in kaart die te maken hebben met witwassen, onderliggende delicten en terrorismefinanciering. </w:t>
      </w:r>
    </w:p>
    <w:p w:rsidR="00704BE8" w:rsidP="005C007D" w:rsidRDefault="00704BE8" w14:paraId="620BF75F" w14:textId="77777777">
      <w:pPr>
        <w:pStyle w:val="broodtekst"/>
      </w:pPr>
    </w:p>
    <w:p w:rsidRPr="0042668D" w:rsidR="005C007D" w:rsidP="005C007D" w:rsidRDefault="007C726A" w14:paraId="6466CBEC" w14:textId="1A44F231">
      <w:pPr>
        <w:pStyle w:val="broodtekst"/>
      </w:pPr>
      <w:r>
        <w:t>Ten eerst</w:t>
      </w:r>
      <w:r w:rsidR="005C007D">
        <w:t>e</w:t>
      </w:r>
      <w:r>
        <w:t xml:space="preserve"> </w:t>
      </w:r>
      <w:r w:rsidR="005C007D">
        <w:t>wordt</w:t>
      </w:r>
      <w:r>
        <w:t xml:space="preserve"> h</w:t>
      </w:r>
      <w:r w:rsidR="00CC14E8">
        <w:t xml:space="preserve">et misbruiken van rechtspersonen </w:t>
      </w:r>
      <w:r w:rsidR="005C007D">
        <w:t xml:space="preserve">genoemd als </w:t>
      </w:r>
      <w:r w:rsidR="00CC14E8">
        <w:t xml:space="preserve">een ontwikkeling </w:t>
      </w:r>
      <w:r w:rsidR="00DF4244">
        <w:t xml:space="preserve">die </w:t>
      </w:r>
      <w:r w:rsidR="006166E0">
        <w:t>plaatsvindt</w:t>
      </w:r>
      <w:r w:rsidR="00CC14E8">
        <w:t xml:space="preserve"> op een steeds grotere schaal. Dit betreft zowel witwaspraktijken als het faciliteren van criminele </w:t>
      </w:r>
      <w:r w:rsidR="005467F1">
        <w:t>bedrijfs</w:t>
      </w:r>
      <w:r w:rsidR="00CC14E8">
        <w:t xml:space="preserve">processen. De FIU-Nederland noemt hierbij als voorbeeld het rechtvaardigen van het inkopen van bepaalde grondstoffen. </w:t>
      </w:r>
      <w:r w:rsidR="005C007D">
        <w:t>Op basis van de analyses in 2024 k</w:t>
      </w:r>
      <w:r w:rsidRPr="002A58DD" w:rsidR="005C007D">
        <w:t>omt</w:t>
      </w:r>
      <w:r w:rsidR="005C007D">
        <w:t xml:space="preserve"> ook</w:t>
      </w:r>
      <w:r w:rsidRPr="002A58DD" w:rsidR="005C007D">
        <w:t xml:space="preserve"> terug hoe snel en makkelijk rechtspersonen </w:t>
      </w:r>
      <w:r w:rsidR="005C007D">
        <w:t xml:space="preserve">kunnen </w:t>
      </w:r>
      <w:r w:rsidRPr="002A58DD" w:rsidR="005C007D">
        <w:t>worden opgericht om</w:t>
      </w:r>
      <w:r w:rsidR="005C007D">
        <w:t xml:space="preserve"> bijvoorbeeld</w:t>
      </w:r>
      <w:r w:rsidRPr="002A58DD" w:rsidR="005C007D">
        <w:t xml:space="preserve"> rekeningen te openen of valse facturen te versturen. </w:t>
      </w:r>
    </w:p>
    <w:p w:rsidR="00EB1A3B" w:rsidP="00417BA4" w:rsidRDefault="00EB1A3B" w14:paraId="3470CFB1" w14:textId="77777777">
      <w:pPr>
        <w:pStyle w:val="broodtekst"/>
        <w:rPr>
          <w:b/>
          <w:bCs/>
        </w:rPr>
      </w:pPr>
    </w:p>
    <w:p w:rsidRPr="005C007D" w:rsidR="005C007D" w:rsidP="00417BA4" w:rsidRDefault="00BD2B77" w14:paraId="13038085" w14:textId="0052F264">
      <w:pPr>
        <w:pStyle w:val="broodtekst"/>
      </w:pPr>
      <w:r>
        <w:t xml:space="preserve">Daarnaast </w:t>
      </w:r>
      <w:r w:rsidR="00D357BF">
        <w:t xml:space="preserve">identificeert de FIU-Nederland een toenemend risico </w:t>
      </w:r>
      <w:r w:rsidR="00647757">
        <w:t>bij</w:t>
      </w:r>
      <w:r w:rsidR="00D357BF">
        <w:t xml:space="preserve"> </w:t>
      </w:r>
      <w:proofErr w:type="spellStart"/>
      <w:r w:rsidR="00D357BF">
        <w:t>derdenbetalingen</w:t>
      </w:r>
      <w:proofErr w:type="spellEnd"/>
      <w:r w:rsidR="00D357BF">
        <w:t xml:space="preserve">. </w:t>
      </w:r>
      <w:r w:rsidRPr="002551DA" w:rsidR="00D357BF">
        <w:t xml:space="preserve">Bij </w:t>
      </w:r>
      <w:proofErr w:type="spellStart"/>
      <w:r w:rsidRPr="002551DA" w:rsidR="00D357BF">
        <w:t>derdenbetalingen</w:t>
      </w:r>
      <w:proofErr w:type="spellEnd"/>
      <w:r w:rsidRPr="41CAE60D" w:rsidR="00D357BF">
        <w:t xml:space="preserve"> </w:t>
      </w:r>
      <w:r w:rsidR="00D357BF">
        <w:t>levert een</w:t>
      </w:r>
      <w:r w:rsidRPr="002551DA" w:rsidR="00D357BF">
        <w:t xml:space="preserve"> leverancier goederen of diensten aan een afnemer, </w:t>
      </w:r>
      <w:r w:rsidR="00D357BF">
        <w:t xml:space="preserve">en doet </w:t>
      </w:r>
      <w:r w:rsidRPr="002551DA" w:rsidR="00D357BF">
        <w:t>een andere</w:t>
      </w:r>
      <w:r w:rsidR="00D357BF">
        <w:t>, de derde</w:t>
      </w:r>
      <w:r w:rsidRPr="002551DA" w:rsidR="00D357BF">
        <w:t xml:space="preserve"> partij</w:t>
      </w:r>
      <w:r w:rsidR="00D357BF">
        <w:t>, de betaling</w:t>
      </w:r>
      <w:r w:rsidRPr="41CAE60D" w:rsidR="00D357BF">
        <w:t xml:space="preserve">. </w:t>
      </w:r>
      <w:r w:rsidRPr="002551DA" w:rsidR="00D357BF">
        <w:t>Er kunnen gegronde redenen zijn waarom betalingen</w:t>
      </w:r>
      <w:r w:rsidR="00D357BF">
        <w:t xml:space="preserve"> via een dergelijke constructie</w:t>
      </w:r>
      <w:r w:rsidRPr="002551DA" w:rsidR="00D357BF">
        <w:t xml:space="preserve"> worden uitgevoerd. </w:t>
      </w:r>
      <w:r w:rsidR="00D357BF">
        <w:t xml:space="preserve">Zo kan er worden gedacht aan </w:t>
      </w:r>
      <w:r w:rsidRPr="002551DA" w:rsidR="00D357BF">
        <w:t>een afnemer</w:t>
      </w:r>
      <w:r w:rsidR="00D357BF">
        <w:t xml:space="preserve"> die is</w:t>
      </w:r>
      <w:r w:rsidRPr="002551DA" w:rsidR="00D357BF">
        <w:t xml:space="preserve"> gevestigd in een land zonder</w:t>
      </w:r>
      <w:r w:rsidR="00D357BF">
        <w:t xml:space="preserve"> een goed functionerend bancair</w:t>
      </w:r>
      <w:r w:rsidRPr="002551DA" w:rsidR="00D357BF">
        <w:t xml:space="preserve"> systeem</w:t>
      </w:r>
      <w:r w:rsidR="00D357BF">
        <w:t>, die toch de goederen wil betalen.</w:t>
      </w:r>
      <w:r w:rsidRPr="41CAE60D" w:rsidR="00D357BF">
        <w:t xml:space="preserve"> </w:t>
      </w:r>
      <w:r w:rsidR="00D357BF">
        <w:t xml:space="preserve">Er blijkt inmiddels </w:t>
      </w:r>
      <w:r w:rsidR="005F0A94">
        <w:t xml:space="preserve">wel </w:t>
      </w:r>
      <w:r w:rsidR="00D357BF">
        <w:t>dat dit soort betalingen aanzienlijke risico’s met zich kunnen meebrengen. De daadwerkelijke afnemer en/of de herkomst van de gelden zijn namelijk niet transparant.</w:t>
      </w:r>
      <w:r w:rsidR="00647757">
        <w:t xml:space="preserve"> Daardoor is het niet duidelijk of de afnemer en/of de herkomst van de gelden (mogelijk) verband houdt met criminele activiteiten gerelateerd aan witwassen, onderliggende delicten of terrorismefinanciering. De FIU-Nederland constateert in het jaaroverzicht dat rechtspersonen zich </w:t>
      </w:r>
      <w:r w:rsidR="005467F1">
        <w:t xml:space="preserve">niet altijd </w:t>
      </w:r>
      <w:r w:rsidR="00647757">
        <w:t xml:space="preserve">bewust zijn van deze risico’s bij </w:t>
      </w:r>
      <w:proofErr w:type="spellStart"/>
      <w:r w:rsidR="00647757">
        <w:t>derdenbetalingen</w:t>
      </w:r>
      <w:proofErr w:type="spellEnd"/>
      <w:r w:rsidR="00647757">
        <w:t xml:space="preserve"> (zie ook het bovenstaande inzicht). </w:t>
      </w:r>
    </w:p>
    <w:p w:rsidR="00E330B0" w:rsidP="00417BA4" w:rsidRDefault="00E330B0" w14:paraId="769A4EB0" w14:textId="77777777">
      <w:pPr>
        <w:pStyle w:val="broodtekst"/>
      </w:pPr>
    </w:p>
    <w:p w:rsidR="00A84221" w:rsidP="00417BA4" w:rsidRDefault="00A84221" w14:paraId="06A9FDA6" w14:textId="47CF3D97">
      <w:pPr>
        <w:pStyle w:val="broodtekst"/>
      </w:pPr>
      <w:r>
        <w:t xml:space="preserve">Verder </w:t>
      </w:r>
      <w:r w:rsidR="004028BD">
        <w:t>identificeert</w:t>
      </w:r>
      <w:r>
        <w:t xml:space="preserve"> de FIU-Nederland</w:t>
      </w:r>
      <w:r w:rsidR="00F36F60">
        <w:t xml:space="preserve"> in</w:t>
      </w:r>
      <w:r w:rsidR="004028BD">
        <w:t xml:space="preserve"> </w:t>
      </w:r>
      <w:r w:rsidR="00F36F60">
        <w:t xml:space="preserve">2024 </w:t>
      </w:r>
      <w:r w:rsidR="004028BD">
        <w:t>wederom</w:t>
      </w:r>
      <w:r>
        <w:t xml:space="preserve"> het risico op witwassen via vastgoed. </w:t>
      </w:r>
      <w:r w:rsidR="004028BD">
        <w:t>Ter illustratie, de FIU-NL identificeerde een criminele</w:t>
      </w:r>
      <w:r w:rsidR="008211DB">
        <w:t xml:space="preserve"> </w:t>
      </w:r>
      <w:r w:rsidR="004028BD">
        <w:t>werkwijze waarbij c</w:t>
      </w:r>
      <w:r w:rsidRPr="00A75477" w:rsidR="004028BD">
        <w:t>ontante stortingen</w:t>
      </w:r>
      <w:r w:rsidR="004028BD">
        <w:t xml:space="preserve"> van illegaal verdiend geld via </w:t>
      </w:r>
      <w:r w:rsidRPr="00A75477" w:rsidR="004028BD">
        <w:t>een versluieringstraject</w:t>
      </w:r>
      <w:r w:rsidR="004028BD">
        <w:t xml:space="preserve"> met rechtspersonen werd gebruikt om vastgoed aan te kopen. </w:t>
      </w:r>
      <w:r w:rsidR="00B31289">
        <w:t xml:space="preserve">Daarnaast wordt aangegeven dat zorgfraude een terugkerend risico blijkt </w:t>
      </w:r>
      <w:r w:rsidR="00057815">
        <w:t>en steeds complexer wordt</w:t>
      </w:r>
      <w:r w:rsidR="00B31289">
        <w:t xml:space="preserve">. </w:t>
      </w:r>
      <w:r w:rsidR="00704BE8">
        <w:t>D</w:t>
      </w:r>
      <w:r w:rsidR="00B31289">
        <w:t xml:space="preserve">e FIU-Nederland </w:t>
      </w:r>
      <w:r w:rsidR="00704BE8">
        <w:t xml:space="preserve">identificeert in 2024 een </w:t>
      </w:r>
      <w:r w:rsidR="00B31289">
        <w:t>toenemende complexiteit en verwevenheid</w:t>
      </w:r>
      <w:r w:rsidR="00722480">
        <w:t xml:space="preserve"> tussen zorgfraude en</w:t>
      </w:r>
      <w:r w:rsidR="00B31289">
        <w:t xml:space="preserve"> zware criminaliteit. Een voorbeeld is het georganiseerde misbruik dat plaatsvond met twee specifieke zorgregelingen via grote aantallen rechtspersonen.</w:t>
      </w:r>
    </w:p>
    <w:p w:rsidR="00417BA4" w:rsidP="00417BA4" w:rsidRDefault="00417BA4" w14:paraId="5A03CF96" w14:textId="77777777">
      <w:pPr>
        <w:pStyle w:val="broodtekst"/>
      </w:pPr>
    </w:p>
    <w:p w:rsidR="009072DA" w:rsidP="00E330B0" w:rsidRDefault="00417BA4" w14:paraId="6914DC05" w14:textId="77777777">
      <w:pPr>
        <w:pStyle w:val="broodtekst"/>
        <w:rPr>
          <w:b/>
          <w:bCs/>
        </w:rPr>
      </w:pPr>
      <w:r w:rsidRPr="0096074E">
        <w:rPr>
          <w:b/>
          <w:bCs/>
        </w:rPr>
        <w:t>Investeringen in de FIU-Nederland</w:t>
      </w:r>
    </w:p>
    <w:p w:rsidRPr="009072DA" w:rsidR="00E330B0" w:rsidP="00E330B0" w:rsidRDefault="00D91EC2" w14:paraId="6E84243D" w14:textId="6B51FA12">
      <w:pPr>
        <w:pStyle w:val="broodtekst"/>
        <w:rPr>
          <w:b/>
          <w:bCs/>
        </w:rPr>
      </w:pPr>
      <w:r>
        <w:t xml:space="preserve">De </w:t>
      </w:r>
      <w:r w:rsidRPr="0096074E" w:rsidR="00417BA4">
        <w:t xml:space="preserve">FIU-Nederland heeft in 2022 structurele middelen toegekend gekregen vanuit de </w:t>
      </w:r>
      <w:r w:rsidRPr="009046F1" w:rsidR="00E330B0">
        <w:t xml:space="preserve">gelden die beschikbaar zijn gesteld voor de aanpak van georganiseerde, ondermijnende criminaliteit. Dit is ingezet ten behoeve van </w:t>
      </w:r>
      <w:r w:rsidR="00E330B0">
        <w:t xml:space="preserve">het verder </w:t>
      </w:r>
      <w:r w:rsidR="00674E43">
        <w:t>verstevigen</w:t>
      </w:r>
      <w:r w:rsidR="00E330B0">
        <w:t xml:space="preserve"> van het fundament van de organisaties, waaronder </w:t>
      </w:r>
      <w:r w:rsidRPr="009046F1" w:rsidR="00E330B0">
        <w:t xml:space="preserve">personele capaciteit en investeringen in technologie. </w:t>
      </w:r>
      <w:r w:rsidR="008B0D31">
        <w:t>Sinds 2019 is de FIU-N</w:t>
      </w:r>
      <w:r w:rsidR="00113441">
        <w:t>ederland</w:t>
      </w:r>
      <w:r w:rsidR="008B0D31">
        <w:t xml:space="preserve"> bijna in omvang verdubbeld. </w:t>
      </w:r>
    </w:p>
    <w:p w:rsidR="00E330B0" w:rsidP="00E330B0" w:rsidRDefault="00E330B0" w14:paraId="5E6F1991" w14:textId="77777777"/>
    <w:p w:rsidR="00E330B0" w:rsidP="00E330B0" w:rsidRDefault="00E330B0" w14:paraId="6734AE9C" w14:textId="1FA90BB8">
      <w:r>
        <w:t>Uit het jaaroverzicht 2024 blijkt verder dat de FIU-Nederland heeft ingezet op het verbeteren van de datakwaliteit, onder meer door het ontwikkelen van op maat gemaakte meldformulieren voor specifieke meldersgroepen. Dit helpt de analyse van ongebruikelijke transacties nog verder te bevorderen</w:t>
      </w:r>
      <w:r w:rsidR="00DF4244">
        <w:t xml:space="preserve">, en maakt het doen van een melding bij de FIU-Nederland voor </w:t>
      </w:r>
      <w:proofErr w:type="spellStart"/>
      <w:r w:rsidR="00DF4244">
        <w:t>meldingsplichtige</w:t>
      </w:r>
      <w:proofErr w:type="spellEnd"/>
      <w:r w:rsidR="00DF4244">
        <w:t xml:space="preserve"> instellingen toegankelijker</w:t>
      </w:r>
      <w:r>
        <w:t xml:space="preserve">. </w:t>
      </w:r>
    </w:p>
    <w:p w:rsidRPr="0096074E" w:rsidR="00417BA4" w:rsidP="00417BA4" w:rsidRDefault="00417BA4" w14:paraId="7C1E6AA2" w14:textId="77777777">
      <w:pPr>
        <w:pStyle w:val="broodtekst"/>
      </w:pPr>
    </w:p>
    <w:p w:rsidRPr="0096074E" w:rsidR="00417BA4" w:rsidP="00417BA4" w:rsidRDefault="00785787" w14:paraId="35EDD2F2" w14:textId="3901118D">
      <w:pPr>
        <w:pStyle w:val="broodtekst"/>
        <w:rPr>
          <w:b/>
          <w:bCs/>
        </w:rPr>
      </w:pPr>
      <w:r>
        <w:rPr>
          <w:b/>
          <w:bCs/>
        </w:rPr>
        <w:t>Traject ke</w:t>
      </w:r>
      <w:r w:rsidRPr="0096074E" w:rsidR="00417BA4">
        <w:rPr>
          <w:b/>
          <w:bCs/>
        </w:rPr>
        <w:t>tenversterking verdachte transacties</w:t>
      </w:r>
    </w:p>
    <w:p w:rsidR="007B214F" w:rsidP="00400A32" w:rsidRDefault="00400A32" w14:paraId="4881357A" w14:textId="27D284E1">
      <w:r>
        <w:t xml:space="preserve">Binnen het Traject Ketenversterking verdachte transacties is in 2024 een belangrijke mijlpaal bereikt. Dit traject ziet op </w:t>
      </w:r>
      <w:r w:rsidRPr="00E745D9">
        <w:t>het versterken van de effectiviteit van de meldketen:</w:t>
      </w:r>
      <w:r>
        <w:t xml:space="preserve"> namelijk </w:t>
      </w:r>
      <w:r w:rsidRPr="00E745D9">
        <w:t xml:space="preserve">meer inzicht krijgen in het </w:t>
      </w:r>
      <w:r w:rsidR="00046A27">
        <w:t>opvolgen</w:t>
      </w:r>
      <w:r w:rsidRPr="00E745D9">
        <w:t xml:space="preserve"> van verdachte transacties door de (bijzondere) opsporingsdiensten</w:t>
      </w:r>
      <w:r w:rsidR="007B6E2E">
        <w:t>. H</w:t>
      </w:r>
      <w:r>
        <w:t>et betreft een samenwerkingsverband tussen de FIU-Nederland, FIOD, OM en politie. De bereikte mijlpaal in 2024 is dat</w:t>
      </w:r>
      <w:r w:rsidR="007B214F">
        <w:t xml:space="preserve"> </w:t>
      </w:r>
      <w:r>
        <w:t>de opsporingsdiensten voor elk verdacht verklaarde transactiedossier (dit waren 16.306 dossiers) een</w:t>
      </w:r>
      <w:r w:rsidR="004C574B">
        <w:t xml:space="preserve"> ontvangende opsporingsdienst</w:t>
      </w:r>
      <w:r>
        <w:t xml:space="preserve"> in positie hebben. Zo kan het opsporingsbelang van ieder dossier nog beter worden beoordeeld. Daarbij is er binnen dit traject ook aandacht voor de </w:t>
      </w:r>
      <w:r w:rsidR="00492FF9">
        <w:t xml:space="preserve">zogenaamde </w:t>
      </w:r>
      <w:r>
        <w:t>feedbackloop, namelijk</w:t>
      </w:r>
      <w:r w:rsidRPr="00C41B5B">
        <w:t xml:space="preserve"> het vergroten van de mogelijkheden om inzichten vanuit het gebruik van de ongebruikelijke en verdachte transacties terug te koppelen aan de </w:t>
      </w:r>
      <w:proofErr w:type="spellStart"/>
      <w:r w:rsidRPr="00C41B5B">
        <w:t>meldingsplichtige</w:t>
      </w:r>
      <w:proofErr w:type="spellEnd"/>
      <w:r w:rsidRPr="00C41B5B">
        <w:t xml:space="preserve"> instellingen</w:t>
      </w:r>
      <w:r>
        <w:t xml:space="preserve">. </w:t>
      </w:r>
      <w:r w:rsidRPr="00C41B5B">
        <w:t xml:space="preserve">Dit helpt de </w:t>
      </w:r>
      <w:proofErr w:type="spellStart"/>
      <w:r w:rsidRPr="00C41B5B">
        <w:t>meldingsplichtige</w:t>
      </w:r>
      <w:proofErr w:type="spellEnd"/>
      <w:r w:rsidRPr="00C41B5B">
        <w:t xml:space="preserve"> instellingen, waaronder banken, met het </w:t>
      </w:r>
      <w:r w:rsidR="005F5564">
        <w:t xml:space="preserve">meer </w:t>
      </w:r>
      <w:proofErr w:type="spellStart"/>
      <w:r w:rsidR="005F5564">
        <w:t>risicogebas</w:t>
      </w:r>
      <w:r w:rsidR="00E83553">
        <w:t>e</w:t>
      </w:r>
      <w:r w:rsidR="005F5564">
        <w:t>erd</w:t>
      </w:r>
      <w:proofErr w:type="spellEnd"/>
      <w:r w:rsidR="00E83553">
        <w:t xml:space="preserve"> </w:t>
      </w:r>
      <w:r w:rsidRPr="00C41B5B">
        <w:t>vormgeven van hun poortwachtersfunctie</w:t>
      </w:r>
      <w:r w:rsidR="005F5564">
        <w:rPr>
          <w:rStyle w:val="Voetnootmarkering"/>
        </w:rPr>
        <w:footnoteReference w:id="3"/>
      </w:r>
      <w:r w:rsidRPr="00C41B5B">
        <w:t>.</w:t>
      </w:r>
      <w:r>
        <w:t xml:space="preserve"> </w:t>
      </w:r>
    </w:p>
    <w:p w:rsidR="00417BA4" w:rsidP="00417BA4" w:rsidRDefault="00417BA4" w14:paraId="72CB8155" w14:textId="77777777">
      <w:pPr>
        <w:pStyle w:val="broodtekst"/>
      </w:pPr>
    </w:p>
    <w:p w:rsidRPr="00732EB8" w:rsidR="00417BA4" w:rsidP="00417BA4" w:rsidRDefault="00732EB8" w14:paraId="579189C4" w14:textId="66EA4449">
      <w:pPr>
        <w:pStyle w:val="broodtekst"/>
        <w:rPr>
          <w:b/>
          <w:bCs/>
        </w:rPr>
      </w:pPr>
      <w:r w:rsidRPr="00732EB8">
        <w:rPr>
          <w:b/>
          <w:bCs/>
        </w:rPr>
        <w:t>Regionale samenwerking</w:t>
      </w:r>
    </w:p>
    <w:p w:rsidRPr="0096074E" w:rsidR="00732EB8" w:rsidP="00417BA4" w:rsidRDefault="00732EB8" w14:paraId="7C2E5AF0" w14:textId="229A8A47">
      <w:pPr>
        <w:pStyle w:val="broodtekst"/>
      </w:pPr>
      <w:r>
        <w:t>In 2024 investeerde de FIU-Nederland stevig in regionale samenwerkingen met publieke partners. Regionale samenwerking resulteert in gerichte, lokaal waardevolle analyses, wat daarmee kan leiden tot efficiëntere interventies. Ter illustratie zijn er in 2024 specifiek voor de regio Rotterdam 428 dossiers gedeeld met lokale publieke partners. Dit leidde tot de identificatie van een drugslab in een zeer dichtbevolkt gebied, waar naast drugs ook vuurwapens, contant geld en luxegoederen in beslag zijn genomen. In de regio Amsterdam zijn 111 dossiers gedeeld. Deze dossiers leverden onder andere een bijdrage aan een onderzoek</w:t>
      </w:r>
      <w:r w:rsidR="00A03163">
        <w:t xml:space="preserve"> </w:t>
      </w:r>
      <w:r>
        <w:t xml:space="preserve">naar een grootschalig </w:t>
      </w:r>
      <w:r w:rsidR="00A03163">
        <w:t xml:space="preserve">crimineel </w:t>
      </w:r>
      <w:r>
        <w:t xml:space="preserve">netwerk </w:t>
      </w:r>
      <w:r w:rsidR="00A03163">
        <w:t>dat zich bezighield met</w:t>
      </w:r>
      <w:r>
        <w:t xml:space="preserve"> hypotheekfraude. Dit netwerk is vermoedelijk verantwoordelijk voor de criminele aankoop van honderden woningen in Amsterdam. </w:t>
      </w:r>
    </w:p>
    <w:p w:rsidR="00732EB8" w:rsidP="00417BA4" w:rsidRDefault="00732EB8" w14:paraId="1C3D3ABA" w14:textId="77777777">
      <w:pPr>
        <w:pStyle w:val="broodtekst"/>
        <w:rPr>
          <w:b/>
          <w:bCs/>
        </w:rPr>
      </w:pPr>
    </w:p>
    <w:p w:rsidRPr="0096074E" w:rsidR="00417BA4" w:rsidP="00417BA4" w:rsidRDefault="00417BA4" w14:paraId="055F0251" w14:textId="27D11C73">
      <w:pPr>
        <w:pStyle w:val="broodtekst"/>
        <w:rPr>
          <w:b/>
          <w:bCs/>
        </w:rPr>
      </w:pPr>
      <w:r w:rsidRPr="0096074E">
        <w:rPr>
          <w:b/>
          <w:bCs/>
        </w:rPr>
        <w:t>Internationale samenwerking</w:t>
      </w:r>
    </w:p>
    <w:p w:rsidR="0034311C" w:rsidP="0034311C" w:rsidRDefault="0034311C" w14:paraId="38524104" w14:textId="0D7B7CAF">
      <w:r>
        <w:t>De</w:t>
      </w:r>
      <w:r w:rsidRPr="00E33F4E">
        <w:t xml:space="preserve"> FIU-Nederland </w:t>
      </w:r>
      <w:r>
        <w:t>droeg gedurende 2024 wederom actief bij aan de</w:t>
      </w:r>
      <w:r w:rsidRPr="00E33F4E">
        <w:t xml:space="preserve"> Egmont Group</w:t>
      </w:r>
      <w:r>
        <w:t xml:space="preserve"> (een samenwerkingsverband bestaande </w:t>
      </w:r>
      <w:r w:rsidRPr="00E33F4E">
        <w:t xml:space="preserve">uit 177 </w:t>
      </w:r>
      <w:proofErr w:type="spellStart"/>
      <w:r w:rsidRPr="00E33F4E">
        <w:t>FIU</w:t>
      </w:r>
      <w:r w:rsidRPr="41CAE60D">
        <w:t>’</w:t>
      </w:r>
      <w:r w:rsidRPr="00E33F4E">
        <w:t>s</w:t>
      </w:r>
      <w:proofErr w:type="spellEnd"/>
      <w:r>
        <w:t xml:space="preserve">). In juni </w:t>
      </w:r>
      <w:r w:rsidRPr="00E33F4E">
        <w:t xml:space="preserve">2024 </w:t>
      </w:r>
      <w:r>
        <w:t>vond de</w:t>
      </w:r>
      <w:r w:rsidRPr="41CAE60D">
        <w:t xml:space="preserve"> </w:t>
      </w:r>
      <w:r>
        <w:t>dertigste</w:t>
      </w:r>
      <w:r w:rsidRPr="00E33F4E">
        <w:t xml:space="preserve"> jaarlijkse </w:t>
      </w:r>
      <w:r>
        <w:t>p</w:t>
      </w:r>
      <w:r w:rsidRPr="00E33F4E">
        <w:t xml:space="preserve">lenaire </w:t>
      </w:r>
      <w:r>
        <w:t>v</w:t>
      </w:r>
      <w:r w:rsidRPr="00E33F4E">
        <w:t xml:space="preserve">ergadering in Parijs. Dit evenement bracht </w:t>
      </w:r>
      <w:r>
        <w:t>vierhonderd</w:t>
      </w:r>
      <w:r w:rsidRPr="00E33F4E">
        <w:t xml:space="preserve"> FIU</w:t>
      </w:r>
      <w:r w:rsidRPr="41CAE60D">
        <w:t>-</w:t>
      </w:r>
      <w:r w:rsidRPr="00E33F4E">
        <w:t>afgevaardigden en partnerorganisaties samen</w:t>
      </w:r>
      <w:r w:rsidR="007B214F">
        <w:t xml:space="preserve"> met als doel het versterken van</w:t>
      </w:r>
      <w:r w:rsidRPr="00E33F4E">
        <w:t xml:space="preserve"> de mondiale samenwerking </w:t>
      </w:r>
      <w:r>
        <w:t>op het voorkomen en bestrijden</w:t>
      </w:r>
      <w:r w:rsidRPr="00E33F4E">
        <w:t xml:space="preserve"> van witwassen en terrorismefinanciering. </w:t>
      </w:r>
      <w:r>
        <w:t>Tijdens deze plenaire vergadering is</w:t>
      </w:r>
      <w:r w:rsidRPr="00E33F4E">
        <w:t xml:space="preserve"> onder meer FIU</w:t>
      </w:r>
      <w:r w:rsidRPr="41CAE60D">
        <w:t>-</w:t>
      </w:r>
      <w:r w:rsidRPr="00E33F4E">
        <w:t>Suriname</w:t>
      </w:r>
      <w:r w:rsidRPr="41CAE60D">
        <w:t xml:space="preserve"> </w:t>
      </w:r>
      <w:r w:rsidRPr="00E33F4E">
        <w:t>formeel toegetreden tot de Egmont Group</w:t>
      </w:r>
      <w:r>
        <w:t>, mede</w:t>
      </w:r>
      <w:r w:rsidRPr="00E33F4E">
        <w:t xml:space="preserve"> met hulp van </w:t>
      </w:r>
      <w:r>
        <w:t xml:space="preserve">de </w:t>
      </w:r>
      <w:r w:rsidRPr="00E33F4E">
        <w:t>FIU</w:t>
      </w:r>
      <w:r w:rsidRPr="41CAE60D">
        <w:t>-</w:t>
      </w:r>
      <w:r w:rsidRPr="00E33F4E">
        <w:t>Nederland</w:t>
      </w:r>
      <w:r w:rsidRPr="41CAE60D">
        <w:t xml:space="preserve">. </w:t>
      </w:r>
      <w:r>
        <w:t xml:space="preserve">Ook ontving </w:t>
      </w:r>
      <w:r w:rsidRPr="00E33F4E">
        <w:t xml:space="preserve">het </w:t>
      </w:r>
      <w:r>
        <w:t>h</w:t>
      </w:r>
      <w:r w:rsidRPr="00E33F4E">
        <w:t>oofd</w:t>
      </w:r>
      <w:r>
        <w:t xml:space="preserve"> van de</w:t>
      </w:r>
      <w:r w:rsidRPr="00E33F4E">
        <w:t xml:space="preserve"> FIU-Nederland een speciale blijk van waardering voor haar bijzondere en jarenlange inzet voor de Egmont Group</w:t>
      </w:r>
      <w:r w:rsidRPr="41CAE60D">
        <w:t>.</w:t>
      </w:r>
      <w:r w:rsidR="00EC2521">
        <w:t xml:space="preserve"> </w:t>
      </w:r>
    </w:p>
    <w:p w:rsidR="00EC2521" w:rsidP="0034311C" w:rsidRDefault="00EC2521" w14:paraId="035917D4" w14:textId="77777777"/>
    <w:p w:rsidRPr="00B00E87" w:rsidR="00696CA8" w:rsidP="00B00E87" w:rsidRDefault="00EC2521" w14:paraId="411136F4" w14:textId="09EC1203">
      <w:pPr>
        <w:rPr>
          <w:color w:val="auto"/>
        </w:rPr>
      </w:pPr>
      <w:r w:rsidRPr="00B00E87">
        <w:rPr>
          <w:color w:val="auto"/>
        </w:rPr>
        <w:t xml:space="preserve">Verder is met name de </w:t>
      </w:r>
      <w:r w:rsidRPr="00B00E87" w:rsidR="00B00E87">
        <w:rPr>
          <w:color w:val="auto"/>
        </w:rPr>
        <w:t xml:space="preserve">samenwerking in Europees verband verder versterkt. Een voorbeeld is de samenwerking met de Italiaanse en Spaanse </w:t>
      </w:r>
      <w:proofErr w:type="spellStart"/>
      <w:r w:rsidRPr="00B00E87" w:rsidR="00B00E87">
        <w:rPr>
          <w:color w:val="auto"/>
        </w:rPr>
        <w:t>FIU’s</w:t>
      </w:r>
      <w:proofErr w:type="spellEnd"/>
      <w:r w:rsidRPr="00B00E87" w:rsidR="00B00E87">
        <w:rPr>
          <w:color w:val="auto"/>
        </w:rPr>
        <w:t xml:space="preserve"> waarin </w:t>
      </w:r>
      <w:r w:rsidRPr="00B00E87" w:rsidR="0034311C">
        <w:rPr>
          <w:color w:val="auto"/>
        </w:rPr>
        <w:t>ongebruikelijke transacties</w:t>
      </w:r>
      <w:r w:rsidRPr="00B00E87" w:rsidR="00B00E87">
        <w:rPr>
          <w:color w:val="auto"/>
        </w:rPr>
        <w:t xml:space="preserve"> werden geanalyseerd,</w:t>
      </w:r>
      <w:r w:rsidRPr="00B00E87" w:rsidR="0034311C">
        <w:rPr>
          <w:color w:val="auto"/>
        </w:rPr>
        <w:t xml:space="preserve"> die te relateren zijn aan een betaaldienstverlener met ondernemingen in diverse Europese landen. Hieruit kwamen sterke indicaties naar voren dat deze betaaldienstverlener onderdeel is van een netwerk waarin gelden worden witgewassen die afkomstig zijn uit fiscale fraude en misbruik van publieke gelden. Er is in de periode tussen 2021 en 2024 ongeveer honderd miljoen euro door dit netwerk verplaatst.</w:t>
      </w:r>
      <w:r w:rsidR="00E34F21">
        <w:rPr>
          <w:color w:val="auto"/>
        </w:rPr>
        <w:t xml:space="preserve"> Dit beeld is gedeeld met de toezichthouder</w:t>
      </w:r>
      <w:r w:rsidR="008118B2">
        <w:rPr>
          <w:color w:val="auto"/>
        </w:rPr>
        <w:t>s zodat zij gepast kunnen interveniëren</w:t>
      </w:r>
      <w:r w:rsidR="00E34F21">
        <w:rPr>
          <w:color w:val="auto"/>
        </w:rPr>
        <w:t xml:space="preserve">. </w:t>
      </w:r>
    </w:p>
    <w:p w:rsidR="00467865" w:rsidRDefault="00467865" w14:paraId="10D01FF7" w14:textId="59152F5D">
      <w:pPr>
        <w:spacing w:line="240" w:lineRule="auto"/>
      </w:pPr>
    </w:p>
    <w:p w:rsidR="00EC2521" w:rsidRDefault="006160C4" w14:paraId="6835C4D7" w14:textId="19C8F5DB">
      <w:r>
        <w:t xml:space="preserve">De FIU-Nederland heeft in 2024 weer vele mooie resultaten bereikt en ik wens de FIU-Nederland veel succes toe </w:t>
      </w:r>
      <w:r w:rsidR="008F0866">
        <w:t>met het vervolgen van</w:t>
      </w:r>
      <w:r>
        <w:t xml:space="preserve"> deze belangrijke werkzaamheden</w:t>
      </w:r>
      <w:r w:rsidR="00E34F21">
        <w:t>, alsook met de voorbereiding op de implementatie van het nieuwe Europese anti-witwaspakket</w:t>
      </w:r>
      <w:r>
        <w:t xml:space="preserve">.  </w:t>
      </w:r>
    </w:p>
    <w:p w:rsidR="006160C4" w:rsidRDefault="006160C4" w14:paraId="41494628" w14:textId="77777777"/>
    <w:p w:rsidR="008F0866" w:rsidRDefault="008F0866" w14:paraId="21572FE8" w14:textId="77777777"/>
    <w:p w:rsidR="00696CA8" w:rsidRDefault="00644F21" w14:paraId="65E87719" w14:textId="5351123E">
      <w:r w:rsidRPr="0096074E">
        <w:t>De Minister van Justitie en Veiligheid,</w:t>
      </w:r>
    </w:p>
    <w:p w:rsidR="00696CA8" w:rsidRDefault="00696CA8" w14:paraId="222DDCEA" w14:textId="77777777"/>
    <w:p w:rsidR="00696CA8" w:rsidRDefault="00696CA8" w14:paraId="5480C6E3" w14:textId="77777777"/>
    <w:p w:rsidR="00696CA8" w:rsidRDefault="00696CA8" w14:paraId="6B5AD00C" w14:textId="77777777"/>
    <w:p w:rsidR="00696CA8" w:rsidRDefault="00696CA8" w14:paraId="15EC578B" w14:textId="77777777"/>
    <w:p w:rsidR="00696CA8" w:rsidRDefault="00644F21" w14:paraId="19D28CD4" w14:textId="1B8B72F7">
      <w:r>
        <w:t>D.</w:t>
      </w:r>
      <w:r w:rsidR="00441EE8">
        <w:t>M.</w:t>
      </w:r>
      <w:r>
        <w:t xml:space="preserve"> van Weel</w:t>
      </w:r>
    </w:p>
    <w:p w:rsidR="00696CA8" w:rsidRDefault="00696CA8" w14:paraId="3D71728A" w14:textId="77777777"/>
    <w:p w:rsidR="00696CA8" w:rsidRDefault="00696CA8" w14:paraId="4443E396" w14:textId="77777777"/>
    <w:p w:rsidR="00696CA8" w:rsidRDefault="00696CA8" w14:paraId="7B7EC7F5" w14:textId="77777777"/>
    <w:sectPr w:rsidR="00696CA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CF6AB" w14:textId="77777777" w:rsidR="00351A8B" w:rsidRDefault="00351A8B">
      <w:pPr>
        <w:spacing w:line="240" w:lineRule="auto"/>
      </w:pPr>
      <w:r>
        <w:separator/>
      </w:r>
    </w:p>
  </w:endnote>
  <w:endnote w:type="continuationSeparator" w:id="0">
    <w:p w14:paraId="5865A5B7" w14:textId="77777777" w:rsidR="00351A8B" w:rsidRDefault="00351A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E4493" w14:textId="77777777" w:rsidR="00351A8B" w:rsidRDefault="00351A8B">
      <w:pPr>
        <w:spacing w:line="240" w:lineRule="auto"/>
      </w:pPr>
      <w:r>
        <w:separator/>
      </w:r>
    </w:p>
  </w:footnote>
  <w:footnote w:type="continuationSeparator" w:id="0">
    <w:p w14:paraId="3448D777" w14:textId="77777777" w:rsidR="00351A8B" w:rsidRDefault="00351A8B">
      <w:pPr>
        <w:spacing w:line="240" w:lineRule="auto"/>
      </w:pPr>
      <w:r>
        <w:continuationSeparator/>
      </w:r>
    </w:p>
  </w:footnote>
  <w:footnote w:id="1">
    <w:p w14:paraId="10C7977E" w14:textId="700B3079" w:rsidR="00536171" w:rsidRDefault="00536171">
      <w:pPr>
        <w:pStyle w:val="Voetnoottekst"/>
      </w:pPr>
      <w:r>
        <w:rPr>
          <w:rStyle w:val="Voetnootmarkering"/>
        </w:rPr>
        <w:footnoteRef/>
      </w:r>
      <w:r>
        <w:t xml:space="preserve"> Per juli 2027 zal het nieuwe Europese anti-witwaspakket in werking treden</w:t>
      </w:r>
      <w:r w:rsidR="00444764">
        <w:t>. M</w:t>
      </w:r>
      <w:r w:rsidR="00444764" w:rsidRPr="00444764">
        <w:t>et de implementatie van het Europese pakket gaan de transacties die bij de FIU-Nederland gemeld gaan worden verdachte transacties heten</w:t>
      </w:r>
      <w:r w:rsidR="00444764">
        <w:t>. De</w:t>
      </w:r>
      <w:r w:rsidR="00444764" w:rsidRPr="00444764">
        <w:t xml:space="preserve"> taakuitvoering van de FIU-Nederland wijzigt niet.</w:t>
      </w:r>
      <w:r w:rsidR="00444764">
        <w:t xml:space="preserve"> </w:t>
      </w:r>
      <w:r w:rsidR="00AF71A0">
        <w:t xml:space="preserve">Zie ook Kamerbrief </w:t>
      </w:r>
      <w:r w:rsidR="00AF71A0" w:rsidRPr="00AF71A0">
        <w:t>2025-0000134550</w:t>
      </w:r>
      <w:r w:rsidR="00AE70FB">
        <w:t>, betreffende</w:t>
      </w:r>
      <w:r w:rsidR="00AF71A0">
        <w:t xml:space="preserve"> ‘Nieuwe witwas-aanpak’</w:t>
      </w:r>
      <w:r w:rsidR="005F61FA">
        <w:t xml:space="preserve"> (14 mei 2025)</w:t>
      </w:r>
      <w:r w:rsidR="00AF71A0">
        <w:t xml:space="preserve">. </w:t>
      </w:r>
    </w:p>
  </w:footnote>
  <w:footnote w:id="2">
    <w:p w14:paraId="784C76FA" w14:textId="3BB75FD2" w:rsidR="00536171" w:rsidRDefault="00536171">
      <w:pPr>
        <w:pStyle w:val="Voetnoottekst"/>
      </w:pPr>
      <w:r>
        <w:rPr>
          <w:rStyle w:val="Voetnootmarkering"/>
        </w:rPr>
        <w:footnoteRef/>
      </w:r>
      <w:r>
        <w:t xml:space="preserve"> </w:t>
      </w:r>
      <w:r w:rsidRPr="00920362">
        <w:rPr>
          <w:rFonts w:cs="Arial"/>
        </w:rPr>
        <w:t>Objectieve indicatoren</w:t>
      </w:r>
      <w:r>
        <w:rPr>
          <w:rFonts w:cs="Arial"/>
        </w:rPr>
        <w:t xml:space="preserve"> zijn ‘drempelwaardes’ die bij overschrijding hiervan </w:t>
      </w:r>
      <w:r w:rsidR="00E85573">
        <w:rPr>
          <w:rFonts w:cs="Arial"/>
        </w:rPr>
        <w:t xml:space="preserve">altijd </w:t>
      </w:r>
      <w:r>
        <w:rPr>
          <w:rFonts w:cs="Arial"/>
        </w:rPr>
        <w:t>gemeld moeten worden. Er zijn meerdere objectieve indicatoren die  kunnen verschillen per meldergroep. De subjectieve indicator daarentegen is van toepassing op alle meldersgroepen. Deze stelt dat als een poortwachter het vermoeden heeft dat een</w:t>
      </w:r>
      <w:r>
        <w:t xml:space="preserve"> transactie verband kan houden met witwassen, onderliggende delicten, of terrorismefinanciering, dit gezien moet worden als een ongebruikelijke transactie</w:t>
      </w:r>
      <w:r w:rsidRPr="00006748">
        <w:rPr>
          <w:rFonts w:cs="Arial"/>
        </w:rPr>
        <w:t>.</w:t>
      </w:r>
    </w:p>
  </w:footnote>
  <w:footnote w:id="3">
    <w:p w14:paraId="0B08C239" w14:textId="2ED2DA93" w:rsidR="005F5564" w:rsidRDefault="005F5564">
      <w:pPr>
        <w:pStyle w:val="Voetnoottekst"/>
      </w:pPr>
      <w:r>
        <w:rPr>
          <w:rStyle w:val="Voetnootmarkering"/>
        </w:rPr>
        <w:footnoteRef/>
      </w:r>
      <w:r>
        <w:t xml:space="preserve"> </w:t>
      </w:r>
      <w:r w:rsidR="00541D2D">
        <w:t xml:space="preserve">Zie graag Kamerbrief </w:t>
      </w:r>
      <w:r w:rsidR="00541D2D" w:rsidRPr="00541D2D">
        <w:t>2025-0000134550</w:t>
      </w:r>
      <w:r w:rsidR="00541D2D">
        <w:t>, betreffende ‘Nieuwe witwas-aanpak’</w:t>
      </w:r>
      <w:r w:rsidR="001B67BD">
        <w:t xml:space="preserve"> (14 mei 2025)</w:t>
      </w:r>
      <w:r w:rsidR="00541D2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8018" w14:textId="77777777" w:rsidR="00696CA8" w:rsidRDefault="00674E43">
    <w:r>
      <w:rPr>
        <w:noProof/>
      </w:rPr>
      <mc:AlternateContent>
        <mc:Choice Requires="wps">
          <w:drawing>
            <wp:anchor distT="0" distB="0" distL="0" distR="0" simplePos="0" relativeHeight="251652096" behindDoc="0" locked="1" layoutInCell="1" allowOverlap="1" wp14:anchorId="50BE54A0" wp14:editId="30C1531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104944" w14:textId="77777777" w:rsidR="00683BF5" w:rsidRDefault="00683BF5"/>
                      </w:txbxContent>
                    </wps:txbx>
                    <wps:bodyPr vert="horz" wrap="square" lIns="0" tIns="0" rIns="0" bIns="0" anchor="t" anchorCtr="0"/>
                  </wps:wsp>
                </a:graphicData>
              </a:graphic>
            </wp:anchor>
          </w:drawing>
        </mc:Choice>
        <mc:Fallback>
          <w:pict>
            <v:shapetype w14:anchorId="50BE54A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2104944" w14:textId="77777777" w:rsidR="00683BF5" w:rsidRDefault="00683BF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39D98D0" wp14:editId="0675CFFB">
              <wp:simplePos x="0" y="0"/>
              <wp:positionH relativeFrom="page">
                <wp:posOffset>5929630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A892DA" w14:textId="77777777" w:rsidR="00696CA8" w:rsidRDefault="00674E43">
                          <w:pPr>
                            <w:pStyle w:val="Referentiegegevensbold"/>
                          </w:pPr>
                          <w:r>
                            <w:t>Directoraat-Generaal Ondermijning</w:t>
                          </w:r>
                        </w:p>
                        <w:p w14:paraId="221664C7" w14:textId="77777777" w:rsidR="00696CA8" w:rsidRDefault="00696CA8">
                          <w:pPr>
                            <w:pStyle w:val="WitregelW2"/>
                          </w:pPr>
                        </w:p>
                        <w:p w14:paraId="5024E6E1" w14:textId="77777777" w:rsidR="00696CA8" w:rsidRDefault="00674E43">
                          <w:pPr>
                            <w:pStyle w:val="Referentiegegevensbold"/>
                          </w:pPr>
                          <w:r>
                            <w:t>Datum</w:t>
                          </w:r>
                        </w:p>
                        <w:p w14:paraId="32BA359B" w14:textId="683037FD" w:rsidR="00696CA8" w:rsidRDefault="00351A8B">
                          <w:pPr>
                            <w:pStyle w:val="Referentiegegevens"/>
                          </w:pPr>
                          <w:sdt>
                            <w:sdtPr>
                              <w:id w:val="-1943136938"/>
                              <w:date w:fullDate="2025-07-02T00:00:00Z">
                                <w:dateFormat w:val="d MMMM yyyy"/>
                                <w:lid w:val="nl"/>
                                <w:storeMappedDataAs w:val="dateTime"/>
                                <w:calendar w:val="gregorian"/>
                              </w:date>
                            </w:sdtPr>
                            <w:sdtEndPr/>
                            <w:sdtContent>
                              <w:r w:rsidR="00CE4FAB">
                                <w:t>2 juli</w:t>
                              </w:r>
                              <w:r w:rsidR="00674E43">
                                <w:t xml:space="preserve"> 2025</w:t>
                              </w:r>
                            </w:sdtContent>
                          </w:sdt>
                        </w:p>
                        <w:p w14:paraId="2CA75C6B" w14:textId="77777777" w:rsidR="00696CA8" w:rsidRDefault="00696CA8">
                          <w:pPr>
                            <w:pStyle w:val="WitregelW1"/>
                          </w:pPr>
                        </w:p>
                        <w:p w14:paraId="2B9137EF" w14:textId="77777777" w:rsidR="00696CA8" w:rsidRDefault="00674E43">
                          <w:pPr>
                            <w:pStyle w:val="Referentiegegevensbold"/>
                          </w:pPr>
                          <w:r>
                            <w:t>Onze referentie</w:t>
                          </w:r>
                        </w:p>
                        <w:p w14:paraId="7D1B951A" w14:textId="77777777" w:rsidR="00696CA8" w:rsidRDefault="00674E43">
                          <w:pPr>
                            <w:pStyle w:val="Referentiegegevens"/>
                          </w:pPr>
                          <w:r>
                            <w:t>6444178</w:t>
                          </w:r>
                        </w:p>
                      </w:txbxContent>
                    </wps:txbx>
                    <wps:bodyPr vert="horz" wrap="square" lIns="0" tIns="0" rIns="0" bIns="0" anchor="t" anchorCtr="0"/>
                  </wps:wsp>
                </a:graphicData>
              </a:graphic>
            </wp:anchor>
          </w:drawing>
        </mc:Choice>
        <mc:Fallback>
          <w:pict>
            <v:shape w14:anchorId="039D98D0" id="46fef022-aa3c-11ea-a756-beb5f67e67be" o:spid="_x0000_s1027" type="#_x0000_t202" style="position:absolute;margin-left:466.9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LUbyBbfAAAA&#10;CgEAAA8AAABkcnMvZG93bnJldi54bWxMj0FPg0AQhe8m/ofNmHizC0WJRZamMXoyaaR48LjAFDZl&#10;Z5HdtvjvOz3p7U3ey5vv5evZDuKEkzeOFMSLCARS41pDnYKv6v3hGYQPmlo9OEIFv+hhXdze5Dpr&#10;3ZlKPO1CJ7iEfKYV9CGMmZS+6dFqv3AjEnt7N1kd+Jw62U76zOV2kMsoSqXVhvhDr0d87bE57I5W&#10;weabyjfzs60/y31pqmoV0Ud6UOr+bt68gAg4h78wXPEZHQpmqt2RWi8GBaskYfSggBdd7Th5YlWz&#10;WqbxI8gil/8nFBcAAAD//wMAUEsBAi0AFAAGAAgAAAAhALaDOJL+AAAA4QEAABMAAAAAAAAAAAAA&#10;AAAAAAAAAFtDb250ZW50X1R5cGVzXS54bWxQSwECLQAUAAYACAAAACEAOP0h/9YAAACUAQAACwAA&#10;AAAAAAAAAAAAAAAvAQAAX3JlbHMvLnJlbHNQSwECLQAUAAYACAAAACEA5V90FZIBAAAVAwAADgAA&#10;AAAAAAAAAAAAAAAuAgAAZHJzL2Uyb0RvYy54bWxQSwECLQAUAAYACAAAACEAtRvIFt8AAAAKAQAA&#10;DwAAAAAAAAAAAAAAAADsAwAAZHJzL2Rvd25yZXYueG1sUEsFBgAAAAAEAAQA8wAAAPgEAAAAAA==&#10;" filled="f" stroked="f">
              <v:textbox inset="0,0,0,0">
                <w:txbxContent>
                  <w:p w14:paraId="14A892DA" w14:textId="77777777" w:rsidR="00696CA8" w:rsidRDefault="00674E43">
                    <w:pPr>
                      <w:pStyle w:val="Referentiegegevensbold"/>
                    </w:pPr>
                    <w:r>
                      <w:t>Directoraat-Generaal Ondermijning</w:t>
                    </w:r>
                  </w:p>
                  <w:p w14:paraId="221664C7" w14:textId="77777777" w:rsidR="00696CA8" w:rsidRDefault="00696CA8">
                    <w:pPr>
                      <w:pStyle w:val="WitregelW2"/>
                    </w:pPr>
                  </w:p>
                  <w:p w14:paraId="5024E6E1" w14:textId="77777777" w:rsidR="00696CA8" w:rsidRDefault="00674E43">
                    <w:pPr>
                      <w:pStyle w:val="Referentiegegevensbold"/>
                    </w:pPr>
                    <w:r>
                      <w:t>Datum</w:t>
                    </w:r>
                  </w:p>
                  <w:p w14:paraId="32BA359B" w14:textId="683037FD" w:rsidR="00696CA8" w:rsidRDefault="00351A8B">
                    <w:pPr>
                      <w:pStyle w:val="Referentiegegevens"/>
                    </w:pPr>
                    <w:sdt>
                      <w:sdtPr>
                        <w:id w:val="-1943136938"/>
                        <w:date w:fullDate="2025-07-02T00:00:00Z">
                          <w:dateFormat w:val="d MMMM yyyy"/>
                          <w:lid w:val="nl"/>
                          <w:storeMappedDataAs w:val="dateTime"/>
                          <w:calendar w:val="gregorian"/>
                        </w:date>
                      </w:sdtPr>
                      <w:sdtEndPr/>
                      <w:sdtContent>
                        <w:r w:rsidR="00CE4FAB">
                          <w:t>2 juli</w:t>
                        </w:r>
                        <w:r w:rsidR="00674E43">
                          <w:t xml:space="preserve"> 2025</w:t>
                        </w:r>
                      </w:sdtContent>
                    </w:sdt>
                  </w:p>
                  <w:p w14:paraId="2CA75C6B" w14:textId="77777777" w:rsidR="00696CA8" w:rsidRDefault="00696CA8">
                    <w:pPr>
                      <w:pStyle w:val="WitregelW1"/>
                    </w:pPr>
                  </w:p>
                  <w:p w14:paraId="2B9137EF" w14:textId="77777777" w:rsidR="00696CA8" w:rsidRDefault="00674E43">
                    <w:pPr>
                      <w:pStyle w:val="Referentiegegevensbold"/>
                    </w:pPr>
                    <w:r>
                      <w:t>Onze referentie</w:t>
                    </w:r>
                  </w:p>
                  <w:p w14:paraId="7D1B951A" w14:textId="77777777" w:rsidR="00696CA8" w:rsidRDefault="00674E43">
                    <w:pPr>
                      <w:pStyle w:val="Referentiegegevens"/>
                    </w:pPr>
                    <w:r>
                      <w:t>6444178</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14E18E3F" wp14:editId="2C1AD15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E4B797" w14:textId="77777777" w:rsidR="00683BF5" w:rsidRDefault="00683BF5"/>
                      </w:txbxContent>
                    </wps:txbx>
                    <wps:bodyPr vert="horz" wrap="square" lIns="0" tIns="0" rIns="0" bIns="0" anchor="t" anchorCtr="0"/>
                  </wps:wsp>
                </a:graphicData>
              </a:graphic>
            </wp:anchor>
          </w:drawing>
        </mc:Choice>
        <mc:Fallback>
          <w:pict>
            <v:shape w14:anchorId="14E18E3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2E4B797" w14:textId="77777777" w:rsidR="00683BF5" w:rsidRDefault="00683BF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BDECBC2" wp14:editId="4D3B855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3A71D5" w14:textId="653BBC96" w:rsidR="00696CA8" w:rsidRDefault="00674E43">
                          <w:pPr>
                            <w:pStyle w:val="Referentiegegevens"/>
                          </w:pPr>
                          <w:r>
                            <w:t xml:space="preserve">Pagina </w:t>
                          </w:r>
                          <w:r>
                            <w:fldChar w:fldCharType="begin"/>
                          </w:r>
                          <w:r>
                            <w:instrText>PAGE</w:instrText>
                          </w:r>
                          <w:r>
                            <w:fldChar w:fldCharType="separate"/>
                          </w:r>
                          <w:r w:rsidR="00644F21">
                            <w:rPr>
                              <w:noProof/>
                            </w:rPr>
                            <w:t>2</w:t>
                          </w:r>
                          <w:r>
                            <w:fldChar w:fldCharType="end"/>
                          </w:r>
                          <w:r>
                            <w:t xml:space="preserve"> van </w:t>
                          </w:r>
                          <w:r>
                            <w:fldChar w:fldCharType="begin"/>
                          </w:r>
                          <w:r>
                            <w:instrText>NUMPAGES</w:instrText>
                          </w:r>
                          <w:r>
                            <w:fldChar w:fldCharType="separate"/>
                          </w:r>
                          <w:r w:rsidR="00644F21">
                            <w:rPr>
                              <w:noProof/>
                            </w:rPr>
                            <w:t>1</w:t>
                          </w:r>
                          <w:r>
                            <w:fldChar w:fldCharType="end"/>
                          </w:r>
                        </w:p>
                      </w:txbxContent>
                    </wps:txbx>
                    <wps:bodyPr vert="horz" wrap="square" lIns="0" tIns="0" rIns="0" bIns="0" anchor="t" anchorCtr="0"/>
                  </wps:wsp>
                </a:graphicData>
              </a:graphic>
            </wp:anchor>
          </w:drawing>
        </mc:Choice>
        <mc:Fallback>
          <w:pict>
            <v:shape w14:anchorId="1BDECBC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33A71D5" w14:textId="653BBC96" w:rsidR="00696CA8" w:rsidRDefault="00674E43">
                    <w:pPr>
                      <w:pStyle w:val="Referentiegegevens"/>
                    </w:pPr>
                    <w:r>
                      <w:t xml:space="preserve">Pagina </w:t>
                    </w:r>
                    <w:r>
                      <w:fldChar w:fldCharType="begin"/>
                    </w:r>
                    <w:r>
                      <w:instrText>PAGE</w:instrText>
                    </w:r>
                    <w:r>
                      <w:fldChar w:fldCharType="separate"/>
                    </w:r>
                    <w:r w:rsidR="00644F21">
                      <w:rPr>
                        <w:noProof/>
                      </w:rPr>
                      <w:t>2</w:t>
                    </w:r>
                    <w:r>
                      <w:fldChar w:fldCharType="end"/>
                    </w:r>
                    <w:r>
                      <w:t xml:space="preserve"> van </w:t>
                    </w:r>
                    <w:r>
                      <w:fldChar w:fldCharType="begin"/>
                    </w:r>
                    <w:r>
                      <w:instrText>NUMPAGES</w:instrText>
                    </w:r>
                    <w:r>
                      <w:fldChar w:fldCharType="separate"/>
                    </w:r>
                    <w:r w:rsidR="00644F2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92022" w14:textId="77777777" w:rsidR="00696CA8" w:rsidRDefault="00674E43">
    <w:pPr>
      <w:spacing w:after="6377" w:line="14" w:lineRule="exact"/>
    </w:pPr>
    <w:r>
      <w:rPr>
        <w:noProof/>
      </w:rPr>
      <mc:AlternateContent>
        <mc:Choice Requires="wps">
          <w:drawing>
            <wp:anchor distT="0" distB="0" distL="0" distR="0" simplePos="0" relativeHeight="251656192" behindDoc="0" locked="1" layoutInCell="1" allowOverlap="1" wp14:anchorId="7F76B5AA" wp14:editId="082425E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294B15" w14:textId="77777777" w:rsidR="00696CA8" w:rsidRDefault="00674E43">
                          <w:pPr>
                            <w:spacing w:line="240" w:lineRule="auto"/>
                          </w:pPr>
                          <w:r>
                            <w:rPr>
                              <w:noProof/>
                            </w:rPr>
                            <w:drawing>
                              <wp:inline distT="0" distB="0" distL="0" distR="0" wp14:anchorId="567BC768" wp14:editId="659DB56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76B5A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9294B15" w14:textId="77777777" w:rsidR="00696CA8" w:rsidRDefault="00674E43">
                    <w:pPr>
                      <w:spacing w:line="240" w:lineRule="auto"/>
                    </w:pPr>
                    <w:r>
                      <w:rPr>
                        <w:noProof/>
                      </w:rPr>
                      <w:drawing>
                        <wp:inline distT="0" distB="0" distL="0" distR="0" wp14:anchorId="567BC768" wp14:editId="659DB56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DCF0587" wp14:editId="3A13FA7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31C32D" w14:textId="77777777" w:rsidR="00696CA8" w:rsidRDefault="00674E43">
                          <w:pPr>
                            <w:spacing w:line="240" w:lineRule="auto"/>
                          </w:pPr>
                          <w:r>
                            <w:rPr>
                              <w:noProof/>
                            </w:rPr>
                            <w:drawing>
                              <wp:inline distT="0" distB="0" distL="0" distR="0" wp14:anchorId="6E44007C" wp14:editId="41D3825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CF058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131C32D" w14:textId="77777777" w:rsidR="00696CA8" w:rsidRDefault="00674E43">
                    <w:pPr>
                      <w:spacing w:line="240" w:lineRule="auto"/>
                    </w:pPr>
                    <w:r>
                      <w:rPr>
                        <w:noProof/>
                      </w:rPr>
                      <w:drawing>
                        <wp:inline distT="0" distB="0" distL="0" distR="0" wp14:anchorId="6E44007C" wp14:editId="41D3825E">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B7D5D5C" wp14:editId="037364F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33AB02" w14:textId="77777777" w:rsidR="00696CA8" w:rsidRDefault="00674E4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B7D5D5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F33AB02" w14:textId="77777777" w:rsidR="00696CA8" w:rsidRDefault="00674E4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CF6448E" wp14:editId="0EB0E51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B3BFA3" w14:textId="2004ABB7" w:rsidR="00644F21" w:rsidRPr="0096074E" w:rsidRDefault="00644F21" w:rsidP="00644F21">
                          <w:pPr>
                            <w:pStyle w:val="adres"/>
                          </w:pPr>
                          <w:r w:rsidRPr="0096074E">
                            <w:fldChar w:fldCharType="begin"/>
                          </w:r>
                          <w:r w:rsidRPr="0096074E">
                            <w:instrText xml:space="preserve"> DOCVARIABLE adres *\MERGEFORMAT </w:instrText>
                          </w:r>
                          <w:r w:rsidRPr="0096074E">
                            <w:fldChar w:fldCharType="separate"/>
                          </w:r>
                          <w:r w:rsidR="0072313A">
                            <w:t>Aan d</w:t>
                          </w:r>
                          <w:r w:rsidRPr="0096074E">
                            <w:t>e Voorzitter van de Tweede Kamer</w:t>
                          </w:r>
                        </w:p>
                        <w:p w14:paraId="24CBC10F" w14:textId="77777777" w:rsidR="00644F21" w:rsidRPr="0096074E" w:rsidRDefault="00644F21" w:rsidP="00644F21">
                          <w:pPr>
                            <w:pStyle w:val="adres"/>
                          </w:pPr>
                          <w:r w:rsidRPr="0096074E">
                            <w:t>der Staten-Generaal</w:t>
                          </w:r>
                        </w:p>
                        <w:p w14:paraId="37BA250E" w14:textId="77777777" w:rsidR="00644F21" w:rsidRPr="0096074E" w:rsidRDefault="00644F21" w:rsidP="00644F21">
                          <w:pPr>
                            <w:pStyle w:val="adres"/>
                          </w:pPr>
                          <w:r w:rsidRPr="0096074E">
                            <w:t>Postbus 20018 </w:t>
                          </w:r>
                        </w:p>
                        <w:p w14:paraId="7B2C644C" w14:textId="77777777" w:rsidR="00644F21" w:rsidRPr="0096074E" w:rsidRDefault="00644F21" w:rsidP="00644F21">
                          <w:pPr>
                            <w:pStyle w:val="adres"/>
                          </w:pPr>
                          <w:r w:rsidRPr="0096074E">
                            <w:t>2500 EA  DEN HAAG</w:t>
                          </w:r>
                          <w:r w:rsidRPr="0096074E">
                            <w:fldChar w:fldCharType="end"/>
                          </w:r>
                        </w:p>
                        <w:p w14:paraId="062DC49C" w14:textId="7110AC1F" w:rsidR="00696CA8" w:rsidRDefault="00696CA8"/>
                      </w:txbxContent>
                    </wps:txbx>
                    <wps:bodyPr vert="horz" wrap="square" lIns="0" tIns="0" rIns="0" bIns="0" anchor="t" anchorCtr="0"/>
                  </wps:wsp>
                </a:graphicData>
              </a:graphic>
            </wp:anchor>
          </w:drawing>
        </mc:Choice>
        <mc:Fallback>
          <w:pict>
            <v:shape w14:anchorId="7CF6448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B3BFA3" w14:textId="2004ABB7" w:rsidR="00644F21" w:rsidRPr="0096074E" w:rsidRDefault="00644F21" w:rsidP="00644F21">
                    <w:pPr>
                      <w:pStyle w:val="adres"/>
                    </w:pPr>
                    <w:r w:rsidRPr="0096074E">
                      <w:fldChar w:fldCharType="begin"/>
                    </w:r>
                    <w:r w:rsidRPr="0096074E">
                      <w:instrText xml:space="preserve"> DOCVARIABLE adres *\MERGEFORMAT </w:instrText>
                    </w:r>
                    <w:r w:rsidRPr="0096074E">
                      <w:fldChar w:fldCharType="separate"/>
                    </w:r>
                    <w:r w:rsidR="0072313A">
                      <w:t>Aan d</w:t>
                    </w:r>
                    <w:r w:rsidRPr="0096074E">
                      <w:t>e Voorzitter van de Tweede Kamer</w:t>
                    </w:r>
                  </w:p>
                  <w:p w14:paraId="24CBC10F" w14:textId="77777777" w:rsidR="00644F21" w:rsidRPr="0096074E" w:rsidRDefault="00644F21" w:rsidP="00644F21">
                    <w:pPr>
                      <w:pStyle w:val="adres"/>
                    </w:pPr>
                    <w:r w:rsidRPr="0096074E">
                      <w:t>der Staten-Generaal</w:t>
                    </w:r>
                  </w:p>
                  <w:p w14:paraId="37BA250E" w14:textId="77777777" w:rsidR="00644F21" w:rsidRPr="0096074E" w:rsidRDefault="00644F21" w:rsidP="00644F21">
                    <w:pPr>
                      <w:pStyle w:val="adres"/>
                    </w:pPr>
                    <w:r w:rsidRPr="0096074E">
                      <w:t>Postbus 20018 </w:t>
                    </w:r>
                  </w:p>
                  <w:p w14:paraId="7B2C644C" w14:textId="77777777" w:rsidR="00644F21" w:rsidRPr="0096074E" w:rsidRDefault="00644F21" w:rsidP="00644F21">
                    <w:pPr>
                      <w:pStyle w:val="adres"/>
                    </w:pPr>
                    <w:r w:rsidRPr="0096074E">
                      <w:t>2500 EA  DEN HAAG</w:t>
                    </w:r>
                    <w:r w:rsidRPr="0096074E">
                      <w:fldChar w:fldCharType="end"/>
                    </w:r>
                  </w:p>
                  <w:p w14:paraId="062DC49C" w14:textId="7110AC1F" w:rsidR="00696CA8" w:rsidRDefault="00696CA8"/>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3514D3E" wp14:editId="510D0B9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96CA8" w14:paraId="124AD6CC" w14:textId="77777777">
                            <w:trPr>
                              <w:trHeight w:val="240"/>
                            </w:trPr>
                            <w:tc>
                              <w:tcPr>
                                <w:tcW w:w="1140" w:type="dxa"/>
                              </w:tcPr>
                              <w:p w14:paraId="32CE3FB6" w14:textId="77777777" w:rsidR="00696CA8" w:rsidRDefault="00674E43">
                                <w:r>
                                  <w:t>Datum</w:t>
                                </w:r>
                              </w:p>
                            </w:tc>
                            <w:tc>
                              <w:tcPr>
                                <w:tcW w:w="5918" w:type="dxa"/>
                              </w:tcPr>
                              <w:p w14:paraId="2D6EE4C3" w14:textId="3BF57758" w:rsidR="00696CA8" w:rsidRDefault="00351A8B">
                                <w:sdt>
                                  <w:sdtPr>
                                    <w:id w:val="1319852494"/>
                                    <w:date w:fullDate="2025-07-02T00:00:00Z">
                                      <w:dateFormat w:val="d MMMM yyyy"/>
                                      <w:lid w:val="nl"/>
                                      <w:storeMappedDataAs w:val="dateTime"/>
                                      <w:calendar w:val="gregorian"/>
                                    </w:date>
                                  </w:sdtPr>
                                  <w:sdtEndPr/>
                                  <w:sdtContent>
                                    <w:r w:rsidR="00CE4FAB">
                                      <w:t>2 juli 2025</w:t>
                                    </w:r>
                                  </w:sdtContent>
                                </w:sdt>
                              </w:p>
                            </w:tc>
                          </w:tr>
                          <w:tr w:rsidR="00644F21" w14:paraId="44134203" w14:textId="77777777">
                            <w:trPr>
                              <w:trHeight w:val="240"/>
                            </w:trPr>
                            <w:tc>
                              <w:tcPr>
                                <w:tcW w:w="1140" w:type="dxa"/>
                              </w:tcPr>
                              <w:p w14:paraId="5C1F0E4C" w14:textId="77777777" w:rsidR="00644F21" w:rsidRDefault="00644F21" w:rsidP="00644F21">
                                <w:r>
                                  <w:t>Betreft</w:t>
                                </w:r>
                              </w:p>
                            </w:tc>
                            <w:tc>
                              <w:tcPr>
                                <w:tcW w:w="5918" w:type="dxa"/>
                              </w:tcPr>
                              <w:p w14:paraId="2E7470AC" w14:textId="673B6280" w:rsidR="00644F21" w:rsidRDefault="00644F21" w:rsidP="00644F21">
                                <w:r w:rsidRPr="0096074E">
                                  <w:fldChar w:fldCharType="begin"/>
                                </w:r>
                                <w:r w:rsidRPr="0096074E">
                                  <w:instrText xml:space="preserve"> DOCPROPERTY onderwerp </w:instrText>
                                </w:r>
                                <w:r w:rsidRPr="0096074E">
                                  <w:fldChar w:fldCharType="separate"/>
                                </w:r>
                                <w:r w:rsidRPr="0096074E">
                                  <w:t>Aanbieding Jaaroverzicht 202</w:t>
                                </w:r>
                                <w:r>
                                  <w:t>4</w:t>
                                </w:r>
                                <w:r w:rsidRPr="0096074E">
                                  <w:t xml:space="preserve"> Financial Intelligence Unit-Nederland</w:t>
                                </w:r>
                                <w:r w:rsidRPr="0096074E">
                                  <w:fldChar w:fldCharType="end"/>
                                </w:r>
                              </w:p>
                            </w:tc>
                          </w:tr>
                        </w:tbl>
                        <w:p w14:paraId="31D84A87" w14:textId="77777777" w:rsidR="00683BF5" w:rsidRDefault="00683BF5"/>
                      </w:txbxContent>
                    </wps:txbx>
                    <wps:bodyPr vert="horz" wrap="square" lIns="0" tIns="0" rIns="0" bIns="0" anchor="t" anchorCtr="0"/>
                  </wps:wsp>
                </a:graphicData>
              </a:graphic>
            </wp:anchor>
          </w:drawing>
        </mc:Choice>
        <mc:Fallback>
          <w:pict>
            <v:shape w14:anchorId="33514D3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96CA8" w14:paraId="124AD6CC" w14:textId="77777777">
                      <w:trPr>
                        <w:trHeight w:val="240"/>
                      </w:trPr>
                      <w:tc>
                        <w:tcPr>
                          <w:tcW w:w="1140" w:type="dxa"/>
                        </w:tcPr>
                        <w:p w14:paraId="32CE3FB6" w14:textId="77777777" w:rsidR="00696CA8" w:rsidRDefault="00674E43">
                          <w:r>
                            <w:t>Datum</w:t>
                          </w:r>
                        </w:p>
                      </w:tc>
                      <w:tc>
                        <w:tcPr>
                          <w:tcW w:w="5918" w:type="dxa"/>
                        </w:tcPr>
                        <w:p w14:paraId="2D6EE4C3" w14:textId="3BF57758" w:rsidR="00696CA8" w:rsidRDefault="00351A8B">
                          <w:sdt>
                            <w:sdtPr>
                              <w:id w:val="1319852494"/>
                              <w:date w:fullDate="2025-07-02T00:00:00Z">
                                <w:dateFormat w:val="d MMMM yyyy"/>
                                <w:lid w:val="nl"/>
                                <w:storeMappedDataAs w:val="dateTime"/>
                                <w:calendar w:val="gregorian"/>
                              </w:date>
                            </w:sdtPr>
                            <w:sdtEndPr/>
                            <w:sdtContent>
                              <w:r w:rsidR="00CE4FAB">
                                <w:t>2 juli 2025</w:t>
                              </w:r>
                            </w:sdtContent>
                          </w:sdt>
                        </w:p>
                      </w:tc>
                    </w:tr>
                    <w:tr w:rsidR="00644F21" w14:paraId="44134203" w14:textId="77777777">
                      <w:trPr>
                        <w:trHeight w:val="240"/>
                      </w:trPr>
                      <w:tc>
                        <w:tcPr>
                          <w:tcW w:w="1140" w:type="dxa"/>
                        </w:tcPr>
                        <w:p w14:paraId="5C1F0E4C" w14:textId="77777777" w:rsidR="00644F21" w:rsidRDefault="00644F21" w:rsidP="00644F21">
                          <w:r>
                            <w:t>Betreft</w:t>
                          </w:r>
                        </w:p>
                      </w:tc>
                      <w:tc>
                        <w:tcPr>
                          <w:tcW w:w="5918" w:type="dxa"/>
                        </w:tcPr>
                        <w:p w14:paraId="2E7470AC" w14:textId="673B6280" w:rsidR="00644F21" w:rsidRDefault="00644F21" w:rsidP="00644F21">
                          <w:r w:rsidRPr="0096074E">
                            <w:fldChar w:fldCharType="begin"/>
                          </w:r>
                          <w:r w:rsidRPr="0096074E">
                            <w:instrText xml:space="preserve"> DOCPROPERTY onderwerp </w:instrText>
                          </w:r>
                          <w:r w:rsidRPr="0096074E">
                            <w:fldChar w:fldCharType="separate"/>
                          </w:r>
                          <w:r w:rsidRPr="0096074E">
                            <w:t>Aanbieding Jaaroverzicht 202</w:t>
                          </w:r>
                          <w:r>
                            <w:t>4</w:t>
                          </w:r>
                          <w:r w:rsidRPr="0096074E">
                            <w:t xml:space="preserve"> Financial Intelligence Unit-Nederland</w:t>
                          </w:r>
                          <w:r w:rsidRPr="0096074E">
                            <w:fldChar w:fldCharType="end"/>
                          </w:r>
                        </w:p>
                      </w:tc>
                    </w:tr>
                  </w:tbl>
                  <w:p w14:paraId="31D84A87" w14:textId="77777777" w:rsidR="00683BF5" w:rsidRDefault="00683BF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83091B" wp14:editId="4A013BC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C7CE7E" w14:textId="77777777" w:rsidR="00696CA8" w:rsidRDefault="00674E43">
                          <w:pPr>
                            <w:pStyle w:val="Referentiegegevensbold"/>
                          </w:pPr>
                          <w:r>
                            <w:t>Directoraat-Generaal Ondermijning</w:t>
                          </w:r>
                        </w:p>
                        <w:p w14:paraId="034997FC" w14:textId="77777777" w:rsidR="00696CA8" w:rsidRDefault="00696CA8">
                          <w:pPr>
                            <w:pStyle w:val="WitregelW1"/>
                          </w:pPr>
                        </w:p>
                        <w:p w14:paraId="39585AB7" w14:textId="77777777" w:rsidR="00696CA8" w:rsidRDefault="00674E43">
                          <w:pPr>
                            <w:pStyle w:val="Referentiegegevens"/>
                          </w:pPr>
                          <w:r>
                            <w:t>Turfmarkt 147</w:t>
                          </w:r>
                        </w:p>
                        <w:p w14:paraId="0D9CF2DB" w14:textId="77777777" w:rsidR="00696CA8" w:rsidRDefault="00674E43">
                          <w:pPr>
                            <w:pStyle w:val="Referentiegegevens"/>
                          </w:pPr>
                          <w:r>
                            <w:t>2511 DP   Den Haag</w:t>
                          </w:r>
                        </w:p>
                        <w:p w14:paraId="591D73E7" w14:textId="77777777" w:rsidR="00696CA8" w:rsidRPr="00355A4C" w:rsidRDefault="00674E43">
                          <w:pPr>
                            <w:pStyle w:val="Referentiegegevens"/>
                            <w:rPr>
                              <w:lang w:val="de-DE"/>
                            </w:rPr>
                          </w:pPr>
                          <w:r w:rsidRPr="00355A4C">
                            <w:rPr>
                              <w:lang w:val="de-DE"/>
                            </w:rPr>
                            <w:t>Postbus 20301</w:t>
                          </w:r>
                        </w:p>
                        <w:p w14:paraId="59F45589" w14:textId="77777777" w:rsidR="00696CA8" w:rsidRPr="00355A4C" w:rsidRDefault="00674E43">
                          <w:pPr>
                            <w:pStyle w:val="Referentiegegevens"/>
                            <w:rPr>
                              <w:lang w:val="de-DE"/>
                            </w:rPr>
                          </w:pPr>
                          <w:r w:rsidRPr="00355A4C">
                            <w:rPr>
                              <w:lang w:val="de-DE"/>
                            </w:rPr>
                            <w:t>2500 EH   Den Haag</w:t>
                          </w:r>
                        </w:p>
                        <w:p w14:paraId="0D8242D6" w14:textId="77777777" w:rsidR="00696CA8" w:rsidRPr="00355A4C" w:rsidRDefault="00674E43">
                          <w:pPr>
                            <w:pStyle w:val="Referentiegegevens"/>
                            <w:rPr>
                              <w:lang w:val="de-DE"/>
                            </w:rPr>
                          </w:pPr>
                          <w:r w:rsidRPr="00355A4C">
                            <w:rPr>
                              <w:lang w:val="de-DE"/>
                            </w:rPr>
                            <w:t>www.rijksoverheid.nl/jenv</w:t>
                          </w:r>
                        </w:p>
                        <w:p w14:paraId="594ACBF4" w14:textId="77777777" w:rsidR="00696CA8" w:rsidRPr="00355A4C" w:rsidRDefault="00696CA8">
                          <w:pPr>
                            <w:pStyle w:val="WitregelW1"/>
                            <w:rPr>
                              <w:lang w:val="de-DE"/>
                            </w:rPr>
                          </w:pPr>
                        </w:p>
                        <w:p w14:paraId="535CCEF9" w14:textId="77777777" w:rsidR="00696CA8" w:rsidRPr="0072313A" w:rsidRDefault="00696CA8">
                          <w:pPr>
                            <w:pStyle w:val="WitregelW2"/>
                            <w:rPr>
                              <w:lang w:val="de-DE"/>
                            </w:rPr>
                          </w:pPr>
                        </w:p>
                        <w:p w14:paraId="2A7CF9EE" w14:textId="77777777" w:rsidR="00696CA8" w:rsidRDefault="00674E43">
                          <w:pPr>
                            <w:pStyle w:val="Referentiegegevensbold"/>
                          </w:pPr>
                          <w:r>
                            <w:t>Onze referentie</w:t>
                          </w:r>
                        </w:p>
                        <w:p w14:paraId="178CE047" w14:textId="77777777" w:rsidR="00696CA8" w:rsidRDefault="00674E43">
                          <w:pPr>
                            <w:pStyle w:val="Referentiegegevens"/>
                          </w:pPr>
                          <w:r>
                            <w:t>6444178</w:t>
                          </w:r>
                        </w:p>
                        <w:p w14:paraId="29F1013E" w14:textId="619D92C2" w:rsidR="0072313A" w:rsidRPr="0072313A" w:rsidRDefault="0072313A" w:rsidP="0072313A">
                          <w:pPr>
                            <w:rPr>
                              <w:b/>
                              <w:bCs/>
                              <w:sz w:val="13"/>
                              <w:szCs w:val="13"/>
                            </w:rPr>
                          </w:pPr>
                          <w:r w:rsidRPr="0072313A">
                            <w:rPr>
                              <w:b/>
                              <w:bCs/>
                              <w:sz w:val="13"/>
                              <w:szCs w:val="13"/>
                            </w:rPr>
                            <w:t xml:space="preserve">Bijlagen </w:t>
                          </w:r>
                        </w:p>
                        <w:p w14:paraId="1E9D3C65" w14:textId="7BDEB8D2" w:rsidR="0072313A" w:rsidRPr="0072313A" w:rsidRDefault="0072313A" w:rsidP="0072313A">
                          <w:pPr>
                            <w:rPr>
                              <w:sz w:val="13"/>
                              <w:szCs w:val="13"/>
                            </w:rPr>
                          </w:pPr>
                          <w:r w:rsidRPr="0072313A">
                            <w:rPr>
                              <w:sz w:val="13"/>
                              <w:szCs w:val="13"/>
                            </w:rPr>
                            <w:t xml:space="preserve">1 </w:t>
                          </w:r>
                        </w:p>
                      </w:txbxContent>
                    </wps:txbx>
                    <wps:bodyPr vert="horz" wrap="square" lIns="0" tIns="0" rIns="0" bIns="0" anchor="t" anchorCtr="0"/>
                  </wps:wsp>
                </a:graphicData>
              </a:graphic>
            </wp:anchor>
          </w:drawing>
        </mc:Choice>
        <mc:Fallback>
          <w:pict>
            <v:shape w14:anchorId="7C83091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3C7CE7E" w14:textId="77777777" w:rsidR="00696CA8" w:rsidRDefault="00674E43">
                    <w:pPr>
                      <w:pStyle w:val="Referentiegegevensbold"/>
                    </w:pPr>
                    <w:r>
                      <w:t>Directoraat-Generaal Ondermijning</w:t>
                    </w:r>
                  </w:p>
                  <w:p w14:paraId="034997FC" w14:textId="77777777" w:rsidR="00696CA8" w:rsidRDefault="00696CA8">
                    <w:pPr>
                      <w:pStyle w:val="WitregelW1"/>
                    </w:pPr>
                  </w:p>
                  <w:p w14:paraId="39585AB7" w14:textId="77777777" w:rsidR="00696CA8" w:rsidRDefault="00674E43">
                    <w:pPr>
                      <w:pStyle w:val="Referentiegegevens"/>
                    </w:pPr>
                    <w:r>
                      <w:t>Turfmarkt 147</w:t>
                    </w:r>
                  </w:p>
                  <w:p w14:paraId="0D9CF2DB" w14:textId="77777777" w:rsidR="00696CA8" w:rsidRDefault="00674E43">
                    <w:pPr>
                      <w:pStyle w:val="Referentiegegevens"/>
                    </w:pPr>
                    <w:r>
                      <w:t>2511 DP   Den Haag</w:t>
                    </w:r>
                  </w:p>
                  <w:p w14:paraId="591D73E7" w14:textId="77777777" w:rsidR="00696CA8" w:rsidRPr="00355A4C" w:rsidRDefault="00674E43">
                    <w:pPr>
                      <w:pStyle w:val="Referentiegegevens"/>
                      <w:rPr>
                        <w:lang w:val="de-DE"/>
                      </w:rPr>
                    </w:pPr>
                    <w:r w:rsidRPr="00355A4C">
                      <w:rPr>
                        <w:lang w:val="de-DE"/>
                      </w:rPr>
                      <w:t>Postbus 20301</w:t>
                    </w:r>
                  </w:p>
                  <w:p w14:paraId="59F45589" w14:textId="77777777" w:rsidR="00696CA8" w:rsidRPr="00355A4C" w:rsidRDefault="00674E43">
                    <w:pPr>
                      <w:pStyle w:val="Referentiegegevens"/>
                      <w:rPr>
                        <w:lang w:val="de-DE"/>
                      </w:rPr>
                    </w:pPr>
                    <w:r w:rsidRPr="00355A4C">
                      <w:rPr>
                        <w:lang w:val="de-DE"/>
                      </w:rPr>
                      <w:t>2500 EH   Den Haag</w:t>
                    </w:r>
                  </w:p>
                  <w:p w14:paraId="0D8242D6" w14:textId="77777777" w:rsidR="00696CA8" w:rsidRPr="00355A4C" w:rsidRDefault="00674E43">
                    <w:pPr>
                      <w:pStyle w:val="Referentiegegevens"/>
                      <w:rPr>
                        <w:lang w:val="de-DE"/>
                      </w:rPr>
                    </w:pPr>
                    <w:r w:rsidRPr="00355A4C">
                      <w:rPr>
                        <w:lang w:val="de-DE"/>
                      </w:rPr>
                      <w:t>www.rijksoverheid.nl/jenv</w:t>
                    </w:r>
                  </w:p>
                  <w:p w14:paraId="594ACBF4" w14:textId="77777777" w:rsidR="00696CA8" w:rsidRPr="00355A4C" w:rsidRDefault="00696CA8">
                    <w:pPr>
                      <w:pStyle w:val="WitregelW1"/>
                      <w:rPr>
                        <w:lang w:val="de-DE"/>
                      </w:rPr>
                    </w:pPr>
                  </w:p>
                  <w:p w14:paraId="535CCEF9" w14:textId="77777777" w:rsidR="00696CA8" w:rsidRPr="0072313A" w:rsidRDefault="00696CA8">
                    <w:pPr>
                      <w:pStyle w:val="WitregelW2"/>
                      <w:rPr>
                        <w:lang w:val="de-DE"/>
                      </w:rPr>
                    </w:pPr>
                  </w:p>
                  <w:p w14:paraId="2A7CF9EE" w14:textId="77777777" w:rsidR="00696CA8" w:rsidRDefault="00674E43">
                    <w:pPr>
                      <w:pStyle w:val="Referentiegegevensbold"/>
                    </w:pPr>
                    <w:r>
                      <w:t>Onze referentie</w:t>
                    </w:r>
                  </w:p>
                  <w:p w14:paraId="178CE047" w14:textId="77777777" w:rsidR="00696CA8" w:rsidRDefault="00674E43">
                    <w:pPr>
                      <w:pStyle w:val="Referentiegegevens"/>
                    </w:pPr>
                    <w:r>
                      <w:t>6444178</w:t>
                    </w:r>
                  </w:p>
                  <w:p w14:paraId="29F1013E" w14:textId="619D92C2" w:rsidR="0072313A" w:rsidRPr="0072313A" w:rsidRDefault="0072313A" w:rsidP="0072313A">
                    <w:pPr>
                      <w:rPr>
                        <w:b/>
                        <w:bCs/>
                        <w:sz w:val="13"/>
                        <w:szCs w:val="13"/>
                      </w:rPr>
                    </w:pPr>
                    <w:r w:rsidRPr="0072313A">
                      <w:rPr>
                        <w:b/>
                        <w:bCs/>
                        <w:sz w:val="13"/>
                        <w:szCs w:val="13"/>
                      </w:rPr>
                      <w:t xml:space="preserve">Bijlagen </w:t>
                    </w:r>
                  </w:p>
                  <w:p w14:paraId="1E9D3C65" w14:textId="7BDEB8D2" w:rsidR="0072313A" w:rsidRPr="0072313A" w:rsidRDefault="0072313A" w:rsidP="0072313A">
                    <w:pPr>
                      <w:rPr>
                        <w:sz w:val="13"/>
                        <w:szCs w:val="13"/>
                      </w:rPr>
                    </w:pPr>
                    <w:r w:rsidRPr="0072313A">
                      <w:rPr>
                        <w:sz w:val="13"/>
                        <w:szCs w:val="13"/>
                      </w:rPr>
                      <w:t xml:space="preserve">1 </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C60365D" wp14:editId="0212502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26FBDA" w14:textId="77777777" w:rsidR="00696CA8" w:rsidRDefault="00674E43">
                          <w:pPr>
                            <w:pStyle w:val="Referentiegegevens"/>
                          </w:pPr>
                          <w:r>
                            <w:t xml:space="preserve">Pagina </w:t>
                          </w:r>
                          <w:r>
                            <w:fldChar w:fldCharType="begin"/>
                          </w:r>
                          <w:r>
                            <w:instrText>PAGE</w:instrText>
                          </w:r>
                          <w:r>
                            <w:fldChar w:fldCharType="separate"/>
                          </w:r>
                          <w:r w:rsidR="00644F21">
                            <w:rPr>
                              <w:noProof/>
                            </w:rPr>
                            <w:t>1</w:t>
                          </w:r>
                          <w:r>
                            <w:fldChar w:fldCharType="end"/>
                          </w:r>
                          <w:r>
                            <w:t xml:space="preserve"> van </w:t>
                          </w:r>
                          <w:r>
                            <w:fldChar w:fldCharType="begin"/>
                          </w:r>
                          <w:r>
                            <w:instrText>NUMPAGES</w:instrText>
                          </w:r>
                          <w:r>
                            <w:fldChar w:fldCharType="separate"/>
                          </w:r>
                          <w:r w:rsidR="00644F21">
                            <w:rPr>
                              <w:noProof/>
                            </w:rPr>
                            <w:t>1</w:t>
                          </w:r>
                          <w:r>
                            <w:fldChar w:fldCharType="end"/>
                          </w:r>
                        </w:p>
                      </w:txbxContent>
                    </wps:txbx>
                    <wps:bodyPr vert="horz" wrap="square" lIns="0" tIns="0" rIns="0" bIns="0" anchor="t" anchorCtr="0"/>
                  </wps:wsp>
                </a:graphicData>
              </a:graphic>
            </wp:anchor>
          </w:drawing>
        </mc:Choice>
        <mc:Fallback>
          <w:pict>
            <v:shape w14:anchorId="2C60365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926FBDA" w14:textId="77777777" w:rsidR="00696CA8" w:rsidRDefault="00674E43">
                    <w:pPr>
                      <w:pStyle w:val="Referentiegegevens"/>
                    </w:pPr>
                    <w:r>
                      <w:t xml:space="preserve">Pagina </w:t>
                    </w:r>
                    <w:r>
                      <w:fldChar w:fldCharType="begin"/>
                    </w:r>
                    <w:r>
                      <w:instrText>PAGE</w:instrText>
                    </w:r>
                    <w:r>
                      <w:fldChar w:fldCharType="separate"/>
                    </w:r>
                    <w:r w:rsidR="00644F21">
                      <w:rPr>
                        <w:noProof/>
                      </w:rPr>
                      <w:t>1</w:t>
                    </w:r>
                    <w:r>
                      <w:fldChar w:fldCharType="end"/>
                    </w:r>
                    <w:r>
                      <w:t xml:space="preserve"> van </w:t>
                    </w:r>
                    <w:r>
                      <w:fldChar w:fldCharType="begin"/>
                    </w:r>
                    <w:r>
                      <w:instrText>NUMPAGES</w:instrText>
                    </w:r>
                    <w:r>
                      <w:fldChar w:fldCharType="separate"/>
                    </w:r>
                    <w:r w:rsidR="00644F2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39A7F47" wp14:editId="291191B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00D450" w14:textId="77777777" w:rsidR="00683BF5" w:rsidRDefault="00683BF5"/>
                      </w:txbxContent>
                    </wps:txbx>
                    <wps:bodyPr vert="horz" wrap="square" lIns="0" tIns="0" rIns="0" bIns="0" anchor="t" anchorCtr="0"/>
                  </wps:wsp>
                </a:graphicData>
              </a:graphic>
            </wp:anchor>
          </w:drawing>
        </mc:Choice>
        <mc:Fallback>
          <w:pict>
            <v:shape w14:anchorId="139A7F4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500D450" w14:textId="77777777" w:rsidR="00683BF5" w:rsidRDefault="00683BF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205FBC"/>
    <w:multiLevelType w:val="multilevel"/>
    <w:tmpl w:val="F288F32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AC8D581"/>
    <w:multiLevelType w:val="multilevel"/>
    <w:tmpl w:val="5F68248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C240B7C"/>
    <w:multiLevelType w:val="multilevel"/>
    <w:tmpl w:val="D815FF4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4CD0AA7"/>
    <w:multiLevelType w:val="multilevel"/>
    <w:tmpl w:val="3640D9D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F112C5A"/>
    <w:multiLevelType w:val="multilevel"/>
    <w:tmpl w:val="239BAF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3FC2426"/>
    <w:multiLevelType w:val="hybridMultilevel"/>
    <w:tmpl w:val="7894638A"/>
    <w:lvl w:ilvl="0" w:tplc="0A560104">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3FEF73"/>
    <w:multiLevelType w:val="multilevel"/>
    <w:tmpl w:val="3478A0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77585130">
    <w:abstractNumId w:val="2"/>
  </w:num>
  <w:num w:numId="2" w16cid:durableId="229925183">
    <w:abstractNumId w:val="0"/>
  </w:num>
  <w:num w:numId="3" w16cid:durableId="1073822134">
    <w:abstractNumId w:val="1"/>
  </w:num>
  <w:num w:numId="4" w16cid:durableId="475953367">
    <w:abstractNumId w:val="6"/>
  </w:num>
  <w:num w:numId="5" w16cid:durableId="358286247">
    <w:abstractNumId w:val="3"/>
  </w:num>
  <w:num w:numId="6" w16cid:durableId="2113932946">
    <w:abstractNumId w:val="4"/>
  </w:num>
  <w:num w:numId="7" w16cid:durableId="1180238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21"/>
    <w:rsid w:val="00046A27"/>
    <w:rsid w:val="00055BF7"/>
    <w:rsid w:val="00057815"/>
    <w:rsid w:val="000B31B3"/>
    <w:rsid w:val="0010296A"/>
    <w:rsid w:val="0010381E"/>
    <w:rsid w:val="001112C7"/>
    <w:rsid w:val="00113441"/>
    <w:rsid w:val="00127C0E"/>
    <w:rsid w:val="00145C4E"/>
    <w:rsid w:val="001535F2"/>
    <w:rsid w:val="001729F3"/>
    <w:rsid w:val="001A7CB6"/>
    <w:rsid w:val="001B39AC"/>
    <w:rsid w:val="001B67BD"/>
    <w:rsid w:val="001F5FB1"/>
    <w:rsid w:val="00215AB5"/>
    <w:rsid w:val="00245EEE"/>
    <w:rsid w:val="00247CE0"/>
    <w:rsid w:val="002943F9"/>
    <w:rsid w:val="00295BA1"/>
    <w:rsid w:val="002B1C21"/>
    <w:rsid w:val="002B2094"/>
    <w:rsid w:val="002B33D9"/>
    <w:rsid w:val="002E0296"/>
    <w:rsid w:val="002F6B62"/>
    <w:rsid w:val="0031680B"/>
    <w:rsid w:val="00331FEE"/>
    <w:rsid w:val="0034311C"/>
    <w:rsid w:val="00346627"/>
    <w:rsid w:val="00351A8B"/>
    <w:rsid w:val="00355A4C"/>
    <w:rsid w:val="00366578"/>
    <w:rsid w:val="00371A7D"/>
    <w:rsid w:val="003737C3"/>
    <w:rsid w:val="00391CFC"/>
    <w:rsid w:val="003B2150"/>
    <w:rsid w:val="003B2827"/>
    <w:rsid w:val="003D307C"/>
    <w:rsid w:val="00400A32"/>
    <w:rsid w:val="004028BD"/>
    <w:rsid w:val="004153FB"/>
    <w:rsid w:val="00417BA4"/>
    <w:rsid w:val="0043190F"/>
    <w:rsid w:val="00441EE8"/>
    <w:rsid w:val="00444764"/>
    <w:rsid w:val="0045405E"/>
    <w:rsid w:val="00467865"/>
    <w:rsid w:val="00490922"/>
    <w:rsid w:val="004920EF"/>
    <w:rsid w:val="00492FF9"/>
    <w:rsid w:val="00496FFB"/>
    <w:rsid w:val="004B7020"/>
    <w:rsid w:val="004B72BC"/>
    <w:rsid w:val="004C3871"/>
    <w:rsid w:val="004C574B"/>
    <w:rsid w:val="005066C0"/>
    <w:rsid w:val="00517EE8"/>
    <w:rsid w:val="00536171"/>
    <w:rsid w:val="00541D2D"/>
    <w:rsid w:val="005431F9"/>
    <w:rsid w:val="005467F1"/>
    <w:rsid w:val="00546A8A"/>
    <w:rsid w:val="005C007D"/>
    <w:rsid w:val="005F0A94"/>
    <w:rsid w:val="005F396C"/>
    <w:rsid w:val="005F4E66"/>
    <w:rsid w:val="005F5564"/>
    <w:rsid w:val="005F5622"/>
    <w:rsid w:val="005F61FA"/>
    <w:rsid w:val="005F747F"/>
    <w:rsid w:val="00610BB1"/>
    <w:rsid w:val="006160C4"/>
    <w:rsid w:val="006166E0"/>
    <w:rsid w:val="00617FDB"/>
    <w:rsid w:val="006228DB"/>
    <w:rsid w:val="006241BB"/>
    <w:rsid w:val="00630FD7"/>
    <w:rsid w:val="006326E3"/>
    <w:rsid w:val="00644F21"/>
    <w:rsid w:val="00647757"/>
    <w:rsid w:val="00674E43"/>
    <w:rsid w:val="00683BF5"/>
    <w:rsid w:val="00696CA8"/>
    <w:rsid w:val="006F6005"/>
    <w:rsid w:val="00704BE8"/>
    <w:rsid w:val="007135DC"/>
    <w:rsid w:val="00722480"/>
    <w:rsid w:val="0072313A"/>
    <w:rsid w:val="00732EB8"/>
    <w:rsid w:val="00766327"/>
    <w:rsid w:val="00785787"/>
    <w:rsid w:val="007876D5"/>
    <w:rsid w:val="007A26F7"/>
    <w:rsid w:val="007B214F"/>
    <w:rsid w:val="007B50CC"/>
    <w:rsid w:val="007B6E2E"/>
    <w:rsid w:val="007C726A"/>
    <w:rsid w:val="007E31DB"/>
    <w:rsid w:val="007F7EA7"/>
    <w:rsid w:val="008118B2"/>
    <w:rsid w:val="008211DB"/>
    <w:rsid w:val="00821FB8"/>
    <w:rsid w:val="00837909"/>
    <w:rsid w:val="0084118C"/>
    <w:rsid w:val="008976CD"/>
    <w:rsid w:val="008B0D31"/>
    <w:rsid w:val="008B4CBD"/>
    <w:rsid w:val="008C3F25"/>
    <w:rsid w:val="008F0866"/>
    <w:rsid w:val="00907164"/>
    <w:rsid w:val="009072DA"/>
    <w:rsid w:val="009746D1"/>
    <w:rsid w:val="009910AE"/>
    <w:rsid w:val="009A1E97"/>
    <w:rsid w:val="00A03163"/>
    <w:rsid w:val="00A23BE2"/>
    <w:rsid w:val="00A25ECE"/>
    <w:rsid w:val="00A559FC"/>
    <w:rsid w:val="00A84221"/>
    <w:rsid w:val="00AE20D6"/>
    <w:rsid w:val="00AE70FB"/>
    <w:rsid w:val="00AF71A0"/>
    <w:rsid w:val="00B00E87"/>
    <w:rsid w:val="00B069B3"/>
    <w:rsid w:val="00B31289"/>
    <w:rsid w:val="00B461EA"/>
    <w:rsid w:val="00B76097"/>
    <w:rsid w:val="00B87CD1"/>
    <w:rsid w:val="00BA450D"/>
    <w:rsid w:val="00BB50E3"/>
    <w:rsid w:val="00BC5D71"/>
    <w:rsid w:val="00BD221C"/>
    <w:rsid w:val="00BD2B77"/>
    <w:rsid w:val="00C02435"/>
    <w:rsid w:val="00C06CE0"/>
    <w:rsid w:val="00C214EE"/>
    <w:rsid w:val="00C2311E"/>
    <w:rsid w:val="00C5438F"/>
    <w:rsid w:val="00C543D6"/>
    <w:rsid w:val="00C6666A"/>
    <w:rsid w:val="00C93963"/>
    <w:rsid w:val="00C95C1C"/>
    <w:rsid w:val="00CA5133"/>
    <w:rsid w:val="00CC14E8"/>
    <w:rsid w:val="00CE4FAB"/>
    <w:rsid w:val="00CE70D9"/>
    <w:rsid w:val="00D075DB"/>
    <w:rsid w:val="00D15748"/>
    <w:rsid w:val="00D357BF"/>
    <w:rsid w:val="00D63328"/>
    <w:rsid w:val="00D731EA"/>
    <w:rsid w:val="00D73333"/>
    <w:rsid w:val="00D825C6"/>
    <w:rsid w:val="00D91EC2"/>
    <w:rsid w:val="00DF4244"/>
    <w:rsid w:val="00E16606"/>
    <w:rsid w:val="00E330B0"/>
    <w:rsid w:val="00E3334F"/>
    <w:rsid w:val="00E34F21"/>
    <w:rsid w:val="00E37308"/>
    <w:rsid w:val="00E43E0E"/>
    <w:rsid w:val="00E666EC"/>
    <w:rsid w:val="00E83553"/>
    <w:rsid w:val="00E835D5"/>
    <w:rsid w:val="00E85573"/>
    <w:rsid w:val="00E87F40"/>
    <w:rsid w:val="00E9357F"/>
    <w:rsid w:val="00EB1830"/>
    <w:rsid w:val="00EB1A3B"/>
    <w:rsid w:val="00EC2521"/>
    <w:rsid w:val="00EE7879"/>
    <w:rsid w:val="00EF21E9"/>
    <w:rsid w:val="00EF79BC"/>
    <w:rsid w:val="00F03922"/>
    <w:rsid w:val="00F1474F"/>
    <w:rsid w:val="00F201F4"/>
    <w:rsid w:val="00F36F60"/>
    <w:rsid w:val="00F537B4"/>
    <w:rsid w:val="00F67F82"/>
    <w:rsid w:val="00F95B19"/>
    <w:rsid w:val="00FA49AB"/>
    <w:rsid w:val="00FB4164"/>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my-MM"/>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lang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44F2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4F21"/>
    <w:rPr>
      <w:rFonts w:ascii="Verdana" w:hAnsi="Verdana"/>
      <w:color w:val="000000"/>
      <w:sz w:val="18"/>
      <w:szCs w:val="18"/>
    </w:rPr>
  </w:style>
  <w:style w:type="paragraph" w:customStyle="1" w:styleId="adres">
    <w:name w:val="adres"/>
    <w:basedOn w:val="Standaard"/>
    <w:rsid w:val="00644F21"/>
    <w:pPr>
      <w:tabs>
        <w:tab w:val="left" w:pos="227"/>
        <w:tab w:val="left" w:pos="454"/>
        <w:tab w:val="left" w:pos="680"/>
      </w:tabs>
      <w:autoSpaceDE w:val="0"/>
      <w:adjustRightInd w:val="0"/>
      <w:textAlignment w:val="auto"/>
    </w:pPr>
    <w:rPr>
      <w:rFonts w:eastAsia="Times New Roman" w:cs="Times New Roman"/>
      <w:noProof/>
      <w:color w:val="auto"/>
      <w:lang w:bidi="ar-SA"/>
    </w:rPr>
  </w:style>
  <w:style w:type="paragraph" w:customStyle="1" w:styleId="broodtekst">
    <w:name w:val="broodtekst"/>
    <w:basedOn w:val="Standaard"/>
    <w:qFormat/>
    <w:rsid w:val="00366578"/>
    <w:pPr>
      <w:tabs>
        <w:tab w:val="left" w:pos="227"/>
        <w:tab w:val="left" w:pos="454"/>
        <w:tab w:val="left" w:pos="680"/>
      </w:tabs>
      <w:autoSpaceDE w:val="0"/>
      <w:adjustRightInd w:val="0"/>
      <w:textAlignment w:val="auto"/>
    </w:pPr>
    <w:rPr>
      <w:rFonts w:eastAsia="Times New Roman" w:cs="Times New Roman"/>
      <w:color w:val="auto"/>
      <w:lang w:bidi="ar-SA"/>
    </w:rPr>
  </w:style>
  <w:style w:type="paragraph" w:styleId="Voetnoottekst">
    <w:name w:val="footnote text"/>
    <w:basedOn w:val="Standaard"/>
    <w:link w:val="VoetnoottekstChar"/>
    <w:uiPriority w:val="99"/>
    <w:semiHidden/>
    <w:rsid w:val="00417BA4"/>
    <w:pPr>
      <w:autoSpaceDN/>
      <w:textAlignment w:val="auto"/>
    </w:pPr>
    <w:rPr>
      <w:rFonts w:eastAsia="Times New Roman" w:cs="Times New Roman"/>
      <w:color w:val="auto"/>
      <w:sz w:val="16"/>
      <w:szCs w:val="20"/>
      <w:lang w:bidi="ar-SA"/>
    </w:rPr>
  </w:style>
  <w:style w:type="character" w:customStyle="1" w:styleId="VoetnoottekstChar">
    <w:name w:val="Voetnoottekst Char"/>
    <w:basedOn w:val="Standaardalinea-lettertype"/>
    <w:link w:val="Voetnoottekst"/>
    <w:uiPriority w:val="99"/>
    <w:semiHidden/>
    <w:rsid w:val="00417BA4"/>
    <w:rPr>
      <w:rFonts w:ascii="Verdana" w:eastAsia="Times New Roman" w:hAnsi="Verdana" w:cs="Times New Roman"/>
      <w:sz w:val="16"/>
      <w:lang w:bidi="ar-SA"/>
    </w:rPr>
  </w:style>
  <w:style w:type="character" w:styleId="Voetnootmarkering">
    <w:name w:val="footnote reference"/>
    <w:basedOn w:val="Standaardalinea-lettertype"/>
    <w:uiPriority w:val="99"/>
    <w:semiHidden/>
    <w:rsid w:val="00417BA4"/>
    <w:rPr>
      <w:vertAlign w:val="superscript"/>
    </w:rPr>
  </w:style>
  <w:style w:type="character" w:styleId="Verwijzingopmerking">
    <w:name w:val="annotation reference"/>
    <w:basedOn w:val="Standaardalinea-lettertype"/>
    <w:uiPriority w:val="99"/>
    <w:semiHidden/>
    <w:unhideWhenUsed/>
    <w:rsid w:val="00E330B0"/>
    <w:rPr>
      <w:sz w:val="16"/>
      <w:szCs w:val="16"/>
    </w:rPr>
  </w:style>
  <w:style w:type="paragraph" w:styleId="Tekstopmerking">
    <w:name w:val="annotation text"/>
    <w:basedOn w:val="Standaard"/>
    <w:link w:val="TekstopmerkingChar"/>
    <w:uiPriority w:val="99"/>
    <w:unhideWhenUsed/>
    <w:rsid w:val="00E330B0"/>
    <w:pPr>
      <w:spacing w:line="240" w:lineRule="auto"/>
    </w:pPr>
    <w:rPr>
      <w:sz w:val="20"/>
      <w:szCs w:val="20"/>
    </w:rPr>
  </w:style>
  <w:style w:type="character" w:customStyle="1" w:styleId="TekstopmerkingChar">
    <w:name w:val="Tekst opmerking Char"/>
    <w:basedOn w:val="Standaardalinea-lettertype"/>
    <w:link w:val="Tekstopmerking"/>
    <w:uiPriority w:val="99"/>
    <w:rsid w:val="00E330B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F79BC"/>
    <w:rPr>
      <w:b/>
      <w:bCs/>
    </w:rPr>
  </w:style>
  <w:style w:type="character" w:customStyle="1" w:styleId="OnderwerpvanopmerkingChar">
    <w:name w:val="Onderwerp van opmerking Char"/>
    <w:basedOn w:val="TekstopmerkingChar"/>
    <w:link w:val="Onderwerpvanopmerking"/>
    <w:uiPriority w:val="99"/>
    <w:semiHidden/>
    <w:rsid w:val="00EF79BC"/>
    <w:rPr>
      <w:rFonts w:ascii="Verdana" w:hAnsi="Verdana"/>
      <w:b/>
      <w:bCs/>
      <w:color w:val="000000"/>
    </w:rPr>
  </w:style>
  <w:style w:type="paragraph" w:styleId="Lijstalinea">
    <w:name w:val="List Paragraph"/>
    <w:basedOn w:val="Standaard"/>
    <w:uiPriority w:val="34"/>
    <w:semiHidden/>
    <w:rsid w:val="00400A32"/>
    <w:pPr>
      <w:ind w:left="720"/>
      <w:contextualSpacing/>
    </w:pPr>
  </w:style>
  <w:style w:type="paragraph" w:styleId="Revisie">
    <w:name w:val="Revision"/>
    <w:hidden/>
    <w:uiPriority w:val="99"/>
    <w:semiHidden/>
    <w:rsid w:val="00674E4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5160">
      <w:bodyDiv w:val="1"/>
      <w:marLeft w:val="0"/>
      <w:marRight w:val="0"/>
      <w:marTop w:val="0"/>
      <w:marBottom w:val="0"/>
      <w:divBdr>
        <w:top w:val="none" w:sz="0" w:space="0" w:color="auto"/>
        <w:left w:val="none" w:sz="0" w:space="0" w:color="auto"/>
        <w:bottom w:val="none" w:sz="0" w:space="0" w:color="auto"/>
        <w:right w:val="none" w:sz="0" w:space="0" w:color="auto"/>
      </w:divBdr>
    </w:div>
    <w:div w:id="1384522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1809</ap:Words>
  <ap:Characters>9953</ap:Characters>
  <ap:DocSecurity>0</ap:DocSecurity>
  <ap:Lines>82</ap:Lines>
  <ap:Paragraphs>23</ap:Paragraphs>
  <ap:ScaleCrop>false</ap:ScaleCrop>
  <ap:LinksUpToDate>false</ap:LinksUpToDate>
  <ap:CharactersWithSpaces>11739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2025-07-01T12:35:00.0000000Z</dcterms:created>
  <dcterms:modified xsi:type="dcterms:W3CDTF">2025-07-01T12:35:00.0000000Z</dcterms:modified>
  <dc:description>------------------------</dc:description>
  <dc:subject/>
  <keywords/>
  <version/>
  <category/>
</coreProperties>
</file>