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2025Z13911</w:t>
        <w:br/>
      </w:r>
      <w:proofErr w:type="spellEnd"/>
    </w:p>
    <w:p>
      <w:pPr>
        <w:pStyle w:val="Normal"/>
        <w:rPr>
          <w:b w:val="1"/>
          <w:bCs w:val="1"/>
        </w:rPr>
      </w:pPr>
      <w:r w:rsidR="250AE766">
        <w:rPr>
          <w:b w:val="0"/>
          <w:bCs w:val="0"/>
        </w:rPr>
        <w:t>(ingezonden 2 juli 2025)</w:t>
        <w:br/>
      </w:r>
    </w:p>
    <w:p>
      <w:r>
        <w:t xml:space="preserve">Vragen van het lid Dobbe (SP) aan de ministers van Justitie en Veiligheid en van Volksgezondheid. Welzijn en Sport over het rapport van de WODC over huwelijksdwang, achterlating en vrouwelijke genitale verminking.</w:t>
      </w:r>
      <w:r>
        <w:br/>
      </w:r>
    </w:p>
    <w:p>
      <w:pPr>
        <w:pStyle w:val="ListParagraph"/>
        <w:numPr>
          <w:ilvl w:val="0"/>
          <w:numId w:val="100482490"/>
        </w:numPr>
        <w:ind w:left="360"/>
      </w:pPr>
      <w:r>
        <w:t xml:space="preserve">Heeft u kennisgenomen van het rapport ‘Over Grenzen’ van de WODC over huwelijksdwang, achterlating en vrouwelijke genitale verminking? 1)</w:t>
      </w:r>
      <w:r>
        <w:br/>
      </w:r>
    </w:p>
    <w:p>
      <w:pPr>
        <w:pStyle w:val="ListParagraph"/>
        <w:numPr>
          <w:ilvl w:val="0"/>
          <w:numId w:val="100482490"/>
        </w:numPr>
        <w:ind w:left="360"/>
      </w:pPr>
      <w:r>
        <w:t xml:space="preserve">Deelt u de conclusie uit het rapport waarin wordt geconstateerd dat de huidige aanpak tegen schadelijke praktijken in Nederland ‘tekortschiet’? Zo nee, waarom niet?</w:t>
      </w:r>
      <w:r>
        <w:br/>
      </w:r>
    </w:p>
    <w:p>
      <w:pPr>
        <w:pStyle w:val="ListParagraph"/>
        <w:numPr>
          <w:ilvl w:val="0"/>
          <w:numId w:val="100482490"/>
        </w:numPr>
        <w:ind w:left="360"/>
      </w:pPr>
      <w:r>
        <w:t xml:space="preserve">Gaat u de aanbevelingen van dit rapport overnemen en in beleid omzetten? Zo nee, waarom niet?</w:t>
      </w:r>
      <w:r>
        <w:br/>
      </w:r>
    </w:p>
    <w:p>
      <w:pPr>
        <w:pStyle w:val="ListParagraph"/>
        <w:numPr>
          <w:ilvl w:val="0"/>
          <w:numId w:val="100482490"/>
        </w:numPr>
        <w:ind w:left="360"/>
      </w:pPr>
      <w:r>
        <w:t xml:space="preserve">Neemt u de eerste aanbeveling over, waarin wordt gevraagd om te investeren in signalering, risico-inschatting en ketensamenwerking? Gaat u hier ook middelen voor beschikbaar stellen? Zo nee, waarom niet?</w:t>
      </w:r>
      <w:r>
        <w:br/>
      </w:r>
    </w:p>
    <w:p>
      <w:pPr>
        <w:pStyle w:val="ListParagraph"/>
        <w:numPr>
          <w:ilvl w:val="0"/>
          <w:numId w:val="100482490"/>
        </w:numPr>
        <w:ind w:left="360"/>
      </w:pPr>
      <w:r>
        <w:t xml:space="preserve">Neemt u de aanbeveling over om civielrechtelijke beschermingsbevelen in te voeren naar Brits voorbeeld? Zo nee, waarom niet?</w:t>
      </w:r>
      <w:r>
        <w:br/>
      </w:r>
    </w:p>
    <w:p>
      <w:pPr>
        <w:pStyle w:val="ListParagraph"/>
        <w:numPr>
          <w:ilvl w:val="0"/>
          <w:numId w:val="100482490"/>
        </w:numPr>
        <w:ind w:left="360"/>
      </w:pPr>
      <w:r>
        <w:t xml:space="preserve">Gaat u de aanbeveling over het verbeteren van het kader voor ondersteuning, bescherming en handhaving opvolgen? Zo ja, op welke wijze? Zo nee, waarom niet?</w:t>
      </w:r>
      <w:r>
        <w:br/>
      </w:r>
    </w:p>
    <w:p>
      <w:pPr>
        <w:pStyle w:val="ListParagraph"/>
        <w:numPr>
          <w:ilvl w:val="0"/>
          <w:numId w:val="100482490"/>
        </w:numPr>
        <w:ind w:left="360"/>
      </w:pPr>
      <w:r>
        <w:t xml:space="preserve">Op welke manier gaat u invulling geven aan de aanbeveling om uitsluiting, wantrouwen en discriminatie door maatregelen tegen schadelijke praktijken tegen te gaan?</w:t>
      </w:r>
      <w:r>
        <w:br/>
      </w:r>
    </w:p>
    <w:p>
      <w:pPr>
        <w:pStyle w:val="ListParagraph"/>
        <w:numPr>
          <w:ilvl w:val="0"/>
          <w:numId w:val="100482490"/>
        </w:numPr>
        <w:ind w:left="360"/>
      </w:pPr>
      <w:r>
        <w:t xml:space="preserve">Bent u bereid het oproepen tot of verheerlijken van vrouwelijke genitale verminking expliciet strafbaar te stellen in het wetboek van strafrecht? Zo nee, waarom niet?</w:t>
      </w:r>
      <w:r>
        <w:br/>
      </w:r>
    </w:p>
    <w:p>
      <w:pPr>
        <w:pStyle w:val="ListParagraph"/>
        <w:numPr>
          <w:ilvl w:val="0"/>
          <w:numId w:val="100482490"/>
        </w:numPr>
        <w:ind w:left="360"/>
      </w:pPr>
      <w:r>
        <w:t xml:space="preserve">Bent u inmiddels wel bereid uitvoering te geven aan de aangenomen motie Dobbe c.s. om hersteloperaties voor vrouwelijke genitale mutilatie uit te zonderen van het eigen risico? 2) Zo nee waarom niet?</w:t>
      </w:r>
      <w:r>
        <w:br/>
      </w:r>
    </w:p>
    <w:p>
      <w:r>
        <w:t xml:space="preserve"> </w:t>
      </w:r>
      <w:r>
        <w:br/>
      </w:r>
    </w:p>
    <w:p>
      <w:r>
        <w:t xml:space="preserve">1) WODC, 30 juni 2025, Combinatie van civiel en strafrecht als nieuwe route naar betere bescherming slachtoffers (www.wodc.nl/actueel/nieuws/2025/06/30/combinatie-van-civiel-en-strafrecht-als-nieuwe-route-naar-betere-bescherming-slachtoffers).</w:t>
      </w:r>
      <w:r>
        <w:br/>
      </w:r>
    </w:p>
    <w:p>
      <w:r>
        <w:t xml:space="preserve">2) Kamerstuk 31765, nr. 863.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490">
    <w:abstractNumId w:val="100482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