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A5830" w:rsidTr="00D9561B" w14:paraId="1776014B" w14:textId="77777777">
        <w:trPr>
          <w:trHeight w:val="1514"/>
        </w:trPr>
        <w:tc>
          <w:tcPr>
            <w:tcW w:w="7522" w:type="dxa"/>
            <w:tcBorders>
              <w:top w:val="nil"/>
              <w:left w:val="nil"/>
              <w:bottom w:val="nil"/>
              <w:right w:val="nil"/>
            </w:tcBorders>
            <w:tcMar>
              <w:left w:w="0" w:type="dxa"/>
              <w:right w:w="0" w:type="dxa"/>
            </w:tcMar>
          </w:tcPr>
          <w:p w:rsidR="00374412" w:rsidP="00D9561B" w:rsidRDefault="00475931" w14:paraId="3FD38EE0" w14:textId="77777777">
            <w:r>
              <w:t>De v</w:t>
            </w:r>
            <w:r w:rsidR="008E3932">
              <w:t>oorzitter van de Tweede Kamer der Staten-Generaal</w:t>
            </w:r>
          </w:p>
          <w:p w:rsidR="00374412" w:rsidP="00D9561B" w:rsidRDefault="00475931" w14:paraId="321D01BD" w14:textId="77777777">
            <w:r>
              <w:t>Postbus 20018</w:t>
            </w:r>
          </w:p>
          <w:p w:rsidR="008E3932" w:rsidP="00D9561B" w:rsidRDefault="00475931" w14:paraId="1DD88BC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A5830" w:rsidTr="00FF66F9" w14:paraId="54484D44" w14:textId="77777777">
        <w:trPr>
          <w:trHeight w:val="289" w:hRule="exact"/>
        </w:trPr>
        <w:tc>
          <w:tcPr>
            <w:tcW w:w="929" w:type="dxa"/>
          </w:tcPr>
          <w:p w:rsidRPr="00434042" w:rsidR="0005404B" w:rsidP="00FF66F9" w:rsidRDefault="00475931" w14:paraId="251C6B18" w14:textId="77777777">
            <w:pPr>
              <w:rPr>
                <w:lang w:eastAsia="en-US"/>
              </w:rPr>
            </w:pPr>
            <w:r>
              <w:rPr>
                <w:lang w:eastAsia="en-US"/>
              </w:rPr>
              <w:t>Datum</w:t>
            </w:r>
          </w:p>
        </w:tc>
        <w:tc>
          <w:tcPr>
            <w:tcW w:w="6581" w:type="dxa"/>
          </w:tcPr>
          <w:p w:rsidRPr="00434042" w:rsidR="0005404B" w:rsidP="00FF66F9" w:rsidRDefault="008C6C3E" w14:paraId="4E45512F" w14:textId="411E3398">
            <w:pPr>
              <w:rPr>
                <w:lang w:eastAsia="en-US"/>
              </w:rPr>
            </w:pPr>
            <w:r>
              <w:rPr>
                <w:lang w:eastAsia="en-US"/>
              </w:rPr>
              <w:t>2 juli 2025</w:t>
            </w:r>
          </w:p>
        </w:tc>
      </w:tr>
      <w:tr w:rsidR="002A5830" w:rsidTr="00FF66F9" w14:paraId="2AF838AD" w14:textId="77777777">
        <w:trPr>
          <w:trHeight w:val="368"/>
        </w:trPr>
        <w:tc>
          <w:tcPr>
            <w:tcW w:w="929" w:type="dxa"/>
          </w:tcPr>
          <w:p w:rsidR="0005404B" w:rsidP="00FF66F9" w:rsidRDefault="00475931" w14:paraId="74C917B2" w14:textId="77777777">
            <w:pPr>
              <w:rPr>
                <w:lang w:eastAsia="en-US"/>
              </w:rPr>
            </w:pPr>
            <w:r>
              <w:rPr>
                <w:lang w:eastAsia="en-US"/>
              </w:rPr>
              <w:t>Betreft</w:t>
            </w:r>
          </w:p>
        </w:tc>
        <w:tc>
          <w:tcPr>
            <w:tcW w:w="6581" w:type="dxa"/>
          </w:tcPr>
          <w:p w:rsidR="0005404B" w:rsidP="00FF66F9" w:rsidRDefault="00344F55" w14:paraId="619EFA61" w14:textId="5722C298">
            <w:pPr>
              <w:rPr>
                <w:lang w:eastAsia="en-US"/>
              </w:rPr>
            </w:pPr>
            <w:r>
              <w:rPr>
                <w:lang w:eastAsia="en-US"/>
              </w:rPr>
              <w:t>R</w:t>
            </w:r>
            <w:r w:rsidR="00475931">
              <w:rPr>
                <w:lang w:eastAsia="en-US"/>
              </w:rPr>
              <w:t xml:space="preserve">eactie op amendement 36 725 VIII van het lid Kostiç c.s. </w:t>
            </w:r>
          </w:p>
        </w:tc>
      </w:tr>
    </w:tbl>
    <w:p w:rsidR="002A5830" w:rsidRDefault="002A5830" w14:paraId="0FA30BBC" w14:textId="0F703D4D"/>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44F55" w:rsidR="002A5830" w:rsidTr="00A421A1" w14:paraId="5AD1B585" w14:textId="77777777">
        <w:tc>
          <w:tcPr>
            <w:tcW w:w="2160" w:type="dxa"/>
          </w:tcPr>
          <w:p w:rsidRPr="00F53C9D" w:rsidR="006205C0" w:rsidP="00686AED" w:rsidRDefault="00475931" w14:paraId="7D05D853" w14:textId="77777777">
            <w:pPr>
              <w:pStyle w:val="Colofonkop"/>
              <w:framePr w:hSpace="0" w:wrap="auto" w:hAnchor="text" w:vAnchor="margin" w:xAlign="left" w:yAlign="inline"/>
            </w:pPr>
            <w:r>
              <w:t>Onderzoek en Wetenschapsbeleid</w:t>
            </w:r>
          </w:p>
          <w:p w:rsidR="006205C0" w:rsidP="00A421A1" w:rsidRDefault="00475931" w14:paraId="6448EEB9" w14:textId="77777777">
            <w:pPr>
              <w:pStyle w:val="Huisstijl-Gegeven"/>
              <w:spacing w:after="0"/>
            </w:pPr>
            <w:r>
              <w:t xml:space="preserve">Rijnstraat 50 </w:t>
            </w:r>
          </w:p>
          <w:p w:rsidR="004425A7" w:rsidP="00E972A2" w:rsidRDefault="00475931" w14:paraId="5CFB11BC" w14:textId="77777777">
            <w:pPr>
              <w:pStyle w:val="Huisstijl-Gegeven"/>
              <w:spacing w:after="0"/>
            </w:pPr>
            <w:r>
              <w:t>Den Haag</w:t>
            </w:r>
          </w:p>
          <w:p w:rsidR="004425A7" w:rsidP="00E972A2" w:rsidRDefault="00475931" w14:paraId="26E45408" w14:textId="77777777">
            <w:pPr>
              <w:pStyle w:val="Huisstijl-Gegeven"/>
              <w:spacing w:after="0"/>
            </w:pPr>
            <w:r>
              <w:t>Postbus 16375</w:t>
            </w:r>
          </w:p>
          <w:p w:rsidR="004425A7" w:rsidP="00E972A2" w:rsidRDefault="00475931" w14:paraId="20787E9D" w14:textId="77777777">
            <w:pPr>
              <w:pStyle w:val="Huisstijl-Gegeven"/>
              <w:spacing w:after="0"/>
            </w:pPr>
            <w:r>
              <w:t>2500 BJ Den Haag</w:t>
            </w:r>
          </w:p>
          <w:p w:rsidRPr="00344F55" w:rsidR="006205C0" w:rsidP="00344F55" w:rsidRDefault="00475931" w14:paraId="676CFA78" w14:textId="4049C2BC">
            <w:pPr>
              <w:pStyle w:val="Huisstijl-Gegeven"/>
              <w:spacing w:after="90"/>
            </w:pPr>
            <w:r>
              <w:t>www.rijksoverheid.nl</w:t>
            </w:r>
          </w:p>
        </w:tc>
      </w:tr>
      <w:tr w:rsidRPr="00344F55" w:rsidR="002A5830" w:rsidTr="00A421A1" w14:paraId="7F94B978" w14:textId="77777777">
        <w:trPr>
          <w:trHeight w:val="200" w:hRule="exact"/>
        </w:trPr>
        <w:tc>
          <w:tcPr>
            <w:tcW w:w="2160" w:type="dxa"/>
          </w:tcPr>
          <w:p w:rsidRPr="00670D4D" w:rsidR="006205C0" w:rsidP="00A421A1" w:rsidRDefault="006205C0" w14:paraId="3A2D86AF" w14:textId="77777777">
            <w:pPr>
              <w:spacing w:after="90" w:line="180" w:lineRule="exact"/>
              <w:rPr>
                <w:sz w:val="13"/>
                <w:szCs w:val="13"/>
              </w:rPr>
            </w:pPr>
          </w:p>
        </w:tc>
      </w:tr>
      <w:tr w:rsidR="002A5830" w:rsidTr="00A421A1" w14:paraId="0FF49D2E" w14:textId="77777777">
        <w:trPr>
          <w:trHeight w:val="450"/>
        </w:trPr>
        <w:tc>
          <w:tcPr>
            <w:tcW w:w="2160" w:type="dxa"/>
          </w:tcPr>
          <w:p w:rsidR="00F51A76" w:rsidP="00A421A1" w:rsidRDefault="00475931" w14:paraId="079C1EE4" w14:textId="77777777">
            <w:pPr>
              <w:spacing w:line="180" w:lineRule="exact"/>
              <w:rPr>
                <w:b/>
                <w:sz w:val="13"/>
                <w:szCs w:val="13"/>
              </w:rPr>
            </w:pPr>
            <w:r>
              <w:rPr>
                <w:b/>
                <w:sz w:val="13"/>
                <w:szCs w:val="13"/>
              </w:rPr>
              <w:t>Onze referentie</w:t>
            </w:r>
          </w:p>
          <w:p w:rsidRPr="00FA7882" w:rsidR="006205C0" w:rsidP="00215356" w:rsidRDefault="008C6C3E" w14:paraId="0B59D2B2" w14:textId="40C23675">
            <w:pPr>
              <w:spacing w:line="180" w:lineRule="exact"/>
              <w:rPr>
                <w:sz w:val="13"/>
                <w:szCs w:val="13"/>
              </w:rPr>
            </w:pPr>
            <w:r w:rsidRPr="008C6C3E">
              <w:rPr>
                <w:sz w:val="13"/>
                <w:szCs w:val="13"/>
              </w:rPr>
              <w:t>53183750</w:t>
            </w:r>
          </w:p>
        </w:tc>
      </w:tr>
      <w:tr w:rsidR="002A5830" w:rsidTr="00D130C0" w14:paraId="1DD1280F" w14:textId="77777777">
        <w:trPr>
          <w:trHeight w:val="113"/>
        </w:trPr>
        <w:tc>
          <w:tcPr>
            <w:tcW w:w="2160" w:type="dxa"/>
          </w:tcPr>
          <w:p w:rsidRPr="00C5333A" w:rsidR="006205C0" w:rsidP="00D36088" w:rsidRDefault="00475931" w14:paraId="363EAF20" w14:textId="77777777">
            <w:pPr>
              <w:tabs>
                <w:tab w:val="center" w:pos="1080"/>
              </w:tabs>
              <w:spacing w:line="180" w:lineRule="exact"/>
              <w:rPr>
                <w:sz w:val="13"/>
                <w:szCs w:val="13"/>
              </w:rPr>
            </w:pPr>
            <w:r>
              <w:rPr>
                <w:b/>
                <w:sz w:val="13"/>
                <w:szCs w:val="13"/>
              </w:rPr>
              <w:t>Bijlagen</w:t>
            </w:r>
          </w:p>
        </w:tc>
      </w:tr>
      <w:tr w:rsidR="002A5830" w:rsidTr="00D130C0" w14:paraId="53562740" w14:textId="77777777">
        <w:trPr>
          <w:trHeight w:val="113"/>
        </w:trPr>
        <w:tc>
          <w:tcPr>
            <w:tcW w:w="2160" w:type="dxa"/>
          </w:tcPr>
          <w:p w:rsidRPr="00D74F66" w:rsidR="006205C0" w:rsidP="00A421A1" w:rsidRDefault="006205C0" w14:paraId="7BFA7B39" w14:textId="77777777">
            <w:pPr>
              <w:spacing w:after="90" w:line="180" w:lineRule="exact"/>
              <w:rPr>
                <w:sz w:val="13"/>
              </w:rPr>
            </w:pPr>
          </w:p>
        </w:tc>
      </w:tr>
    </w:tbl>
    <w:p w:rsidR="00CE0875" w:rsidP="00CE0875" w:rsidRDefault="00CE0875" w14:paraId="429D0977" w14:textId="4E977C7F">
      <w:r>
        <w:t xml:space="preserve">Op 19 juni jl. is tijdens het debat over de voorjaarsnota amendement </w:t>
      </w:r>
      <w:r>
        <w:rPr>
          <w:lang w:eastAsia="en-US"/>
        </w:rPr>
        <w:t>36 725 VIII van het lid Kostiç c.s. ingediend.</w:t>
      </w:r>
      <w:r w:rsidRPr="0094717E">
        <w:rPr>
          <w:lang w:eastAsia="en-US"/>
        </w:rPr>
        <w:t xml:space="preserve"> </w:t>
      </w:r>
      <w:r>
        <w:rPr>
          <w:lang w:eastAsia="en-US"/>
        </w:rPr>
        <w:t xml:space="preserve">Ik heb in het debat op 1 juli 2025 over de Eerste suppletoire begroting van OCW dit amendement ontraden. </w:t>
      </w:r>
      <w:r>
        <w:t>Met deze brief informeer ik</w:t>
      </w:r>
      <w:r w:rsidRPr="00E570A8">
        <w:t xml:space="preserve"> </w:t>
      </w:r>
      <w:r>
        <w:t xml:space="preserve">de Kamer, mede namens de minister van Volksgezondheid, Welzijn en Sport, nadrukkelijk </w:t>
      </w:r>
      <w:r w:rsidR="008E1B03">
        <w:t>dat de</w:t>
      </w:r>
      <w:r>
        <w:t xml:space="preserve"> gevolgen van het aannemen van het amendement </w:t>
      </w:r>
      <w:r w:rsidR="008E1B03">
        <w:t xml:space="preserve">funest zijn voor </w:t>
      </w:r>
      <w:r>
        <w:t xml:space="preserve">het </w:t>
      </w:r>
      <w:r w:rsidRPr="00EE2F5B">
        <w:t>gezondheid</w:t>
      </w:r>
      <w:r>
        <w:t>sonderzoek</w:t>
      </w:r>
      <w:r w:rsidRPr="00EE2F5B">
        <w:t xml:space="preserve">, </w:t>
      </w:r>
      <w:r>
        <w:t xml:space="preserve">het </w:t>
      </w:r>
      <w:r w:rsidRPr="00EE2F5B">
        <w:t xml:space="preserve">dierenwelzijn, </w:t>
      </w:r>
      <w:r>
        <w:t xml:space="preserve">de </w:t>
      </w:r>
      <w:r w:rsidRPr="00EE2F5B">
        <w:t>pandemische paraatheid en strategische</w:t>
      </w:r>
      <w:r>
        <w:t xml:space="preserve"> </w:t>
      </w:r>
      <w:r w:rsidRPr="00EE2F5B">
        <w:t>autonomie</w:t>
      </w:r>
      <w:r>
        <w:t xml:space="preserve"> ten aanzien van geneesmiddelenonderzoek en -ontwikkeling</w:t>
      </w:r>
      <w:r w:rsidRPr="00EE2F5B">
        <w:t>.</w:t>
      </w:r>
      <w:r>
        <w:t xml:space="preserve"> Ik leg </w:t>
      </w:r>
      <w:r>
        <w:rPr>
          <w:lang w:eastAsia="en-US"/>
        </w:rPr>
        <w:t>uit waarom ik de praktische consequenties van de toelichting van het amendement zeer onwenselijk vind en dat ‘veilige afbouw’ van de proefdierkolonie, zoals de indieners van het amendement beogen, in deze vorm niet mogelijk is.</w:t>
      </w:r>
    </w:p>
    <w:p w:rsidR="00CE0875" w:rsidP="00CE0875" w:rsidRDefault="00CE0875" w14:paraId="1D81012F" w14:textId="77777777"/>
    <w:p w:rsidR="00344F55" w:rsidP="00CE0875" w:rsidRDefault="00CE0875" w14:paraId="7D7E500B" w14:textId="66C8A0CD">
      <w:pPr>
        <w:rPr>
          <w:lang w:eastAsia="en-US"/>
        </w:rPr>
      </w:pPr>
      <w:r>
        <w:rPr>
          <w:lang w:eastAsia="en-US"/>
        </w:rPr>
        <w:t xml:space="preserve">Het amendement regelt dat </w:t>
      </w:r>
      <w:r w:rsidRPr="00A46DBE">
        <w:rPr>
          <w:lang w:eastAsia="en-US"/>
        </w:rPr>
        <w:t xml:space="preserve">artikel 16 </w:t>
      </w:r>
      <w:r>
        <w:rPr>
          <w:lang w:eastAsia="en-US"/>
        </w:rPr>
        <w:t>(</w:t>
      </w:r>
      <w:r w:rsidRPr="00A46DBE">
        <w:rPr>
          <w:lang w:eastAsia="en-US"/>
        </w:rPr>
        <w:t>Onderzoek en wetenschapsbeleid</w:t>
      </w:r>
      <w:r>
        <w:rPr>
          <w:lang w:eastAsia="en-US"/>
        </w:rPr>
        <w:t xml:space="preserve">) wordt verlaagd </w:t>
      </w:r>
      <w:r w:rsidRPr="00A46DBE">
        <w:rPr>
          <w:lang w:eastAsia="en-US"/>
        </w:rPr>
        <w:t>met € 2.5</w:t>
      </w:r>
      <w:r w:rsidR="00344F55">
        <w:rPr>
          <w:lang w:eastAsia="en-US"/>
        </w:rPr>
        <w:t xml:space="preserve"> miljoen </w:t>
      </w:r>
      <w:r>
        <w:rPr>
          <w:lang w:eastAsia="en-US"/>
        </w:rPr>
        <w:t xml:space="preserve">en vervolgens weer </w:t>
      </w:r>
      <w:r w:rsidRPr="00A46DBE">
        <w:rPr>
          <w:lang w:eastAsia="en-US"/>
        </w:rPr>
        <w:t>met € 2.5</w:t>
      </w:r>
      <w:r w:rsidR="00344F55">
        <w:rPr>
          <w:lang w:eastAsia="en-US"/>
        </w:rPr>
        <w:t xml:space="preserve"> miljoen </w:t>
      </w:r>
      <w:r>
        <w:rPr>
          <w:lang w:eastAsia="en-US"/>
        </w:rPr>
        <w:t xml:space="preserve">wordt verhoogd. </w:t>
      </w:r>
      <w:r w:rsidR="001E5C49">
        <w:rPr>
          <w:lang w:eastAsia="en-US"/>
        </w:rPr>
        <w:t xml:space="preserve">De indieners beogen </w:t>
      </w:r>
      <w:r w:rsidRPr="001E5C49" w:rsidR="001E5C49">
        <w:rPr>
          <w:lang w:eastAsia="en-US"/>
        </w:rPr>
        <w:t>meerjarige verwerking van dit amendement</w:t>
      </w:r>
      <w:r w:rsidR="001E5C49">
        <w:rPr>
          <w:lang w:eastAsia="en-US"/>
        </w:rPr>
        <w:t>.</w:t>
      </w:r>
      <w:r w:rsidR="000473F3">
        <w:rPr>
          <w:lang w:eastAsia="en-US"/>
        </w:rPr>
        <w:t xml:space="preserve"> </w:t>
      </w:r>
      <w:r>
        <w:rPr>
          <w:lang w:eastAsia="en-US"/>
        </w:rPr>
        <w:t>De toelichting van het amendement vraagt “</w:t>
      </w:r>
      <w:r w:rsidRPr="00A46DBE">
        <w:rPr>
          <w:lang w:eastAsia="en-US"/>
        </w:rPr>
        <w:t xml:space="preserve">om te kiezen voor scenario 2 </w:t>
      </w:r>
      <w:r w:rsidR="00344F55">
        <w:rPr>
          <w:lang w:eastAsia="en-US"/>
        </w:rPr>
        <w:t>uit het rapport van de Commissie Bijker</w:t>
      </w:r>
      <w:r w:rsidR="00344F55">
        <w:rPr>
          <w:rStyle w:val="Voetnootmarkering"/>
          <w:lang w:eastAsia="en-US"/>
        </w:rPr>
        <w:footnoteReference w:id="1"/>
      </w:r>
      <w:r w:rsidR="00344F55">
        <w:rPr>
          <w:lang w:eastAsia="en-US"/>
        </w:rPr>
        <w:t xml:space="preserve"> </w:t>
      </w:r>
      <w:r w:rsidRPr="00A46DBE">
        <w:rPr>
          <w:lang w:eastAsia="en-US"/>
        </w:rPr>
        <w:t xml:space="preserve">en alsnog uitvoering </w:t>
      </w:r>
      <w:r>
        <w:rPr>
          <w:lang w:eastAsia="en-US"/>
        </w:rPr>
        <w:t xml:space="preserve">te </w:t>
      </w:r>
      <w:r w:rsidRPr="00A46DBE">
        <w:rPr>
          <w:lang w:eastAsia="en-US"/>
        </w:rPr>
        <w:t xml:space="preserve">geven aan de wens van de Tweede Kamer om het aantal proeven op </w:t>
      </w:r>
      <w:r>
        <w:rPr>
          <w:lang w:eastAsia="en-US"/>
        </w:rPr>
        <w:t>niet-humane primaten (NHP)</w:t>
      </w:r>
      <w:r w:rsidRPr="00A46DBE">
        <w:rPr>
          <w:lang w:eastAsia="en-US"/>
        </w:rPr>
        <w:t xml:space="preserve"> zo snel mogelijk, en veilig, af te bouwen</w:t>
      </w:r>
      <w:r>
        <w:rPr>
          <w:lang w:eastAsia="en-US"/>
        </w:rPr>
        <w:t xml:space="preserve">”. </w:t>
      </w:r>
    </w:p>
    <w:p w:rsidR="00344F55" w:rsidP="00CE0875" w:rsidRDefault="00344F55" w14:paraId="2FED6077" w14:textId="77777777">
      <w:pPr>
        <w:rPr>
          <w:lang w:eastAsia="en-US"/>
        </w:rPr>
      </w:pPr>
    </w:p>
    <w:p w:rsidR="00CE0875" w:rsidP="00CE0875" w:rsidRDefault="00CE0875" w14:paraId="6C60E36F" w14:textId="2C1EAD5C">
      <w:pPr>
        <w:rPr>
          <w:lang w:eastAsia="en-US"/>
        </w:rPr>
      </w:pPr>
      <w:r>
        <w:rPr>
          <w:lang w:eastAsia="en-US"/>
        </w:rPr>
        <w:t>Ik hecht eraan in deze brief twee kanttekeningen te noemen die de Commissie plaatst bij scenario 2:</w:t>
      </w:r>
    </w:p>
    <w:p w:rsidR="00CE0875" w:rsidP="00CE0875" w:rsidRDefault="00CE0875" w14:paraId="5C0208F7" w14:textId="77777777">
      <w:pPr>
        <w:pStyle w:val="Lijstalinea"/>
        <w:numPr>
          <w:ilvl w:val="0"/>
          <w:numId w:val="15"/>
        </w:numPr>
        <w:rPr>
          <w:lang w:eastAsia="en-US"/>
        </w:rPr>
      </w:pPr>
      <w:r>
        <w:rPr>
          <w:lang w:eastAsia="en-US"/>
        </w:rPr>
        <w:t xml:space="preserve">Alternatieve (proefdiervrije) modellen kunnen nu nog niet het volledige inzicht bieden in de complexe menselijke biologie en ziekteprocessen, waardoor het aantal proeven niet zomaar ‘veilig’ kan worden verminderd. </w:t>
      </w:r>
    </w:p>
    <w:p w:rsidR="00CE0875" w:rsidP="00CE0875" w:rsidRDefault="00CE0875" w14:paraId="551EDE72" w14:textId="77777777">
      <w:pPr>
        <w:pStyle w:val="Lijstalinea"/>
        <w:numPr>
          <w:ilvl w:val="0"/>
          <w:numId w:val="15"/>
        </w:numPr>
        <w:rPr>
          <w:lang w:eastAsia="en-US"/>
        </w:rPr>
      </w:pPr>
      <w:r>
        <w:rPr>
          <w:lang w:eastAsia="en-US"/>
        </w:rPr>
        <w:t xml:space="preserve">Het aantal NHP dat in de kolonie zit is, na eerdere dalingen, op de minimale omvang. Verdere daling van het aantal NHP zal daardoor leiden tot inteelt in de kolonie </w:t>
      </w:r>
      <w:r w:rsidRPr="008F17BC">
        <w:rPr>
          <w:lang w:eastAsia="en-US"/>
        </w:rPr>
        <w:t>en is daarom niet mogelijk</w:t>
      </w:r>
      <w:r w:rsidRPr="00A770CA">
        <w:rPr>
          <w:lang w:eastAsia="en-US"/>
        </w:rPr>
        <w:t>.</w:t>
      </w:r>
    </w:p>
    <w:p w:rsidR="00CE0875" w:rsidP="00CE0875" w:rsidRDefault="00CE0875" w14:paraId="1C4898C7" w14:textId="77777777">
      <w:pPr>
        <w:rPr>
          <w:lang w:eastAsia="en-US"/>
        </w:rPr>
      </w:pPr>
    </w:p>
    <w:p w:rsidR="00CE0875" w:rsidP="00CE0875" w:rsidRDefault="00CE0875" w14:paraId="2819CA35" w14:textId="05C7FB9D">
      <w:pPr>
        <w:rPr>
          <w:lang w:eastAsia="en-US"/>
        </w:rPr>
      </w:pPr>
      <w:r>
        <w:rPr>
          <w:lang w:eastAsia="en-US"/>
        </w:rPr>
        <w:t xml:space="preserve">Het uitvoeren van de toelichting van dit amendement betekent de facto kiezen voor scenario 1. Daarmee moeten we gezamenlijk accepteren dat op korte </w:t>
      </w:r>
      <w:r>
        <w:rPr>
          <w:lang w:eastAsia="en-US"/>
        </w:rPr>
        <w:lastRenderedPageBreak/>
        <w:t>termijn de fokkolonie wordt opgeheven, en dat wordt gestopt met noodzakelijk onderzoek ten behoeve van de pandemische paraatheid en de bestrijding van ernstige ziekten als dementie, Parkinson, en Multiple sclerose</w:t>
      </w:r>
      <w:r w:rsidR="00344F55">
        <w:rPr>
          <w:lang w:eastAsia="en-US"/>
        </w:rPr>
        <w:t xml:space="preserve"> (MS)</w:t>
      </w:r>
      <w:r>
        <w:rPr>
          <w:lang w:eastAsia="en-US"/>
        </w:rPr>
        <w:t xml:space="preserve">. Indien er een meerderheid voor dit amendement stemt, dan kiest de Kamer ervoor dat Nederland sterk afhankelijk wordt van het buitenland voor NHP-onderzoek, dat we als land minder snel kunnen reageren op een nieuwe pandemie en we het risico lopen om goede onderzoekers, en essentiële kennis en ervaring te verliezen aan het buitenland. Ook </w:t>
      </w:r>
      <w:r w:rsidR="00682B65">
        <w:rPr>
          <w:lang w:eastAsia="en-US"/>
        </w:rPr>
        <w:t>verplaats</w:t>
      </w:r>
      <w:r w:rsidR="00670D4D">
        <w:rPr>
          <w:lang w:eastAsia="en-US"/>
        </w:rPr>
        <w:t>t</w:t>
      </w:r>
      <w:r w:rsidR="00682B65">
        <w:rPr>
          <w:lang w:eastAsia="en-US"/>
        </w:rPr>
        <w:t xml:space="preserve"> he</w:t>
      </w:r>
      <w:r>
        <w:rPr>
          <w:lang w:eastAsia="en-US"/>
        </w:rPr>
        <w:t xml:space="preserve">t </w:t>
      </w:r>
      <w:r w:rsidR="00682B65">
        <w:rPr>
          <w:lang w:eastAsia="en-US"/>
        </w:rPr>
        <w:t>NHP-onderzoek naar</w:t>
      </w:r>
      <w:r>
        <w:rPr>
          <w:lang w:eastAsia="en-US"/>
        </w:rPr>
        <w:t xml:space="preserve"> plekken waar </w:t>
      </w:r>
      <w:r w:rsidR="00682B65">
        <w:rPr>
          <w:lang w:eastAsia="en-US"/>
        </w:rPr>
        <w:t xml:space="preserve">een lagere standaard voor </w:t>
      </w:r>
      <w:r>
        <w:rPr>
          <w:lang w:eastAsia="en-US"/>
        </w:rPr>
        <w:t xml:space="preserve">dierenwelzijn </w:t>
      </w:r>
      <w:r w:rsidR="00682B65">
        <w:rPr>
          <w:lang w:eastAsia="en-US"/>
        </w:rPr>
        <w:t xml:space="preserve">geldt </w:t>
      </w:r>
      <w:r>
        <w:rPr>
          <w:lang w:eastAsia="en-US"/>
        </w:rPr>
        <w:t>dan in Nederland. Dit acht ik zeer onwenselijk.</w:t>
      </w:r>
    </w:p>
    <w:p w:rsidR="00CE0875" w:rsidP="00CE0875" w:rsidRDefault="00CE0875" w14:paraId="006F2AC6" w14:textId="77777777">
      <w:pPr>
        <w:rPr>
          <w:lang w:eastAsia="en-US"/>
        </w:rPr>
      </w:pPr>
    </w:p>
    <w:p w:rsidR="00CE0875" w:rsidP="00CE0875" w:rsidRDefault="00CE0875" w14:paraId="43C8A766" w14:textId="77777777">
      <w:r>
        <w:rPr>
          <w:lang w:eastAsia="en-US"/>
        </w:rPr>
        <w:t xml:space="preserve">Hieronder licht ik </w:t>
      </w:r>
      <w:r>
        <w:t xml:space="preserve">mijn zwaarwegende bezwaren bij de toelichting van het amendement verder toe. </w:t>
      </w:r>
    </w:p>
    <w:p w:rsidR="00CE0875" w:rsidP="00CE0875" w:rsidRDefault="00CE0875" w14:paraId="03CADA1D" w14:textId="77777777"/>
    <w:p w:rsidR="00CE0875" w:rsidP="00CE0875" w:rsidRDefault="00CE0875" w14:paraId="181E3240" w14:textId="33B63171">
      <w:pPr>
        <w:rPr>
          <w:lang w:eastAsia="en-US"/>
        </w:rPr>
      </w:pPr>
      <w:r w:rsidRPr="00617D32">
        <w:rPr>
          <w:rStyle w:val="normaltextrun"/>
          <w:rFonts w:cs="Calibri" w:eastAsiaTheme="majorEastAsia"/>
          <w:szCs w:val="18"/>
        </w:rPr>
        <w:t xml:space="preserve">De </w:t>
      </w:r>
      <w:r>
        <w:rPr>
          <w:rStyle w:val="normaltextrun"/>
          <w:rFonts w:cs="Calibri" w:eastAsiaTheme="majorEastAsia"/>
          <w:szCs w:val="18"/>
        </w:rPr>
        <w:t>OCW-s</w:t>
      </w:r>
      <w:r w:rsidRPr="00617D32">
        <w:rPr>
          <w:rStyle w:val="normaltextrun"/>
          <w:rFonts w:cs="Calibri" w:eastAsiaTheme="majorEastAsia"/>
          <w:szCs w:val="18"/>
        </w:rPr>
        <w:t>ubsidie</w:t>
      </w:r>
      <w:r>
        <w:rPr>
          <w:rStyle w:val="normaltextrun"/>
          <w:rFonts w:cs="Calibri" w:eastAsiaTheme="majorEastAsia"/>
          <w:szCs w:val="18"/>
        </w:rPr>
        <w:t xml:space="preserve"> </w:t>
      </w:r>
      <w:r>
        <w:rPr>
          <w:rFonts w:cs="Calibri" w:eastAsiaTheme="majorEastAsia"/>
          <w:szCs w:val="18"/>
        </w:rPr>
        <w:t xml:space="preserve">van € 13,1 miljoen per jaar bedraagt </w:t>
      </w:r>
      <w:r w:rsidRPr="00617D32">
        <w:rPr>
          <w:rStyle w:val="normaltextrun"/>
          <w:rFonts w:cs="Calibri" w:eastAsiaTheme="majorEastAsia"/>
          <w:szCs w:val="18"/>
        </w:rPr>
        <w:t>een groot deel van de begroting van het BPRC</w:t>
      </w:r>
      <w:r>
        <w:rPr>
          <w:rStyle w:val="normaltextrun"/>
          <w:rFonts w:cs="Calibri" w:eastAsiaTheme="majorEastAsia"/>
          <w:szCs w:val="18"/>
        </w:rPr>
        <w:t>. Naast d</w:t>
      </w:r>
      <w:r w:rsidRPr="00617D32">
        <w:rPr>
          <w:rFonts w:cs="Calibri" w:eastAsiaTheme="majorEastAsia"/>
          <w:szCs w:val="18"/>
        </w:rPr>
        <w:t xml:space="preserve">e </w:t>
      </w:r>
      <w:r w:rsidR="00344F55">
        <w:rPr>
          <w:rFonts w:cs="Calibri" w:eastAsiaTheme="majorEastAsia"/>
          <w:szCs w:val="18"/>
        </w:rPr>
        <w:t>OCW-</w:t>
      </w:r>
      <w:r w:rsidRPr="00617D32">
        <w:rPr>
          <w:rFonts w:cs="Calibri" w:eastAsiaTheme="majorEastAsia"/>
          <w:szCs w:val="18"/>
        </w:rPr>
        <w:t>subsidie haalt het BPRC de rest van zijn inkomsten</w:t>
      </w:r>
      <w:r>
        <w:rPr>
          <w:rFonts w:cs="Calibri" w:eastAsiaTheme="majorEastAsia"/>
          <w:szCs w:val="18"/>
        </w:rPr>
        <w:t xml:space="preserve"> </w:t>
      </w:r>
      <w:r w:rsidRPr="00617D32">
        <w:rPr>
          <w:rFonts w:cs="Calibri" w:eastAsiaTheme="majorEastAsia"/>
          <w:szCs w:val="18"/>
        </w:rPr>
        <w:t>(ongeveer € 5 miljoen</w:t>
      </w:r>
      <w:r>
        <w:rPr>
          <w:rFonts w:cs="Calibri" w:eastAsiaTheme="majorEastAsia"/>
          <w:szCs w:val="18"/>
        </w:rPr>
        <w:t xml:space="preserve"> </w:t>
      </w:r>
      <w:r w:rsidRPr="00617D32">
        <w:rPr>
          <w:rFonts w:cs="Calibri" w:eastAsiaTheme="majorEastAsia"/>
          <w:szCs w:val="18"/>
        </w:rPr>
        <w:t>per jaar)</w:t>
      </w:r>
      <w:r>
        <w:rPr>
          <w:rFonts w:cs="Calibri" w:eastAsiaTheme="majorEastAsia"/>
          <w:szCs w:val="18"/>
        </w:rPr>
        <w:t xml:space="preserve"> </w:t>
      </w:r>
      <w:r w:rsidRPr="00617D32">
        <w:rPr>
          <w:rFonts w:cs="Calibri" w:eastAsiaTheme="majorEastAsia"/>
          <w:szCs w:val="18"/>
        </w:rPr>
        <w:t>uit projectinkomsten</w:t>
      </w:r>
      <w:r>
        <w:rPr>
          <w:rStyle w:val="Voetnootmarkering"/>
          <w:rFonts w:cs="Calibri" w:eastAsiaTheme="majorEastAsia"/>
          <w:szCs w:val="18"/>
        </w:rPr>
        <w:footnoteReference w:id="2"/>
      </w:r>
      <w:r>
        <w:rPr>
          <w:rFonts w:cs="Calibri" w:eastAsiaTheme="majorEastAsia"/>
          <w:szCs w:val="18"/>
        </w:rPr>
        <w:t>.</w:t>
      </w:r>
      <w:r w:rsidRPr="00617D32">
        <w:rPr>
          <w:rFonts w:cs="Calibri" w:eastAsiaTheme="majorEastAsia"/>
          <w:szCs w:val="18"/>
        </w:rPr>
        <w:t xml:space="preserve"> </w:t>
      </w:r>
      <w:r>
        <w:rPr>
          <w:lang w:eastAsia="en-US"/>
        </w:rPr>
        <w:t xml:space="preserve">De OCW-subsidie aan het BPRC is niet geoormerkt voor proeven met NHP, maar is ter dekking van de exploitatiekosten. Om het BPRC functioneel te laten zijn, dus zonder ook maar één NHP-proef te doen, wordt een groot deel van de subsidie besteed aan o.a. het beheer van een minimale fokkolonie, huisvesting en verzorging van de kolonie volgens </w:t>
      </w:r>
      <w:r w:rsidRPr="005A2FF6">
        <w:rPr>
          <w:lang w:eastAsia="en-US"/>
        </w:rPr>
        <w:t>de hoogste dierenwelzijnstandaarden</w:t>
      </w:r>
      <w:r>
        <w:rPr>
          <w:rStyle w:val="Voetnootmarkering"/>
          <w:lang w:eastAsia="en-US"/>
        </w:rPr>
        <w:footnoteReference w:id="3"/>
      </w:r>
      <w:r>
        <w:rPr>
          <w:lang w:eastAsia="en-US"/>
        </w:rPr>
        <w:t xml:space="preserve">, en het in stand houden van een actieve onderzoekscapaciteit met </w:t>
      </w:r>
      <w:r w:rsidRPr="003C0C22">
        <w:rPr>
          <w:lang w:eastAsia="en-US"/>
        </w:rPr>
        <w:t>bijbehorende voorzieningen</w:t>
      </w:r>
      <w:r>
        <w:rPr>
          <w:lang w:eastAsia="en-US"/>
        </w:rPr>
        <w:t xml:space="preserve">, </w:t>
      </w:r>
      <w:r w:rsidRPr="003C0C22">
        <w:rPr>
          <w:lang w:eastAsia="en-US"/>
        </w:rPr>
        <w:t>om voorbereid te zijn op de bestrijding van ernstige (infectie)ziekten.</w:t>
      </w:r>
      <w:r>
        <w:rPr>
          <w:lang w:eastAsia="en-US"/>
        </w:rPr>
        <w:t xml:space="preserve"> </w:t>
      </w:r>
    </w:p>
    <w:p w:rsidR="00CE0875" w:rsidP="00CE0875" w:rsidRDefault="00CE0875" w14:paraId="597A7F11" w14:textId="77777777">
      <w:pPr>
        <w:rPr>
          <w:lang w:eastAsia="en-US"/>
        </w:rPr>
      </w:pPr>
    </w:p>
    <w:p w:rsidR="00CE0875" w:rsidP="00CE0875" w:rsidRDefault="00CE0875" w14:paraId="4B698365" w14:textId="77777777">
      <w:pPr>
        <w:rPr>
          <w:lang w:eastAsia="en-US"/>
        </w:rPr>
      </w:pPr>
      <w:r>
        <w:rPr>
          <w:lang w:eastAsia="en-US"/>
        </w:rPr>
        <w:t xml:space="preserve">Als een jaarlijks toenemend deel van de exploitatiesubsidie wordt geoormerkt voor proefdiervrije onderzoeks- en testmethoden, op de manier zoals in de toelichting van het amendement beschreven, betekent dit dat er na een paar jaar geen OCW-subsidie meer over is voor het in stand houden van een minimale fokkolonie en noodzakelijke actieve onderzoekscapaciteit bij het BPRC, bijvoorbeeld ten behoeve van pandemische paraatheid en </w:t>
      </w:r>
      <w:r w:rsidRPr="00722864">
        <w:rPr>
          <w:lang w:eastAsia="en-US"/>
        </w:rPr>
        <w:t>de bestrijding van levensbedreigende ziekten</w:t>
      </w:r>
      <w:r>
        <w:rPr>
          <w:lang w:eastAsia="en-US"/>
        </w:rPr>
        <w:t xml:space="preserve">. Het BPRC kan dan niet voortbestaan. </w:t>
      </w:r>
    </w:p>
    <w:p w:rsidR="00CE0875" w:rsidP="00CE0875" w:rsidRDefault="00CE0875" w14:paraId="29E299D3" w14:textId="77777777">
      <w:pPr>
        <w:rPr>
          <w:lang w:eastAsia="en-US"/>
        </w:rPr>
      </w:pPr>
    </w:p>
    <w:p w:rsidR="00CE0875" w:rsidP="00CE0875" w:rsidRDefault="00CE0875" w14:paraId="75340F36" w14:textId="53EA26E9">
      <w:pPr>
        <w:rPr>
          <w:lang w:eastAsia="en-US"/>
        </w:rPr>
      </w:pPr>
      <w:r>
        <w:rPr>
          <w:lang w:eastAsia="en-US"/>
        </w:rPr>
        <w:t xml:space="preserve">De toelichting van het amendement stelt dat </w:t>
      </w:r>
      <w:r w:rsidRPr="00A46DBE">
        <w:rPr>
          <w:lang w:eastAsia="en-US"/>
        </w:rPr>
        <w:t xml:space="preserve">het aantal proeven op </w:t>
      </w:r>
      <w:r>
        <w:rPr>
          <w:lang w:eastAsia="en-US"/>
        </w:rPr>
        <w:t>NHP op deze manier</w:t>
      </w:r>
      <w:r w:rsidRPr="00A46DBE">
        <w:rPr>
          <w:lang w:eastAsia="en-US"/>
        </w:rPr>
        <w:t xml:space="preserve"> veilig</w:t>
      </w:r>
      <w:r>
        <w:rPr>
          <w:lang w:eastAsia="en-US"/>
        </w:rPr>
        <w:t xml:space="preserve"> kan worden afgebouwd, want “</w:t>
      </w:r>
      <w:r w:rsidRPr="0065697A">
        <w:rPr>
          <w:lang w:eastAsia="en-US"/>
        </w:rPr>
        <w:t>het onderzoek dat nodig is voor de bestrijding van levensbedreigende ziekten en uitbraken van infectieziekten die de volksgezondheid bedreigen bij het BPRC kunnen tot 2030 met het niet-geoormerkte belastinggeld worden gefinancierd</w:t>
      </w:r>
      <w:r>
        <w:rPr>
          <w:lang w:eastAsia="en-US"/>
        </w:rPr>
        <w:t xml:space="preserve">.” Deze constatering door de indieners van het amendement is onjuist. </w:t>
      </w:r>
      <w:r w:rsidRPr="00170EB0">
        <w:rPr>
          <w:lang w:eastAsia="en-US"/>
        </w:rPr>
        <w:t xml:space="preserve">Het veilige kader dat ik hanteer (en is meegegeven vanuit de Kamer) is dat proeven met </w:t>
      </w:r>
      <w:r>
        <w:rPr>
          <w:lang w:eastAsia="en-US"/>
        </w:rPr>
        <w:t>NHP</w:t>
      </w:r>
      <w:r w:rsidRPr="00170EB0">
        <w:rPr>
          <w:lang w:eastAsia="en-US"/>
        </w:rPr>
        <w:t xml:space="preserve"> alleen afgebouwd kunnen worden als dit geen gevolgen heeft voor het onderzoek dat strikt noodzakelijk is voor de bestrijding van levensbedreigende ziekten en uitbraken van infectieziekten die de volksgezondheid bedreigen</w:t>
      </w:r>
      <w:r>
        <w:rPr>
          <w:lang w:eastAsia="en-US"/>
        </w:rPr>
        <w:t xml:space="preserve">. Aangezien er door de beoogde oormerking geen OCW-subsidie meer over is voor het in stand houden van een minimale fokkolonie en noodzakelijke actieve onderzoekscapaciteit bij het BPRC, kan er ook geen </w:t>
      </w:r>
      <w:r w:rsidRPr="00170EB0">
        <w:rPr>
          <w:lang w:eastAsia="en-US"/>
        </w:rPr>
        <w:t xml:space="preserve">onderzoek </w:t>
      </w:r>
      <w:r>
        <w:rPr>
          <w:lang w:eastAsia="en-US"/>
        </w:rPr>
        <w:t xml:space="preserve">meer worden gedaan ten behoeve van </w:t>
      </w:r>
      <w:r w:rsidRPr="00170EB0">
        <w:rPr>
          <w:lang w:eastAsia="en-US"/>
        </w:rPr>
        <w:t xml:space="preserve">de bestrijding </w:t>
      </w:r>
      <w:r w:rsidRPr="00170EB0">
        <w:rPr>
          <w:lang w:eastAsia="en-US"/>
        </w:rPr>
        <w:lastRenderedPageBreak/>
        <w:t>van levensbedreigende ziekten en uitbraken van infectieziekten die de volksgezondheid bedreigen</w:t>
      </w:r>
      <w:r>
        <w:rPr>
          <w:lang w:eastAsia="en-US"/>
        </w:rPr>
        <w:t xml:space="preserve">. Het uitvoeren van de toelichting van dit amendement leidt dus niet tot een ‘veilige’ afbouw van het aantal proeven op NHP. Ik wil daaraan toevoegen dat </w:t>
      </w:r>
      <w:r w:rsidRPr="000B20DB">
        <w:rPr>
          <w:lang w:eastAsia="en-US"/>
        </w:rPr>
        <w:t>Nederland in een</w:t>
      </w:r>
      <w:r>
        <w:rPr>
          <w:lang w:eastAsia="en-US"/>
        </w:rPr>
        <w:t xml:space="preserve"> </w:t>
      </w:r>
      <w:r w:rsidRPr="000B20DB">
        <w:rPr>
          <w:lang w:eastAsia="en-US"/>
        </w:rPr>
        <w:t xml:space="preserve">ethisch lastig uitlegbare positie </w:t>
      </w:r>
      <w:r>
        <w:rPr>
          <w:lang w:eastAsia="en-US"/>
        </w:rPr>
        <w:t xml:space="preserve">komt </w:t>
      </w:r>
      <w:r w:rsidRPr="000B20DB">
        <w:rPr>
          <w:lang w:eastAsia="en-US"/>
        </w:rPr>
        <w:t>door geen NHP-onderzoek meer te doen,</w:t>
      </w:r>
      <w:r>
        <w:rPr>
          <w:lang w:eastAsia="en-US"/>
        </w:rPr>
        <w:t xml:space="preserve"> </w:t>
      </w:r>
      <w:r w:rsidRPr="000B20DB">
        <w:rPr>
          <w:lang w:eastAsia="en-US"/>
        </w:rPr>
        <w:t>maar nog wel gebruik te maken van geneesmiddelen waarvoor in het</w:t>
      </w:r>
      <w:r>
        <w:rPr>
          <w:lang w:eastAsia="en-US"/>
        </w:rPr>
        <w:t xml:space="preserve"> </w:t>
      </w:r>
      <w:r w:rsidRPr="000B20DB">
        <w:rPr>
          <w:lang w:eastAsia="en-US"/>
        </w:rPr>
        <w:t>buitenland proeven met NHP zijn uitgevoerd</w:t>
      </w:r>
      <w:r>
        <w:rPr>
          <w:lang w:eastAsia="en-US"/>
        </w:rPr>
        <w:t xml:space="preserve">. </w:t>
      </w:r>
    </w:p>
    <w:p w:rsidR="00CE0875" w:rsidP="00CE0875" w:rsidRDefault="00CE0875" w14:paraId="69388978" w14:textId="77777777">
      <w:pPr>
        <w:rPr>
          <w:lang w:eastAsia="en-US"/>
        </w:rPr>
      </w:pPr>
    </w:p>
    <w:p w:rsidR="00CE0875" w:rsidP="00CE0875" w:rsidRDefault="00CE0875" w14:paraId="38FEAE5D" w14:textId="77777777">
      <w:pPr>
        <w:rPr>
          <w:szCs w:val="18"/>
        </w:rPr>
      </w:pPr>
      <w:bookmarkStart w:name="_Hlk201667761" w:id="0"/>
      <w:r>
        <w:rPr>
          <w:rFonts w:cs="Calibri" w:eastAsiaTheme="majorEastAsia"/>
          <w:szCs w:val="18"/>
        </w:rPr>
        <w:t>In</w:t>
      </w:r>
      <w:r w:rsidRPr="00617D32">
        <w:rPr>
          <w:rFonts w:cs="Calibri" w:eastAsiaTheme="majorEastAsia"/>
          <w:szCs w:val="18"/>
        </w:rPr>
        <w:t xml:space="preserve"> mijn brief van 11 april jongstleden heb ik aangegeven dat het BPRC momenteel werkt aan een nieuw ambitieplan voor de komende vijf jaar. Als onderdeel </w:t>
      </w:r>
      <w:r>
        <w:rPr>
          <w:rFonts w:cs="Calibri" w:eastAsiaTheme="majorEastAsia"/>
          <w:szCs w:val="18"/>
        </w:rPr>
        <w:t>daar</w:t>
      </w:r>
      <w:r w:rsidRPr="00617D32">
        <w:rPr>
          <w:rFonts w:cs="Calibri" w:eastAsiaTheme="majorEastAsia"/>
          <w:szCs w:val="18"/>
        </w:rPr>
        <w:t xml:space="preserve">van </w:t>
      </w:r>
      <w:r>
        <w:rPr>
          <w:rFonts w:cs="Calibri" w:eastAsiaTheme="majorEastAsia"/>
          <w:szCs w:val="18"/>
        </w:rPr>
        <w:t xml:space="preserve">maak ik </w:t>
      </w:r>
      <w:r w:rsidRPr="00617D32">
        <w:rPr>
          <w:rFonts w:cs="Calibri" w:eastAsiaTheme="majorEastAsia"/>
          <w:szCs w:val="18"/>
        </w:rPr>
        <w:t>afspraken met het BPRC dat een groter deel van de subsidie aan de ontwikkeling van proefdiervrije onderzoeks- en testmethoden wordt besteed. Er is bij het BPRC grote welwillendheid om ambitieus te zijn in de uitvoering van de motie</w:t>
      </w:r>
      <w:r>
        <w:rPr>
          <w:rFonts w:cs="Calibri" w:eastAsiaTheme="majorEastAsia"/>
          <w:szCs w:val="18"/>
        </w:rPr>
        <w:t xml:space="preserve"> Teunissen</w:t>
      </w:r>
      <w:r w:rsidRPr="00617D32">
        <w:rPr>
          <w:rFonts w:cs="Calibri" w:eastAsiaTheme="majorEastAsia"/>
          <w:szCs w:val="18"/>
        </w:rPr>
        <w:t xml:space="preserve">. </w:t>
      </w:r>
      <w:r>
        <w:rPr>
          <w:rFonts w:cs="Calibri" w:eastAsiaTheme="majorEastAsia"/>
          <w:szCs w:val="18"/>
        </w:rPr>
        <w:t>Daarnaast ben ik ervan overtuigd dat de toekomst proefdiervrij moet zijn. We</w:t>
      </w:r>
      <w:r w:rsidRPr="00617D32">
        <w:rPr>
          <w:szCs w:val="18"/>
        </w:rPr>
        <w:t>tenschappelijke ontwikkelingen</w:t>
      </w:r>
      <w:r>
        <w:rPr>
          <w:szCs w:val="18"/>
        </w:rPr>
        <w:t xml:space="preserve"> gaan snel, dus daarom is het</w:t>
      </w:r>
      <w:r w:rsidRPr="00617D32">
        <w:rPr>
          <w:szCs w:val="18"/>
        </w:rPr>
        <w:t xml:space="preserve"> goed om over vijf jaar opnieuw een onafhankelijk onderzoek te laten doen naar de mogelijkheid om het aantal proeven op NHP verder te verlagen, zonder dat dit gevolgen heeft voor het onderzoek dat strikt noodzakelijk is voor de bestrijding van levensbedreigende ziekten en uitbraken van infectieziekten die de volksgezondheid bedreigen</w:t>
      </w:r>
      <w:r>
        <w:rPr>
          <w:szCs w:val="18"/>
        </w:rPr>
        <w:t>.</w:t>
      </w:r>
    </w:p>
    <w:p w:rsidRPr="00617D32" w:rsidR="00CE0875" w:rsidP="00CE0875" w:rsidRDefault="00CE0875" w14:paraId="1D740399" w14:textId="77777777">
      <w:pPr>
        <w:rPr>
          <w:rStyle w:val="normaltextrun"/>
          <w:rFonts w:cs="Calibri" w:eastAsiaTheme="majorEastAsia"/>
          <w:szCs w:val="18"/>
        </w:rPr>
      </w:pPr>
      <w:r>
        <w:rPr>
          <w:rFonts w:cs="Calibri" w:eastAsiaTheme="majorEastAsia"/>
          <w:szCs w:val="18"/>
        </w:rPr>
        <w:t xml:space="preserve"> </w:t>
      </w:r>
    </w:p>
    <w:bookmarkEnd w:id="0"/>
    <w:p w:rsidR="00820DDA" w:rsidP="00CA35E4" w:rsidRDefault="00475931" w14:paraId="2344A53C" w14:textId="77777777">
      <w:r>
        <w:t>De minister van Onderwijs, Cultuur en Wetenschap,</w:t>
      </w:r>
    </w:p>
    <w:p w:rsidR="000F521E" w:rsidP="003A7160" w:rsidRDefault="000F521E" w14:paraId="1B83C498" w14:textId="77777777"/>
    <w:p w:rsidR="000F521E" w:rsidP="003A7160" w:rsidRDefault="000F521E" w14:paraId="2919ADDF" w14:textId="77777777"/>
    <w:p w:rsidR="000F521E" w:rsidP="003A7160" w:rsidRDefault="000F521E" w14:paraId="593015C2" w14:textId="77777777"/>
    <w:p w:rsidR="000F521E" w:rsidP="003A7160" w:rsidRDefault="000F521E" w14:paraId="24BF93D6" w14:textId="77777777"/>
    <w:p w:rsidR="00A43F3A" w:rsidP="003A7160" w:rsidRDefault="00A43F3A" w14:paraId="6B8D3B9E" w14:textId="77777777"/>
    <w:p w:rsidR="000F521E" w:rsidP="003A7160" w:rsidRDefault="00475931" w14:paraId="649742D8" w14:textId="77777777">
      <w:pPr>
        <w:pStyle w:val="standaard-tekst"/>
      </w:pPr>
      <w:r>
        <w:t>Eppo Bruins</w:t>
      </w:r>
    </w:p>
    <w:p w:rsidR="00F01557" w:rsidP="003A7160" w:rsidRDefault="00F01557" w14:paraId="19EC4AF6" w14:textId="77777777"/>
    <w:p w:rsidR="00F01557" w:rsidP="003A7160" w:rsidRDefault="00F01557" w14:paraId="190487D3" w14:textId="77777777"/>
    <w:p w:rsidR="00184B30" w:rsidP="00A60B58" w:rsidRDefault="00184B30" w14:paraId="5DDB75EE" w14:textId="77777777"/>
    <w:p w:rsidR="00184B30" w:rsidP="00A60B58" w:rsidRDefault="00184B30" w14:paraId="474801DA" w14:textId="77777777"/>
    <w:p w:rsidRPr="00820DDA" w:rsidR="00820DDA" w:rsidP="00215964" w:rsidRDefault="00820DDA" w14:paraId="307BF298"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E57B" w14:textId="77777777" w:rsidR="00DC691C" w:rsidRDefault="00475931">
      <w:r>
        <w:separator/>
      </w:r>
    </w:p>
    <w:p w14:paraId="1BB67002" w14:textId="77777777" w:rsidR="00DC691C" w:rsidRDefault="00DC691C"/>
  </w:endnote>
  <w:endnote w:type="continuationSeparator" w:id="0">
    <w:p w14:paraId="63DD5CF8" w14:textId="77777777" w:rsidR="00DC691C" w:rsidRDefault="00475931">
      <w:r>
        <w:continuationSeparator/>
      </w:r>
    </w:p>
    <w:p w14:paraId="3E44817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6BA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A5830" w14:paraId="2D9BCF93" w14:textId="77777777" w:rsidTr="004C7E1D">
      <w:trPr>
        <w:trHeight w:hRule="exact" w:val="357"/>
      </w:trPr>
      <w:tc>
        <w:tcPr>
          <w:tcW w:w="7603" w:type="dxa"/>
          <w:shd w:val="clear" w:color="auto" w:fill="auto"/>
        </w:tcPr>
        <w:p w14:paraId="4B4B1053" w14:textId="77777777" w:rsidR="002F71BB" w:rsidRPr="004C7E1D" w:rsidRDefault="002F71BB" w:rsidP="004C7E1D">
          <w:pPr>
            <w:spacing w:line="180" w:lineRule="exact"/>
            <w:rPr>
              <w:sz w:val="13"/>
              <w:szCs w:val="13"/>
            </w:rPr>
          </w:pPr>
        </w:p>
      </w:tc>
      <w:tc>
        <w:tcPr>
          <w:tcW w:w="2172" w:type="dxa"/>
          <w:shd w:val="clear" w:color="auto" w:fill="auto"/>
        </w:tcPr>
        <w:p w14:paraId="19BE1E44" w14:textId="7F86B73D" w:rsidR="002F71BB" w:rsidRPr="004C7E1D" w:rsidRDefault="004759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C6C3E">
            <w:rPr>
              <w:szCs w:val="13"/>
            </w:rPr>
            <w:t>3</w:t>
          </w:r>
          <w:r w:rsidRPr="004C7E1D">
            <w:rPr>
              <w:szCs w:val="13"/>
            </w:rPr>
            <w:fldChar w:fldCharType="end"/>
          </w:r>
        </w:p>
      </w:tc>
    </w:tr>
  </w:tbl>
  <w:p w14:paraId="4D770F1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A5830" w14:paraId="412A4141" w14:textId="77777777" w:rsidTr="004C7E1D">
      <w:trPr>
        <w:trHeight w:hRule="exact" w:val="357"/>
      </w:trPr>
      <w:tc>
        <w:tcPr>
          <w:tcW w:w="7709" w:type="dxa"/>
          <w:shd w:val="clear" w:color="auto" w:fill="auto"/>
        </w:tcPr>
        <w:p w14:paraId="45B3F839" w14:textId="77777777" w:rsidR="00D17084" w:rsidRPr="004C7E1D" w:rsidRDefault="00D17084" w:rsidP="004C7E1D">
          <w:pPr>
            <w:spacing w:line="180" w:lineRule="exact"/>
            <w:rPr>
              <w:sz w:val="13"/>
              <w:szCs w:val="13"/>
            </w:rPr>
          </w:pPr>
        </w:p>
      </w:tc>
      <w:tc>
        <w:tcPr>
          <w:tcW w:w="2060" w:type="dxa"/>
          <w:shd w:val="clear" w:color="auto" w:fill="auto"/>
        </w:tcPr>
        <w:p w14:paraId="24468A09" w14:textId="432AA555" w:rsidR="00D17084" w:rsidRPr="004C7E1D" w:rsidRDefault="004759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C6C3E">
            <w:rPr>
              <w:szCs w:val="13"/>
            </w:rPr>
            <w:t>3</w:t>
          </w:r>
          <w:r w:rsidRPr="004C7E1D">
            <w:rPr>
              <w:szCs w:val="13"/>
            </w:rPr>
            <w:fldChar w:fldCharType="end"/>
          </w:r>
        </w:p>
      </w:tc>
    </w:tr>
  </w:tbl>
  <w:p w14:paraId="0D16271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A14C6" w14:textId="77777777" w:rsidR="00DC691C" w:rsidRDefault="00475931">
      <w:r>
        <w:separator/>
      </w:r>
    </w:p>
    <w:p w14:paraId="237BEA97" w14:textId="77777777" w:rsidR="00DC691C" w:rsidRDefault="00DC691C"/>
  </w:footnote>
  <w:footnote w:type="continuationSeparator" w:id="0">
    <w:p w14:paraId="257095A9" w14:textId="77777777" w:rsidR="00DC691C" w:rsidRDefault="00475931">
      <w:r>
        <w:continuationSeparator/>
      </w:r>
    </w:p>
    <w:p w14:paraId="6B2A4D42" w14:textId="77777777" w:rsidR="00DC691C" w:rsidRDefault="00DC691C"/>
  </w:footnote>
  <w:footnote w:id="1">
    <w:p w14:paraId="4C72C3AA" w14:textId="77777777" w:rsidR="00344F55" w:rsidRPr="00C22755" w:rsidRDefault="00344F55" w:rsidP="00344F55">
      <w:pPr>
        <w:pStyle w:val="Voetnoottekst"/>
        <w:rPr>
          <w:sz w:val="16"/>
          <w:szCs w:val="16"/>
        </w:rPr>
      </w:pPr>
      <w:r w:rsidRPr="00C22755">
        <w:rPr>
          <w:rStyle w:val="Voetnootmarkering"/>
          <w:sz w:val="16"/>
          <w:szCs w:val="16"/>
        </w:rPr>
        <w:footnoteRef/>
      </w:r>
      <w:r w:rsidRPr="00C22755">
        <w:rPr>
          <w:sz w:val="16"/>
          <w:szCs w:val="16"/>
        </w:rPr>
        <w:t xml:space="preserve"> Kamerstuk II, 2024/2025, 2025D16495</w:t>
      </w:r>
    </w:p>
  </w:footnote>
  <w:footnote w:id="2">
    <w:p w14:paraId="46954DB4" w14:textId="77777777" w:rsidR="00CE0875" w:rsidRPr="00C52F26" w:rsidRDefault="00CE0875" w:rsidP="00CE0875">
      <w:pPr>
        <w:rPr>
          <w:rFonts w:eastAsiaTheme="majorEastAsia" w:cs="Calibri"/>
          <w:sz w:val="16"/>
          <w:szCs w:val="16"/>
        </w:rPr>
      </w:pPr>
      <w:r w:rsidRPr="00C52F26">
        <w:rPr>
          <w:rStyle w:val="Voetnootmarkering"/>
          <w:sz w:val="16"/>
          <w:szCs w:val="16"/>
        </w:rPr>
        <w:footnoteRef/>
      </w:r>
      <w:r w:rsidRPr="00C52F26">
        <w:rPr>
          <w:sz w:val="16"/>
          <w:szCs w:val="16"/>
        </w:rPr>
        <w:t xml:space="preserve"> </w:t>
      </w:r>
      <w:r w:rsidRPr="00C52F26">
        <w:rPr>
          <w:rFonts w:eastAsiaTheme="majorEastAsia" w:cs="Calibri"/>
          <w:sz w:val="16"/>
          <w:szCs w:val="16"/>
        </w:rPr>
        <w:t>bijvoorbeeld vanuit de EU, het Amerikaanse National Institute of Health en fondsen zoals de Bill and Melinda Gates Foundation</w:t>
      </w:r>
      <w:r w:rsidRPr="00C52F26">
        <w:rPr>
          <w:rStyle w:val="normaltextrun"/>
          <w:rFonts w:eastAsiaTheme="majorEastAsia" w:cs="Calibri"/>
          <w:sz w:val="16"/>
          <w:szCs w:val="16"/>
        </w:rPr>
        <w:t xml:space="preserve">. </w:t>
      </w:r>
    </w:p>
  </w:footnote>
  <w:footnote w:id="3">
    <w:p w14:paraId="68D2D478" w14:textId="77777777" w:rsidR="00CE0875" w:rsidRPr="005A2FF6" w:rsidRDefault="00CE0875" w:rsidP="00CE0875">
      <w:pPr>
        <w:pStyle w:val="Voetnoottekst"/>
        <w:rPr>
          <w:sz w:val="16"/>
          <w:szCs w:val="16"/>
        </w:rPr>
      </w:pPr>
      <w:r w:rsidRPr="005A2FF6">
        <w:rPr>
          <w:rStyle w:val="Voetnootmarkering"/>
          <w:sz w:val="16"/>
          <w:szCs w:val="16"/>
        </w:rPr>
        <w:footnoteRef/>
      </w:r>
      <w:r w:rsidRPr="005A2FF6">
        <w:rPr>
          <w:sz w:val="16"/>
          <w:szCs w:val="16"/>
        </w:rPr>
        <w:t xml:space="preserve"> de Europese welzijnsstandaarden en aan de richtlijnen van het Britse 3R Centre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A5830" w14:paraId="35D64173" w14:textId="77777777" w:rsidTr="006D2D53">
      <w:trPr>
        <w:trHeight w:hRule="exact" w:val="400"/>
      </w:trPr>
      <w:tc>
        <w:tcPr>
          <w:tcW w:w="7518" w:type="dxa"/>
          <w:shd w:val="clear" w:color="auto" w:fill="auto"/>
        </w:tcPr>
        <w:p w14:paraId="6BA1B629" w14:textId="77777777" w:rsidR="00527BD4" w:rsidRPr="00275984" w:rsidRDefault="00527BD4" w:rsidP="00BF4427">
          <w:pPr>
            <w:pStyle w:val="Huisstijl-Rubricering"/>
          </w:pPr>
        </w:p>
      </w:tc>
    </w:tr>
  </w:tbl>
  <w:p w14:paraId="7799AAA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A5830" w14:paraId="671A9884" w14:textId="77777777" w:rsidTr="003B528D">
      <w:tc>
        <w:tcPr>
          <w:tcW w:w="2160" w:type="dxa"/>
          <w:shd w:val="clear" w:color="auto" w:fill="auto"/>
        </w:tcPr>
        <w:p w14:paraId="5D3576C7" w14:textId="77777777" w:rsidR="002F71BB" w:rsidRPr="000407BB" w:rsidRDefault="00475931" w:rsidP="005D283A">
          <w:pPr>
            <w:pStyle w:val="Colofonkop"/>
            <w:framePr w:hSpace="0" w:wrap="auto" w:vAnchor="margin" w:hAnchor="text" w:xAlign="left" w:yAlign="inline"/>
          </w:pPr>
          <w:r>
            <w:t>Onze referentie</w:t>
          </w:r>
        </w:p>
      </w:tc>
    </w:tr>
    <w:tr w:rsidR="002A5830" w14:paraId="4FD38693" w14:textId="77777777" w:rsidTr="002F71BB">
      <w:trPr>
        <w:trHeight w:val="259"/>
      </w:trPr>
      <w:tc>
        <w:tcPr>
          <w:tcW w:w="2160" w:type="dxa"/>
          <w:shd w:val="clear" w:color="auto" w:fill="auto"/>
        </w:tcPr>
        <w:p w14:paraId="0259F332" w14:textId="7F0F89AB" w:rsidR="00E35CF4" w:rsidRPr="005D283A" w:rsidRDefault="008C6C3E" w:rsidP="0049501A">
          <w:pPr>
            <w:spacing w:line="180" w:lineRule="exact"/>
            <w:rPr>
              <w:sz w:val="13"/>
              <w:szCs w:val="13"/>
            </w:rPr>
          </w:pPr>
          <w:r w:rsidRPr="008C6C3E">
            <w:rPr>
              <w:sz w:val="13"/>
              <w:szCs w:val="13"/>
            </w:rPr>
            <w:t>53183750</w:t>
          </w:r>
        </w:p>
      </w:tc>
    </w:tr>
  </w:tbl>
  <w:p w14:paraId="00DEA53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A5830" w14:paraId="040B31DD" w14:textId="77777777" w:rsidTr="001377D4">
      <w:trPr>
        <w:trHeight w:val="2636"/>
      </w:trPr>
      <w:tc>
        <w:tcPr>
          <w:tcW w:w="737" w:type="dxa"/>
          <w:shd w:val="clear" w:color="auto" w:fill="auto"/>
        </w:tcPr>
        <w:p w14:paraId="298CAD1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4D972D3" w14:textId="77777777" w:rsidR="00704845" w:rsidRDefault="00475931" w:rsidP="0047126E">
          <w:pPr>
            <w:framePr w:w="3873" w:h="2625" w:hRule="exact" w:wrap="around" w:vAnchor="page" w:hAnchor="page" w:x="6323" w:y="1"/>
          </w:pPr>
          <w:r>
            <w:rPr>
              <w:noProof/>
              <w:lang w:val="en-US" w:eastAsia="en-US"/>
            </w:rPr>
            <w:drawing>
              <wp:inline distT="0" distB="0" distL="0" distR="0" wp14:anchorId="51231DC6" wp14:editId="4B3A0DB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16BADA" w14:textId="77777777" w:rsidR="00483ECA" w:rsidRDefault="00483ECA" w:rsidP="00D037A9"/>
      </w:tc>
    </w:tr>
  </w:tbl>
  <w:p w14:paraId="3C8497B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A5830" w14:paraId="07CD4943" w14:textId="77777777" w:rsidTr="0008539E">
      <w:trPr>
        <w:trHeight w:hRule="exact" w:val="572"/>
      </w:trPr>
      <w:tc>
        <w:tcPr>
          <w:tcW w:w="7520" w:type="dxa"/>
          <w:shd w:val="clear" w:color="auto" w:fill="auto"/>
        </w:tcPr>
        <w:p w14:paraId="45BD3CAB" w14:textId="77777777" w:rsidR="00527BD4" w:rsidRPr="00963440" w:rsidRDefault="00475931" w:rsidP="00210BA3">
          <w:pPr>
            <w:pStyle w:val="Huisstijl-Adres"/>
            <w:spacing w:after="0"/>
          </w:pPr>
          <w:r w:rsidRPr="009E3B07">
            <w:t>&gt;Retouradres </w:t>
          </w:r>
          <w:r>
            <w:t>Postbus 16375 2500 BJ Den Haag</w:t>
          </w:r>
          <w:r w:rsidRPr="009E3B07">
            <w:t xml:space="preserve"> </w:t>
          </w:r>
        </w:p>
      </w:tc>
    </w:tr>
    <w:tr w:rsidR="002A5830" w14:paraId="774B4C35" w14:textId="77777777" w:rsidTr="00E776C6">
      <w:trPr>
        <w:cantSplit/>
        <w:trHeight w:hRule="exact" w:val="238"/>
      </w:trPr>
      <w:tc>
        <w:tcPr>
          <w:tcW w:w="7520" w:type="dxa"/>
          <w:shd w:val="clear" w:color="auto" w:fill="auto"/>
        </w:tcPr>
        <w:p w14:paraId="69803A59" w14:textId="77777777" w:rsidR="00093ABC" w:rsidRPr="00963440" w:rsidRDefault="00093ABC" w:rsidP="00963440"/>
      </w:tc>
    </w:tr>
    <w:tr w:rsidR="002A5830" w14:paraId="03756AC6" w14:textId="77777777" w:rsidTr="00E776C6">
      <w:trPr>
        <w:cantSplit/>
        <w:trHeight w:hRule="exact" w:val="1520"/>
      </w:trPr>
      <w:tc>
        <w:tcPr>
          <w:tcW w:w="7520" w:type="dxa"/>
          <w:shd w:val="clear" w:color="auto" w:fill="auto"/>
        </w:tcPr>
        <w:p w14:paraId="1EB79254" w14:textId="77777777" w:rsidR="00A604D3" w:rsidRPr="00963440" w:rsidRDefault="00A604D3" w:rsidP="00963440"/>
      </w:tc>
    </w:tr>
    <w:tr w:rsidR="002A5830" w14:paraId="4015C411" w14:textId="77777777" w:rsidTr="00E776C6">
      <w:trPr>
        <w:trHeight w:hRule="exact" w:val="1077"/>
      </w:trPr>
      <w:tc>
        <w:tcPr>
          <w:tcW w:w="7520" w:type="dxa"/>
          <w:shd w:val="clear" w:color="auto" w:fill="auto"/>
        </w:tcPr>
        <w:p w14:paraId="4A8DE1A1" w14:textId="77777777" w:rsidR="00892BA5" w:rsidRPr="00035E67" w:rsidRDefault="00892BA5" w:rsidP="00892BA5">
          <w:pPr>
            <w:tabs>
              <w:tab w:val="left" w:pos="740"/>
            </w:tabs>
            <w:autoSpaceDE w:val="0"/>
            <w:autoSpaceDN w:val="0"/>
            <w:adjustRightInd w:val="0"/>
            <w:rPr>
              <w:rFonts w:cs="Verdana"/>
              <w:szCs w:val="18"/>
            </w:rPr>
          </w:pPr>
        </w:p>
      </w:tc>
    </w:tr>
  </w:tbl>
  <w:p w14:paraId="1E0F8D34" w14:textId="77777777" w:rsidR="006F273B" w:rsidRDefault="006F273B" w:rsidP="00BC4AE3">
    <w:pPr>
      <w:pStyle w:val="Koptekst"/>
    </w:pPr>
  </w:p>
  <w:p w14:paraId="55A8D33D" w14:textId="77777777" w:rsidR="00153BD0" w:rsidRDefault="00153BD0" w:rsidP="00BC4AE3">
    <w:pPr>
      <w:pStyle w:val="Koptekst"/>
    </w:pPr>
  </w:p>
  <w:p w14:paraId="48BCB2B6" w14:textId="77777777" w:rsidR="0044605E" w:rsidRDefault="0044605E" w:rsidP="00BC4AE3">
    <w:pPr>
      <w:pStyle w:val="Koptekst"/>
    </w:pPr>
  </w:p>
  <w:p w14:paraId="0A20CB02" w14:textId="77777777" w:rsidR="0044605E" w:rsidRDefault="0044605E" w:rsidP="00BC4AE3">
    <w:pPr>
      <w:pStyle w:val="Koptekst"/>
    </w:pPr>
  </w:p>
  <w:p w14:paraId="2718CBD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0E99E0">
      <w:start w:val="1"/>
      <w:numFmt w:val="bullet"/>
      <w:pStyle w:val="Lijstopsomteken"/>
      <w:lvlText w:val="•"/>
      <w:lvlJc w:val="left"/>
      <w:pPr>
        <w:tabs>
          <w:tab w:val="num" w:pos="227"/>
        </w:tabs>
        <w:ind w:left="227" w:hanging="227"/>
      </w:pPr>
      <w:rPr>
        <w:rFonts w:ascii="Verdana" w:hAnsi="Verdana" w:hint="default"/>
        <w:sz w:val="18"/>
        <w:szCs w:val="18"/>
      </w:rPr>
    </w:lvl>
    <w:lvl w:ilvl="1" w:tplc="B6209F32" w:tentative="1">
      <w:start w:val="1"/>
      <w:numFmt w:val="bullet"/>
      <w:lvlText w:val="o"/>
      <w:lvlJc w:val="left"/>
      <w:pPr>
        <w:tabs>
          <w:tab w:val="num" w:pos="1440"/>
        </w:tabs>
        <w:ind w:left="1440" w:hanging="360"/>
      </w:pPr>
      <w:rPr>
        <w:rFonts w:ascii="Courier New" w:hAnsi="Courier New" w:cs="Courier New" w:hint="default"/>
      </w:rPr>
    </w:lvl>
    <w:lvl w:ilvl="2" w:tplc="F00463D0" w:tentative="1">
      <w:start w:val="1"/>
      <w:numFmt w:val="bullet"/>
      <w:lvlText w:val=""/>
      <w:lvlJc w:val="left"/>
      <w:pPr>
        <w:tabs>
          <w:tab w:val="num" w:pos="2160"/>
        </w:tabs>
        <w:ind w:left="2160" w:hanging="360"/>
      </w:pPr>
      <w:rPr>
        <w:rFonts w:ascii="Wingdings" w:hAnsi="Wingdings" w:hint="default"/>
      </w:rPr>
    </w:lvl>
    <w:lvl w:ilvl="3" w:tplc="921CC86A" w:tentative="1">
      <w:start w:val="1"/>
      <w:numFmt w:val="bullet"/>
      <w:lvlText w:val=""/>
      <w:lvlJc w:val="left"/>
      <w:pPr>
        <w:tabs>
          <w:tab w:val="num" w:pos="2880"/>
        </w:tabs>
        <w:ind w:left="2880" w:hanging="360"/>
      </w:pPr>
      <w:rPr>
        <w:rFonts w:ascii="Symbol" w:hAnsi="Symbol" w:hint="default"/>
      </w:rPr>
    </w:lvl>
    <w:lvl w:ilvl="4" w:tplc="2E6C63B0" w:tentative="1">
      <w:start w:val="1"/>
      <w:numFmt w:val="bullet"/>
      <w:lvlText w:val="o"/>
      <w:lvlJc w:val="left"/>
      <w:pPr>
        <w:tabs>
          <w:tab w:val="num" w:pos="3600"/>
        </w:tabs>
        <w:ind w:left="3600" w:hanging="360"/>
      </w:pPr>
      <w:rPr>
        <w:rFonts w:ascii="Courier New" w:hAnsi="Courier New" w:cs="Courier New" w:hint="default"/>
      </w:rPr>
    </w:lvl>
    <w:lvl w:ilvl="5" w:tplc="E4E013DC" w:tentative="1">
      <w:start w:val="1"/>
      <w:numFmt w:val="bullet"/>
      <w:lvlText w:val=""/>
      <w:lvlJc w:val="left"/>
      <w:pPr>
        <w:tabs>
          <w:tab w:val="num" w:pos="4320"/>
        </w:tabs>
        <w:ind w:left="4320" w:hanging="360"/>
      </w:pPr>
      <w:rPr>
        <w:rFonts w:ascii="Wingdings" w:hAnsi="Wingdings" w:hint="default"/>
      </w:rPr>
    </w:lvl>
    <w:lvl w:ilvl="6" w:tplc="64C2EFA6" w:tentative="1">
      <w:start w:val="1"/>
      <w:numFmt w:val="bullet"/>
      <w:lvlText w:val=""/>
      <w:lvlJc w:val="left"/>
      <w:pPr>
        <w:tabs>
          <w:tab w:val="num" w:pos="5040"/>
        </w:tabs>
        <w:ind w:left="5040" w:hanging="360"/>
      </w:pPr>
      <w:rPr>
        <w:rFonts w:ascii="Symbol" w:hAnsi="Symbol" w:hint="default"/>
      </w:rPr>
    </w:lvl>
    <w:lvl w:ilvl="7" w:tplc="4838F038" w:tentative="1">
      <w:start w:val="1"/>
      <w:numFmt w:val="bullet"/>
      <w:lvlText w:val="o"/>
      <w:lvlJc w:val="left"/>
      <w:pPr>
        <w:tabs>
          <w:tab w:val="num" w:pos="5760"/>
        </w:tabs>
        <w:ind w:left="5760" w:hanging="360"/>
      </w:pPr>
      <w:rPr>
        <w:rFonts w:ascii="Courier New" w:hAnsi="Courier New" w:cs="Courier New" w:hint="default"/>
      </w:rPr>
    </w:lvl>
    <w:lvl w:ilvl="8" w:tplc="495A56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4A8928A">
      <w:start w:val="1"/>
      <w:numFmt w:val="bullet"/>
      <w:pStyle w:val="Lijstopsomteken2"/>
      <w:lvlText w:val="–"/>
      <w:lvlJc w:val="left"/>
      <w:pPr>
        <w:tabs>
          <w:tab w:val="num" w:pos="227"/>
        </w:tabs>
        <w:ind w:left="227" w:firstLine="0"/>
      </w:pPr>
      <w:rPr>
        <w:rFonts w:ascii="Verdana" w:hAnsi="Verdana" w:hint="default"/>
      </w:rPr>
    </w:lvl>
    <w:lvl w:ilvl="1" w:tplc="4C084F44" w:tentative="1">
      <w:start w:val="1"/>
      <w:numFmt w:val="bullet"/>
      <w:lvlText w:val="o"/>
      <w:lvlJc w:val="left"/>
      <w:pPr>
        <w:tabs>
          <w:tab w:val="num" w:pos="1440"/>
        </w:tabs>
        <w:ind w:left="1440" w:hanging="360"/>
      </w:pPr>
      <w:rPr>
        <w:rFonts w:ascii="Courier New" w:hAnsi="Courier New" w:cs="Courier New" w:hint="default"/>
      </w:rPr>
    </w:lvl>
    <w:lvl w:ilvl="2" w:tplc="4B1A843A" w:tentative="1">
      <w:start w:val="1"/>
      <w:numFmt w:val="bullet"/>
      <w:lvlText w:val=""/>
      <w:lvlJc w:val="left"/>
      <w:pPr>
        <w:tabs>
          <w:tab w:val="num" w:pos="2160"/>
        </w:tabs>
        <w:ind w:left="2160" w:hanging="360"/>
      </w:pPr>
      <w:rPr>
        <w:rFonts w:ascii="Wingdings" w:hAnsi="Wingdings" w:hint="default"/>
      </w:rPr>
    </w:lvl>
    <w:lvl w:ilvl="3" w:tplc="462C5A72" w:tentative="1">
      <w:start w:val="1"/>
      <w:numFmt w:val="bullet"/>
      <w:lvlText w:val=""/>
      <w:lvlJc w:val="left"/>
      <w:pPr>
        <w:tabs>
          <w:tab w:val="num" w:pos="2880"/>
        </w:tabs>
        <w:ind w:left="2880" w:hanging="360"/>
      </w:pPr>
      <w:rPr>
        <w:rFonts w:ascii="Symbol" w:hAnsi="Symbol" w:hint="default"/>
      </w:rPr>
    </w:lvl>
    <w:lvl w:ilvl="4" w:tplc="596CDD0C" w:tentative="1">
      <w:start w:val="1"/>
      <w:numFmt w:val="bullet"/>
      <w:lvlText w:val="o"/>
      <w:lvlJc w:val="left"/>
      <w:pPr>
        <w:tabs>
          <w:tab w:val="num" w:pos="3600"/>
        </w:tabs>
        <w:ind w:left="3600" w:hanging="360"/>
      </w:pPr>
      <w:rPr>
        <w:rFonts w:ascii="Courier New" w:hAnsi="Courier New" w:cs="Courier New" w:hint="default"/>
      </w:rPr>
    </w:lvl>
    <w:lvl w:ilvl="5" w:tplc="BC76986C" w:tentative="1">
      <w:start w:val="1"/>
      <w:numFmt w:val="bullet"/>
      <w:lvlText w:val=""/>
      <w:lvlJc w:val="left"/>
      <w:pPr>
        <w:tabs>
          <w:tab w:val="num" w:pos="4320"/>
        </w:tabs>
        <w:ind w:left="4320" w:hanging="360"/>
      </w:pPr>
      <w:rPr>
        <w:rFonts w:ascii="Wingdings" w:hAnsi="Wingdings" w:hint="default"/>
      </w:rPr>
    </w:lvl>
    <w:lvl w:ilvl="6" w:tplc="0F9C4FC0" w:tentative="1">
      <w:start w:val="1"/>
      <w:numFmt w:val="bullet"/>
      <w:lvlText w:val=""/>
      <w:lvlJc w:val="left"/>
      <w:pPr>
        <w:tabs>
          <w:tab w:val="num" w:pos="5040"/>
        </w:tabs>
        <w:ind w:left="5040" w:hanging="360"/>
      </w:pPr>
      <w:rPr>
        <w:rFonts w:ascii="Symbol" w:hAnsi="Symbol" w:hint="default"/>
      </w:rPr>
    </w:lvl>
    <w:lvl w:ilvl="7" w:tplc="FDE017AA" w:tentative="1">
      <w:start w:val="1"/>
      <w:numFmt w:val="bullet"/>
      <w:lvlText w:val="o"/>
      <w:lvlJc w:val="left"/>
      <w:pPr>
        <w:tabs>
          <w:tab w:val="num" w:pos="5760"/>
        </w:tabs>
        <w:ind w:left="5760" w:hanging="360"/>
      </w:pPr>
      <w:rPr>
        <w:rFonts w:ascii="Courier New" w:hAnsi="Courier New" w:cs="Courier New" w:hint="default"/>
      </w:rPr>
    </w:lvl>
    <w:lvl w:ilvl="8" w:tplc="426699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5236C7"/>
    <w:multiLevelType w:val="hybridMultilevel"/>
    <w:tmpl w:val="6C265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8555712">
    <w:abstractNumId w:val="10"/>
  </w:num>
  <w:num w:numId="2" w16cid:durableId="61686593">
    <w:abstractNumId w:val="7"/>
  </w:num>
  <w:num w:numId="3" w16cid:durableId="1973228">
    <w:abstractNumId w:val="6"/>
  </w:num>
  <w:num w:numId="4" w16cid:durableId="1991978467">
    <w:abstractNumId w:val="5"/>
  </w:num>
  <w:num w:numId="5" w16cid:durableId="834537829">
    <w:abstractNumId w:val="4"/>
  </w:num>
  <w:num w:numId="6" w16cid:durableId="1189174507">
    <w:abstractNumId w:val="8"/>
  </w:num>
  <w:num w:numId="7" w16cid:durableId="1333487941">
    <w:abstractNumId w:val="3"/>
  </w:num>
  <w:num w:numId="8" w16cid:durableId="828521449">
    <w:abstractNumId w:val="2"/>
  </w:num>
  <w:num w:numId="9" w16cid:durableId="932738720">
    <w:abstractNumId w:val="1"/>
  </w:num>
  <w:num w:numId="10" w16cid:durableId="1030304257">
    <w:abstractNumId w:val="0"/>
  </w:num>
  <w:num w:numId="11" w16cid:durableId="1255746919">
    <w:abstractNumId w:val="9"/>
  </w:num>
  <w:num w:numId="12" w16cid:durableId="404497605">
    <w:abstractNumId w:val="11"/>
  </w:num>
  <w:num w:numId="13" w16cid:durableId="158077833">
    <w:abstractNumId w:val="13"/>
  </w:num>
  <w:num w:numId="14" w16cid:durableId="1367178081">
    <w:abstractNumId w:val="12"/>
  </w:num>
  <w:num w:numId="15" w16cid:durableId="10708887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10E"/>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3F3"/>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4508"/>
    <w:rsid w:val="001177B4"/>
    <w:rsid w:val="00122CF9"/>
    <w:rsid w:val="00123704"/>
    <w:rsid w:val="001270C7"/>
    <w:rsid w:val="00132540"/>
    <w:rsid w:val="001377D4"/>
    <w:rsid w:val="00142E41"/>
    <w:rsid w:val="0014786A"/>
    <w:rsid w:val="00147E1D"/>
    <w:rsid w:val="001516A4"/>
    <w:rsid w:val="00151E5F"/>
    <w:rsid w:val="00153BD0"/>
    <w:rsid w:val="001569AB"/>
    <w:rsid w:val="00164D63"/>
    <w:rsid w:val="0016725C"/>
    <w:rsid w:val="00167DE5"/>
    <w:rsid w:val="0017008F"/>
    <w:rsid w:val="00170EB0"/>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1229"/>
    <w:rsid w:val="001B2BBA"/>
    <w:rsid w:val="001B35FA"/>
    <w:rsid w:val="001C006F"/>
    <w:rsid w:val="001C2C36"/>
    <w:rsid w:val="001C32EC"/>
    <w:rsid w:val="001C38BD"/>
    <w:rsid w:val="001C4D5A"/>
    <w:rsid w:val="001E0256"/>
    <w:rsid w:val="001E34C6"/>
    <w:rsid w:val="001E5581"/>
    <w:rsid w:val="001E5C49"/>
    <w:rsid w:val="001F3C70"/>
    <w:rsid w:val="001F626C"/>
    <w:rsid w:val="00200D88"/>
    <w:rsid w:val="00201C09"/>
    <w:rsid w:val="00201F68"/>
    <w:rsid w:val="002109F9"/>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5830"/>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9C5"/>
    <w:rsid w:val="00307B3C"/>
    <w:rsid w:val="00310EF2"/>
    <w:rsid w:val="003115A6"/>
    <w:rsid w:val="00312597"/>
    <w:rsid w:val="00314F90"/>
    <w:rsid w:val="00322836"/>
    <w:rsid w:val="00334154"/>
    <w:rsid w:val="003341D0"/>
    <w:rsid w:val="003372C4"/>
    <w:rsid w:val="00341FA0"/>
    <w:rsid w:val="00342374"/>
    <w:rsid w:val="00344F3D"/>
    <w:rsid w:val="00344F55"/>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5931"/>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06AD"/>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2FF6"/>
    <w:rsid w:val="005A7512"/>
    <w:rsid w:val="005B3441"/>
    <w:rsid w:val="005B463E"/>
    <w:rsid w:val="005B4FAC"/>
    <w:rsid w:val="005B5D8B"/>
    <w:rsid w:val="005C34E1"/>
    <w:rsid w:val="005C3FE0"/>
    <w:rsid w:val="005C4C82"/>
    <w:rsid w:val="005C740C"/>
    <w:rsid w:val="005D283A"/>
    <w:rsid w:val="005D625B"/>
    <w:rsid w:val="005E3322"/>
    <w:rsid w:val="005E335D"/>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0D4D"/>
    <w:rsid w:val="00674A89"/>
    <w:rsid w:val="00674F3D"/>
    <w:rsid w:val="00682B65"/>
    <w:rsid w:val="00682E02"/>
    <w:rsid w:val="00685545"/>
    <w:rsid w:val="006864B3"/>
    <w:rsid w:val="00686AED"/>
    <w:rsid w:val="00687511"/>
    <w:rsid w:val="00692BA9"/>
    <w:rsid w:val="00692C30"/>
    <w:rsid w:val="00692D64"/>
    <w:rsid w:val="00694CAC"/>
    <w:rsid w:val="00695D00"/>
    <w:rsid w:val="0069791C"/>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2864"/>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3E2"/>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6C3E"/>
    <w:rsid w:val="008D1583"/>
    <w:rsid w:val="008E0B3F"/>
    <w:rsid w:val="008E1341"/>
    <w:rsid w:val="008E1B03"/>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6DC"/>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395"/>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6FA"/>
    <w:rsid w:val="00A34AA0"/>
    <w:rsid w:val="00A41FE2"/>
    <w:rsid w:val="00A421A1"/>
    <w:rsid w:val="00A43F3A"/>
    <w:rsid w:val="00A46DBE"/>
    <w:rsid w:val="00A46FEF"/>
    <w:rsid w:val="00A47948"/>
    <w:rsid w:val="00A50CF6"/>
    <w:rsid w:val="00A51C81"/>
    <w:rsid w:val="00A56850"/>
    <w:rsid w:val="00A56946"/>
    <w:rsid w:val="00A604D3"/>
    <w:rsid w:val="00A60B58"/>
    <w:rsid w:val="00A6170E"/>
    <w:rsid w:val="00A63B8C"/>
    <w:rsid w:val="00A67582"/>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5D4B"/>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47A8"/>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2F26"/>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0875"/>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5116"/>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5D1F"/>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5BB5"/>
    <w:rsid w:val="00F0733A"/>
    <w:rsid w:val="00F11068"/>
    <w:rsid w:val="00F115FD"/>
    <w:rsid w:val="00F1256D"/>
    <w:rsid w:val="00F13A4E"/>
    <w:rsid w:val="00F1454F"/>
    <w:rsid w:val="00F172BB"/>
    <w:rsid w:val="00F17B10"/>
    <w:rsid w:val="00F17BFE"/>
    <w:rsid w:val="00F17F93"/>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2CC15"/>
  <w15:docId w15:val="{768B3E0F-20A5-4955-AE16-7A6BB037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0EB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normaltextrun">
    <w:name w:val="normaltextrun"/>
    <w:basedOn w:val="Standaardalinea-lettertype"/>
    <w:rsid w:val="00A46DBE"/>
  </w:style>
  <w:style w:type="character" w:customStyle="1" w:styleId="VoetnoottekstChar">
    <w:name w:val="Voetnoottekst Char"/>
    <w:basedOn w:val="Standaardalinea-lettertype"/>
    <w:link w:val="Voetnoottekst"/>
    <w:uiPriority w:val="99"/>
    <w:qFormat/>
    <w:rsid w:val="00C52F26"/>
    <w:rPr>
      <w:rFonts w:ascii="Verdana" w:hAnsi="Verdana"/>
      <w:sz w:val="13"/>
      <w:lang w:val="nl-NL" w:eastAsia="nl-NL"/>
    </w:rPr>
  </w:style>
  <w:style w:type="character" w:styleId="Voetnootmarkering">
    <w:name w:val="footnote reference"/>
    <w:basedOn w:val="Standaardalinea-lettertype"/>
    <w:uiPriority w:val="99"/>
    <w:unhideWhenUsed/>
    <w:rsid w:val="00C52F26"/>
    <w:rPr>
      <w:vertAlign w:val="superscript"/>
    </w:rPr>
  </w:style>
  <w:style w:type="paragraph" w:styleId="Lijstalinea">
    <w:name w:val="List Paragraph"/>
    <w:basedOn w:val="Standaard"/>
    <w:uiPriority w:val="34"/>
    <w:qFormat/>
    <w:rsid w:val="00CE0875"/>
    <w:pPr>
      <w:ind w:left="720"/>
      <w:contextualSpacing/>
    </w:pPr>
  </w:style>
  <w:style w:type="paragraph" w:styleId="Revisie">
    <w:name w:val="Revision"/>
    <w:hidden/>
    <w:uiPriority w:val="99"/>
    <w:semiHidden/>
    <w:rsid w:val="00344F55"/>
    <w:rPr>
      <w:rFonts w:ascii="Verdana" w:hAnsi="Verdana"/>
      <w:sz w:val="18"/>
      <w:szCs w:val="24"/>
      <w:lang w:val="nl-NL" w:eastAsia="nl-NL"/>
    </w:rPr>
  </w:style>
  <w:style w:type="character" w:styleId="Verwijzingopmerking">
    <w:name w:val="annotation reference"/>
    <w:basedOn w:val="Standaardalinea-lettertype"/>
    <w:rsid w:val="00344F55"/>
    <w:rPr>
      <w:sz w:val="16"/>
      <w:szCs w:val="16"/>
    </w:rPr>
  </w:style>
  <w:style w:type="paragraph" w:styleId="Tekstopmerking">
    <w:name w:val="annotation text"/>
    <w:basedOn w:val="Standaard"/>
    <w:link w:val="TekstopmerkingChar"/>
    <w:rsid w:val="00344F55"/>
    <w:pPr>
      <w:spacing w:line="240" w:lineRule="auto"/>
    </w:pPr>
    <w:rPr>
      <w:sz w:val="20"/>
      <w:szCs w:val="20"/>
    </w:rPr>
  </w:style>
  <w:style w:type="character" w:customStyle="1" w:styleId="TekstopmerkingChar">
    <w:name w:val="Tekst opmerking Char"/>
    <w:basedOn w:val="Standaardalinea-lettertype"/>
    <w:link w:val="Tekstopmerking"/>
    <w:rsid w:val="00344F55"/>
    <w:rPr>
      <w:rFonts w:ascii="Verdana" w:hAnsi="Verdana"/>
      <w:lang w:val="nl-NL" w:eastAsia="nl-NL"/>
    </w:rPr>
  </w:style>
  <w:style w:type="paragraph" w:styleId="Onderwerpvanopmerking">
    <w:name w:val="annotation subject"/>
    <w:basedOn w:val="Tekstopmerking"/>
    <w:next w:val="Tekstopmerking"/>
    <w:link w:val="OnderwerpvanopmerkingChar"/>
    <w:rsid w:val="00344F55"/>
    <w:rPr>
      <w:b/>
      <w:bCs/>
    </w:rPr>
  </w:style>
  <w:style w:type="character" w:customStyle="1" w:styleId="OnderwerpvanopmerkingChar">
    <w:name w:val="Onderwerp van opmerking Char"/>
    <w:basedOn w:val="TekstopmerkingChar"/>
    <w:link w:val="Onderwerpvanopmerking"/>
    <w:rsid w:val="00344F5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1020</ap:Words>
  <ap:Characters>5726</ap:Characters>
  <ap:DocSecurity>0</ap:DocSecurity>
  <ap:Lines>114</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2025-07-02T15:03:00.0000000Z</lastPrinted>
  <dcterms:created xsi:type="dcterms:W3CDTF">2025-07-02T15:03:00.0000000Z</dcterms:created>
  <dcterms:modified xsi:type="dcterms:W3CDTF">2025-07-02T15:03:00.0000000Z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O200PRU</vt:lpwstr>
  </property>
  <property fmtid="{D5CDD505-2E9C-101B-9397-08002B2CF9AE}" pid="3" name="Author">
    <vt:lpwstr>O200PRU</vt:lpwstr>
  </property>
  <property fmtid="{D5CDD505-2E9C-101B-9397-08002B2CF9AE}" pid="4" name="cs_objectid">
    <vt:lpwstr>53179057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amendement 36 725 VIII van het lid KOSTIÇ C.S. </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O200PRU</vt:lpwstr>
  </property>
</Properties>
</file>