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C04C8" w:rsidTr="00D9561B" w14:paraId="473C2FF2" w14:textId="77777777">
        <w:trPr>
          <w:trHeight w:val="1514"/>
        </w:trPr>
        <w:tc>
          <w:tcPr>
            <w:tcW w:w="7522" w:type="dxa"/>
            <w:tcBorders>
              <w:top w:val="nil"/>
              <w:left w:val="nil"/>
              <w:bottom w:val="nil"/>
              <w:right w:val="nil"/>
            </w:tcBorders>
            <w:tcMar>
              <w:left w:w="0" w:type="dxa"/>
              <w:right w:w="0" w:type="dxa"/>
            </w:tcMar>
          </w:tcPr>
          <w:p w:rsidR="00374412" w:rsidP="00D9561B" w:rsidRDefault="00F4081F" w14:paraId="3B17C1A0" w14:textId="77777777">
            <w:r>
              <w:t>De v</w:t>
            </w:r>
            <w:r w:rsidR="008E3932">
              <w:t>oorzitter van de Tweede Kamer der Staten-Generaal</w:t>
            </w:r>
          </w:p>
          <w:p w:rsidR="00374412" w:rsidP="00D9561B" w:rsidRDefault="00F4081F" w14:paraId="196BE8A6" w14:textId="77777777">
            <w:r>
              <w:t>Postbus 20018</w:t>
            </w:r>
          </w:p>
          <w:p w:rsidR="008E3932" w:rsidP="00D9561B" w:rsidRDefault="00F4081F" w14:paraId="5BC8F3C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C04C8" w:rsidTr="00FF66F9" w14:paraId="45CA6B0F" w14:textId="77777777">
        <w:trPr>
          <w:trHeight w:val="289" w:hRule="exact"/>
        </w:trPr>
        <w:tc>
          <w:tcPr>
            <w:tcW w:w="929" w:type="dxa"/>
          </w:tcPr>
          <w:p w:rsidRPr="00434042" w:rsidR="0005404B" w:rsidP="00FF66F9" w:rsidRDefault="00F4081F" w14:paraId="6B0821EA" w14:textId="77777777">
            <w:pPr>
              <w:rPr>
                <w:lang w:eastAsia="en-US"/>
              </w:rPr>
            </w:pPr>
            <w:r>
              <w:rPr>
                <w:lang w:eastAsia="en-US"/>
              </w:rPr>
              <w:t>Datum</w:t>
            </w:r>
          </w:p>
        </w:tc>
        <w:tc>
          <w:tcPr>
            <w:tcW w:w="6581" w:type="dxa"/>
          </w:tcPr>
          <w:p w:rsidRPr="00434042" w:rsidR="0005404B" w:rsidP="00FF66F9" w:rsidRDefault="005E1283" w14:paraId="320A0765" w14:textId="2CEA903A">
            <w:pPr>
              <w:rPr>
                <w:lang w:eastAsia="en-US"/>
              </w:rPr>
            </w:pPr>
            <w:r>
              <w:rPr>
                <w:lang w:eastAsia="en-US"/>
              </w:rPr>
              <w:t>3 juli 2025</w:t>
            </w:r>
          </w:p>
        </w:tc>
      </w:tr>
      <w:tr w:rsidR="002C04C8" w:rsidTr="00FF66F9" w14:paraId="1CD51435" w14:textId="77777777">
        <w:trPr>
          <w:trHeight w:val="368"/>
        </w:trPr>
        <w:tc>
          <w:tcPr>
            <w:tcW w:w="929" w:type="dxa"/>
          </w:tcPr>
          <w:p w:rsidR="0005404B" w:rsidP="00FF66F9" w:rsidRDefault="00F4081F" w14:paraId="0179EF3A" w14:textId="77777777">
            <w:pPr>
              <w:rPr>
                <w:lang w:eastAsia="en-US"/>
              </w:rPr>
            </w:pPr>
            <w:r>
              <w:rPr>
                <w:lang w:eastAsia="en-US"/>
              </w:rPr>
              <w:t>Betreft</w:t>
            </w:r>
          </w:p>
        </w:tc>
        <w:tc>
          <w:tcPr>
            <w:tcW w:w="6581" w:type="dxa"/>
          </w:tcPr>
          <w:p w:rsidR="0005404B" w:rsidP="00FF66F9" w:rsidRDefault="00944F1E" w14:paraId="3DDB3034" w14:textId="00BCD8BF">
            <w:pPr>
              <w:rPr>
                <w:lang w:eastAsia="en-US"/>
              </w:rPr>
            </w:pPr>
            <w:r>
              <w:rPr>
                <w:lang w:eastAsia="en-US"/>
              </w:rPr>
              <w:t>Uitvoering moties WIB en vervolgproces</w:t>
            </w:r>
          </w:p>
        </w:tc>
      </w:tr>
    </w:tbl>
    <w:p w:rsidR="002C04C8" w:rsidRDefault="002C04C8" w14:paraId="357507FA" w14:textId="25CAA47F"/>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4081F" w:rsidR="002C04C8" w:rsidTr="00A421A1" w14:paraId="310D3C8D" w14:textId="77777777">
        <w:tc>
          <w:tcPr>
            <w:tcW w:w="2160" w:type="dxa"/>
          </w:tcPr>
          <w:p w:rsidRPr="00F53C9D" w:rsidR="006205C0" w:rsidP="00686AED" w:rsidRDefault="00F4081F" w14:paraId="65BFC9AD" w14:textId="77777777">
            <w:pPr>
              <w:pStyle w:val="Colofonkop"/>
              <w:framePr w:hSpace="0" w:wrap="auto" w:hAnchor="text" w:vAnchor="margin" w:xAlign="left" w:yAlign="inline"/>
            </w:pPr>
            <w:r>
              <w:t>Hoger Onderwijs en Studiefinanciering</w:t>
            </w:r>
          </w:p>
          <w:p w:rsidR="006205C0" w:rsidP="00A421A1" w:rsidRDefault="00F4081F" w14:paraId="09A8D31C" w14:textId="77777777">
            <w:pPr>
              <w:pStyle w:val="Huisstijl-Gegeven"/>
              <w:spacing w:after="0"/>
            </w:pPr>
            <w:r>
              <w:t xml:space="preserve">Rijnstraat 50 </w:t>
            </w:r>
          </w:p>
          <w:p w:rsidR="004425A7" w:rsidP="00E972A2" w:rsidRDefault="00F4081F" w14:paraId="2CB783CF" w14:textId="77777777">
            <w:pPr>
              <w:pStyle w:val="Huisstijl-Gegeven"/>
              <w:spacing w:after="0"/>
            </w:pPr>
            <w:r>
              <w:t>Den Haag</w:t>
            </w:r>
          </w:p>
          <w:p w:rsidR="004425A7" w:rsidP="00E972A2" w:rsidRDefault="00F4081F" w14:paraId="17485D3D" w14:textId="77777777">
            <w:pPr>
              <w:pStyle w:val="Huisstijl-Gegeven"/>
              <w:spacing w:after="0"/>
            </w:pPr>
            <w:r>
              <w:t>Postbus 16375</w:t>
            </w:r>
          </w:p>
          <w:p w:rsidR="004425A7" w:rsidP="00E972A2" w:rsidRDefault="00F4081F" w14:paraId="4E2DBA1C" w14:textId="77777777">
            <w:pPr>
              <w:pStyle w:val="Huisstijl-Gegeven"/>
              <w:spacing w:after="0"/>
            </w:pPr>
            <w:r>
              <w:t>2500 BJ Den Haag</w:t>
            </w:r>
          </w:p>
          <w:p w:rsidRPr="00CA0119" w:rsidR="006205C0" w:rsidP="00CA0119" w:rsidRDefault="00F4081F" w14:paraId="792C3C2B" w14:textId="0102842C">
            <w:pPr>
              <w:pStyle w:val="Huisstijl-Gegeven"/>
              <w:spacing w:after="90"/>
            </w:pPr>
            <w:r>
              <w:t>www.rijksoverheid.nl</w:t>
            </w:r>
          </w:p>
        </w:tc>
      </w:tr>
      <w:tr w:rsidRPr="00F4081F" w:rsidR="002C04C8" w:rsidTr="00A421A1" w14:paraId="0CA49625" w14:textId="77777777">
        <w:trPr>
          <w:trHeight w:val="200" w:hRule="exact"/>
        </w:trPr>
        <w:tc>
          <w:tcPr>
            <w:tcW w:w="2160" w:type="dxa"/>
          </w:tcPr>
          <w:p w:rsidRPr="00944F1E" w:rsidR="006205C0" w:rsidP="00A421A1" w:rsidRDefault="006205C0" w14:paraId="63D8BBAC" w14:textId="77777777">
            <w:pPr>
              <w:spacing w:after="90" w:line="180" w:lineRule="exact"/>
              <w:rPr>
                <w:sz w:val="13"/>
                <w:szCs w:val="13"/>
              </w:rPr>
            </w:pPr>
          </w:p>
        </w:tc>
      </w:tr>
      <w:tr w:rsidR="002C04C8" w:rsidTr="00A421A1" w14:paraId="56E662AC" w14:textId="77777777">
        <w:trPr>
          <w:trHeight w:val="450"/>
        </w:trPr>
        <w:tc>
          <w:tcPr>
            <w:tcW w:w="2160" w:type="dxa"/>
          </w:tcPr>
          <w:p w:rsidR="00F51A76" w:rsidP="00A421A1" w:rsidRDefault="00F4081F" w14:paraId="2120C90F" w14:textId="77777777">
            <w:pPr>
              <w:spacing w:line="180" w:lineRule="exact"/>
              <w:rPr>
                <w:b/>
                <w:sz w:val="13"/>
                <w:szCs w:val="13"/>
              </w:rPr>
            </w:pPr>
            <w:r>
              <w:rPr>
                <w:b/>
                <w:sz w:val="13"/>
                <w:szCs w:val="13"/>
              </w:rPr>
              <w:t>Onze referentie</w:t>
            </w:r>
          </w:p>
          <w:p w:rsidRPr="00FA7882" w:rsidR="006205C0" w:rsidP="00215356" w:rsidRDefault="00626DE5" w14:paraId="01CE0019" w14:textId="70FC3CA7">
            <w:pPr>
              <w:spacing w:line="180" w:lineRule="exact"/>
              <w:rPr>
                <w:sz w:val="13"/>
                <w:szCs w:val="13"/>
              </w:rPr>
            </w:pPr>
            <w:r w:rsidRPr="00626DE5">
              <w:rPr>
                <w:sz w:val="13"/>
                <w:szCs w:val="13"/>
              </w:rPr>
              <w:t>53043972</w:t>
            </w:r>
          </w:p>
        </w:tc>
      </w:tr>
      <w:tr w:rsidR="002C04C8" w:rsidTr="00D130C0" w14:paraId="24B97856" w14:textId="77777777">
        <w:trPr>
          <w:trHeight w:val="113"/>
        </w:trPr>
        <w:tc>
          <w:tcPr>
            <w:tcW w:w="2160" w:type="dxa"/>
          </w:tcPr>
          <w:p w:rsidRPr="00C5333A" w:rsidR="006205C0" w:rsidP="00D36088" w:rsidRDefault="00F4081F" w14:paraId="5F64450A" w14:textId="77777777">
            <w:pPr>
              <w:tabs>
                <w:tab w:val="center" w:pos="1080"/>
              </w:tabs>
              <w:spacing w:line="180" w:lineRule="exact"/>
              <w:rPr>
                <w:sz w:val="13"/>
                <w:szCs w:val="13"/>
              </w:rPr>
            </w:pPr>
            <w:r>
              <w:rPr>
                <w:b/>
                <w:sz w:val="13"/>
                <w:szCs w:val="13"/>
              </w:rPr>
              <w:t>Bijlagen</w:t>
            </w:r>
          </w:p>
        </w:tc>
      </w:tr>
      <w:tr w:rsidR="002C04C8" w:rsidTr="00D130C0" w14:paraId="0D2E00A7" w14:textId="77777777">
        <w:trPr>
          <w:trHeight w:val="113"/>
        </w:trPr>
        <w:tc>
          <w:tcPr>
            <w:tcW w:w="2160" w:type="dxa"/>
          </w:tcPr>
          <w:p w:rsidRPr="00D74F66" w:rsidR="006205C0" w:rsidP="00A421A1" w:rsidRDefault="00A57FF0" w14:paraId="7A4A3DB3" w14:textId="120CB501">
            <w:pPr>
              <w:spacing w:after="90" w:line="180" w:lineRule="exact"/>
              <w:rPr>
                <w:sz w:val="13"/>
              </w:rPr>
            </w:pPr>
            <w:r>
              <w:rPr>
                <w:sz w:val="13"/>
              </w:rPr>
              <w:t xml:space="preserve">1. </w:t>
            </w:r>
            <w:r w:rsidR="007065E6">
              <w:rPr>
                <w:sz w:val="13"/>
              </w:rPr>
              <w:t>Studiefinanciering en internationale studenten</w:t>
            </w:r>
          </w:p>
        </w:tc>
      </w:tr>
    </w:tbl>
    <w:p w:rsidR="00944F1E" w:rsidP="00944F1E" w:rsidRDefault="00944F1E" w14:paraId="23DB5D8E" w14:textId="2B66C889">
      <w:r>
        <w:t xml:space="preserve">Tijdens het tweeminutendebat </w:t>
      </w:r>
      <w:r w:rsidR="00555318">
        <w:t xml:space="preserve">DUO en hoger onderwijs </w:t>
      </w:r>
      <w:r>
        <w:t xml:space="preserve">d.d. 22 mei 2025 </w:t>
      </w:r>
      <w:r w:rsidR="00885E18">
        <w:t>zijn er</w:t>
      </w:r>
      <w:r>
        <w:t xml:space="preserve"> twee moties </w:t>
      </w:r>
      <w:r w:rsidR="003D6FD3">
        <w:t>ingediend met betrekking tot het</w:t>
      </w:r>
      <w:r>
        <w:t xml:space="preserve"> wetsvoorstel Wet internationalisering in balans (hierna:</w:t>
      </w:r>
      <w:r w:rsidR="00967441">
        <w:t xml:space="preserve"> de</w:t>
      </w:r>
      <w:r>
        <w:t xml:space="preserve"> WIB)</w:t>
      </w:r>
      <w:r w:rsidR="00A02F38">
        <w:t xml:space="preserve">. Beide moties zijn op 27 mei 2025 door </w:t>
      </w:r>
      <w:r w:rsidR="0063286E">
        <w:t>u</w:t>
      </w:r>
      <w:r w:rsidR="00A02F38">
        <w:t xml:space="preserve">w </w:t>
      </w:r>
      <w:r w:rsidR="00555318">
        <w:t>K</w:t>
      </w:r>
      <w:r w:rsidR="00A02F38">
        <w:t xml:space="preserve">amer aangenomen. Ik ben voornemens uitvoering te geven aan deze moties en ik zal hiertoe </w:t>
      </w:r>
      <w:r w:rsidR="00775B00">
        <w:t xml:space="preserve">zoals verzocht </w:t>
      </w:r>
      <w:r w:rsidR="00A02F38">
        <w:t>een nota van wijziging op het wetsvoorstel indienen</w:t>
      </w:r>
      <w:r w:rsidR="00647F00">
        <w:t>. In deze brief licht ik toe hoe ik dat zal doen en hoe het vervolgproces vorm krijgt</w:t>
      </w:r>
      <w:r w:rsidR="00A02F38">
        <w:t xml:space="preserve">. </w:t>
      </w:r>
      <w:r w:rsidR="00555318">
        <w:t>Het betreft</w:t>
      </w:r>
      <w:r w:rsidR="003964F6">
        <w:t xml:space="preserve"> de </w:t>
      </w:r>
      <w:r w:rsidR="00555318">
        <w:t xml:space="preserve">volgende </w:t>
      </w:r>
      <w:r w:rsidR="003964F6">
        <w:t>moties</w:t>
      </w:r>
      <w:r>
        <w:t>:</w:t>
      </w:r>
    </w:p>
    <w:p w:rsidR="00944F1E" w:rsidP="00944F1E" w:rsidRDefault="00944F1E" w14:paraId="673C9B28" w14:textId="78E54266">
      <w:pPr>
        <w:pStyle w:val="Lijstalinea"/>
        <w:numPr>
          <w:ilvl w:val="0"/>
          <w:numId w:val="16"/>
        </w:numPr>
      </w:pPr>
      <w:r>
        <w:t xml:space="preserve">Motie </w:t>
      </w:r>
      <w:r w:rsidR="00555318">
        <w:t xml:space="preserve">van het lid </w:t>
      </w:r>
      <w:r>
        <w:t>Krul</w:t>
      </w:r>
      <w:r w:rsidR="003D6FD3">
        <w:t xml:space="preserve"> c.s.</w:t>
      </w:r>
      <w:r>
        <w:rPr>
          <w:rStyle w:val="Voetnootmarkering"/>
        </w:rPr>
        <w:footnoteReference w:id="1"/>
      </w:r>
      <w:r>
        <w:t xml:space="preserve">, waarin wordt opgeroepen om de </w:t>
      </w:r>
      <w:r w:rsidR="00885E18">
        <w:t xml:space="preserve">toets anderstalig onderwijs (hierna: </w:t>
      </w:r>
      <w:r>
        <w:t>TAO</w:t>
      </w:r>
      <w:r w:rsidR="00885E18">
        <w:t>) voor het</w:t>
      </w:r>
      <w:r>
        <w:t xml:space="preserve"> bestaand</w:t>
      </w:r>
      <w:r w:rsidR="00885E18">
        <w:t>e</w:t>
      </w:r>
      <w:r>
        <w:t xml:space="preserve"> </w:t>
      </w:r>
      <w:r w:rsidR="00885E18">
        <w:t>opleidings</w:t>
      </w:r>
      <w:r>
        <w:t xml:space="preserve">aanbod te laten vervallen en tot een bindend bestuurlijk akkoord met de </w:t>
      </w:r>
      <w:r w:rsidR="00FC02E5">
        <w:t>instellingen</w:t>
      </w:r>
      <w:r>
        <w:t xml:space="preserve"> te komen</w:t>
      </w:r>
      <w:r w:rsidR="00885E18">
        <w:t xml:space="preserve">. Deze motie heb ik ontraden, </w:t>
      </w:r>
      <w:r w:rsidR="00FC02E5">
        <w:t xml:space="preserve">gelet op de opdracht die ik vanuit het hoofdlijnenakkoord en het regeerprogramma heb meegekregen met betrekking tot </w:t>
      </w:r>
      <w:r w:rsidR="003D6FD3">
        <w:t>taal in de bachelor</w:t>
      </w:r>
      <w:r w:rsidR="00FC02E5">
        <w:t>.</w:t>
      </w:r>
      <w:r w:rsidR="00885E18">
        <w:t xml:space="preserve"> </w:t>
      </w:r>
    </w:p>
    <w:p w:rsidR="00885E18" w:rsidP="00FC02E5" w:rsidRDefault="00885E18" w14:paraId="701E2E75" w14:textId="54185AC1">
      <w:pPr>
        <w:pStyle w:val="Lijstalinea"/>
        <w:numPr>
          <w:ilvl w:val="0"/>
          <w:numId w:val="16"/>
        </w:numPr>
      </w:pPr>
      <w:r>
        <w:t>M</w:t>
      </w:r>
      <w:r w:rsidR="00944F1E">
        <w:t xml:space="preserve">otie </w:t>
      </w:r>
      <w:r w:rsidR="00555318">
        <w:t xml:space="preserve">van de leden </w:t>
      </w:r>
      <w:r w:rsidR="00944F1E">
        <w:t>Soepboer</w:t>
      </w:r>
      <w:r w:rsidR="00555318">
        <w:t xml:space="preserve"> en</w:t>
      </w:r>
      <w:r w:rsidR="00D14DC0">
        <w:t xml:space="preserve"> </w:t>
      </w:r>
      <w:r w:rsidR="003D6FD3">
        <w:t>Krul</w:t>
      </w:r>
      <w:r>
        <w:rPr>
          <w:rStyle w:val="Voetnootmarkering"/>
        </w:rPr>
        <w:footnoteReference w:id="2"/>
      </w:r>
      <w:r>
        <w:t>,</w:t>
      </w:r>
      <w:r w:rsidR="00944F1E">
        <w:t xml:space="preserve"> </w:t>
      </w:r>
      <w:r w:rsidR="00B11627">
        <w:t xml:space="preserve">waarin </w:t>
      </w:r>
      <w:r w:rsidR="00944F1E">
        <w:t xml:space="preserve">wordt opgeroepen om </w:t>
      </w:r>
      <w:r w:rsidR="00FC02E5">
        <w:t>tot</w:t>
      </w:r>
      <w:r w:rsidR="00FE7128">
        <w:t xml:space="preserve"> zo</w:t>
      </w:r>
      <w:r w:rsidR="00FC02E5">
        <w:t xml:space="preserve"> bindend </w:t>
      </w:r>
      <w:r w:rsidR="00FE7128">
        <w:t xml:space="preserve">mogelijke </w:t>
      </w:r>
      <w:r w:rsidR="00FC02E5">
        <w:t>en controleerbare</w:t>
      </w:r>
      <w:r w:rsidR="00944F1E">
        <w:t xml:space="preserve"> afspraken met de instellingen te </w:t>
      </w:r>
      <w:r w:rsidR="00FC02E5">
        <w:t>komen over het verder terugdringen van de verengelsing en internationalisering om zo het Nederlands weer de norm te maken.</w:t>
      </w:r>
      <w:r w:rsidR="00C31786">
        <w:t xml:space="preserve"> </w:t>
      </w:r>
      <w:r w:rsidR="00571F95">
        <w:t xml:space="preserve">Voor </w:t>
      </w:r>
      <w:r w:rsidR="004F2F06">
        <w:t>d</w:t>
      </w:r>
      <w:r w:rsidR="00C31786">
        <w:t xml:space="preserve">eze motie heb ik </w:t>
      </w:r>
      <w:r w:rsidR="004F2F06">
        <w:t xml:space="preserve">het </w:t>
      </w:r>
      <w:r w:rsidR="00C31786">
        <w:t xml:space="preserve">oordeel </w:t>
      </w:r>
      <w:r w:rsidR="004F2F06">
        <w:t xml:space="preserve">aan </w:t>
      </w:r>
      <w:r w:rsidR="00555318">
        <w:t xml:space="preserve">uw </w:t>
      </w:r>
      <w:r w:rsidR="004F2F06">
        <w:t>Kamer gelaten</w:t>
      </w:r>
      <w:r w:rsidR="00C31786">
        <w:t xml:space="preserve">. </w:t>
      </w:r>
    </w:p>
    <w:p w:rsidR="00202D4F" w:rsidP="00885E18" w:rsidRDefault="00202D4F" w14:paraId="2FD50283" w14:textId="780AD6C3"/>
    <w:p w:rsidRPr="00202D4F" w:rsidR="00202D4F" w:rsidP="00202D4F" w:rsidRDefault="00202D4F" w14:paraId="22DE78B5" w14:textId="28DB1A75">
      <w:r>
        <w:t xml:space="preserve">Daarnaast </w:t>
      </w:r>
      <w:r w:rsidRPr="00202D4F">
        <w:t xml:space="preserve">zijn er in uw Kamer meerdere moties aangenomen op het gebied van studiefinanciering en internationale studenten. </w:t>
      </w:r>
      <w:r w:rsidR="00571F95">
        <w:t xml:space="preserve">Ik heb </w:t>
      </w:r>
      <w:r w:rsidR="004742D9">
        <w:t xml:space="preserve">toegezegd uw </w:t>
      </w:r>
      <w:r w:rsidR="00555318">
        <w:t>K</w:t>
      </w:r>
      <w:r w:rsidR="004742D9">
        <w:t>amer hier</w:t>
      </w:r>
      <w:r w:rsidR="00DE06EE">
        <w:t xml:space="preserve">over </w:t>
      </w:r>
      <w:r w:rsidR="004742D9">
        <w:t xml:space="preserve">voor de zomer te informeren. </w:t>
      </w:r>
      <w:r w:rsidRPr="00202D4F">
        <w:t>Het gaat hierbij om de moties:</w:t>
      </w:r>
    </w:p>
    <w:p w:rsidRPr="00202D4F" w:rsidR="00202D4F" w:rsidP="00DE06EE" w:rsidRDefault="00202D4F" w14:paraId="4BC97259" w14:textId="77777777">
      <w:pPr>
        <w:numPr>
          <w:ilvl w:val="0"/>
          <w:numId w:val="18"/>
        </w:numPr>
      </w:pPr>
      <w:r w:rsidRPr="00202D4F">
        <w:t xml:space="preserve">Motie van de toenmalige leden El </w:t>
      </w:r>
      <w:proofErr w:type="spellStart"/>
      <w:r w:rsidRPr="00202D4F">
        <w:t>Yassini</w:t>
      </w:r>
      <w:proofErr w:type="spellEnd"/>
      <w:r w:rsidRPr="00202D4F">
        <w:t xml:space="preserve"> en Peters</w:t>
      </w:r>
      <w:r w:rsidRPr="00202D4F">
        <w:rPr>
          <w:vertAlign w:val="superscript"/>
        </w:rPr>
        <w:footnoteReference w:id="3"/>
      </w:r>
      <w:r w:rsidRPr="00202D4F">
        <w:t xml:space="preserve"> over het effect van de herinvoering van de basisbeurs op het aantal internationale, niet-Nederlandse EER-studenten en studenten uit Zwitserland (hierna: EER-studenten) dat in Nederland komt studeren; en</w:t>
      </w:r>
    </w:p>
    <w:p w:rsidRPr="00202D4F" w:rsidR="00202D4F" w:rsidP="00DE06EE" w:rsidRDefault="00202D4F" w14:paraId="0A349BD3" w14:textId="77777777">
      <w:pPr>
        <w:numPr>
          <w:ilvl w:val="0"/>
          <w:numId w:val="18"/>
        </w:numPr>
      </w:pPr>
      <w:r w:rsidRPr="00202D4F">
        <w:t>Motie van het lid Soepboer</w:t>
      </w:r>
      <w:r w:rsidRPr="00202D4F">
        <w:rPr>
          <w:vertAlign w:val="superscript"/>
        </w:rPr>
        <w:footnoteReference w:id="4"/>
      </w:r>
      <w:r w:rsidRPr="00202D4F">
        <w:t xml:space="preserve"> over een plan om gegevensuitwisselingen over studiefinanciering en andere ondersteuning met andere landen te realiseren.</w:t>
      </w:r>
    </w:p>
    <w:p w:rsidRPr="00202D4F" w:rsidR="00202D4F" w:rsidP="00202D4F" w:rsidRDefault="00202D4F" w14:paraId="1F4A98D0" w14:textId="77777777">
      <w:r w:rsidRPr="00202D4F">
        <w:lastRenderedPageBreak/>
        <w:t xml:space="preserve"> </w:t>
      </w:r>
    </w:p>
    <w:p w:rsidR="00202D4F" w:rsidP="00885E18" w:rsidRDefault="007F102D" w14:paraId="6BE2D8B3" w14:textId="5FCF0C4C">
      <w:r>
        <w:t>De</w:t>
      </w:r>
      <w:r w:rsidR="00202D4F">
        <w:t xml:space="preserve"> uitwerking van deze</w:t>
      </w:r>
      <w:r w:rsidRPr="00202D4F" w:rsidR="00202D4F">
        <w:t xml:space="preserve"> moties</w:t>
      </w:r>
      <w:r w:rsidR="00202D4F">
        <w:t xml:space="preserve"> </w:t>
      </w:r>
      <w:r>
        <w:t>is opgenomen in deze brief met een nadere toelichting in de bijlage. I</w:t>
      </w:r>
      <w:r w:rsidR="00202D4F">
        <w:t>n de bijlage</w:t>
      </w:r>
      <w:r>
        <w:t xml:space="preserve"> ga ik ook in</w:t>
      </w:r>
      <w:r w:rsidR="00202D4F">
        <w:t xml:space="preserve"> </w:t>
      </w:r>
      <w:r w:rsidRPr="00202D4F" w:rsidR="00202D4F">
        <w:t>op een toezegging naar aanleiding van schriftelijke vragen van het toenmalig lid Hertzberger</w:t>
      </w:r>
      <w:r w:rsidRPr="00202D4F" w:rsidR="00202D4F">
        <w:rPr>
          <w:vertAlign w:val="superscript"/>
        </w:rPr>
        <w:footnoteReference w:id="5"/>
      </w:r>
      <w:r w:rsidRPr="00202D4F" w:rsidR="00202D4F">
        <w:t xml:space="preserve"> over de meest voorkomende nationaliteiten in de groep internationale studenten die een aanvullende beurs ontvangen.</w:t>
      </w:r>
      <w:r w:rsidR="00202D4F">
        <w:t xml:space="preserve"> </w:t>
      </w:r>
    </w:p>
    <w:p w:rsidR="00885E18" w:rsidP="00885E18" w:rsidRDefault="00885E18" w14:paraId="3BF7034B" w14:textId="77777777"/>
    <w:p w:rsidR="004F2F06" w:rsidP="00885E18" w:rsidRDefault="004F2F06" w14:paraId="7DDA07D6" w14:textId="57FCD422">
      <w:pPr>
        <w:rPr>
          <w:b/>
          <w:bCs/>
        </w:rPr>
      </w:pPr>
      <w:r>
        <w:rPr>
          <w:b/>
          <w:bCs/>
        </w:rPr>
        <w:t xml:space="preserve">Aanpassing wetsvoorstel </w:t>
      </w:r>
      <w:r w:rsidR="00202D4F">
        <w:rPr>
          <w:b/>
          <w:bCs/>
        </w:rPr>
        <w:t xml:space="preserve">WIB </w:t>
      </w:r>
      <w:r>
        <w:rPr>
          <w:b/>
          <w:bCs/>
        </w:rPr>
        <w:t>n.a.v. motie</w:t>
      </w:r>
      <w:r w:rsidR="00E64E2B">
        <w:rPr>
          <w:b/>
          <w:bCs/>
        </w:rPr>
        <w:t>s</w:t>
      </w:r>
      <w:r>
        <w:rPr>
          <w:b/>
          <w:bCs/>
        </w:rPr>
        <w:t xml:space="preserve"> </w:t>
      </w:r>
    </w:p>
    <w:p w:rsidRPr="00F84BBE" w:rsidR="00A80BEF" w:rsidP="004F2F06" w:rsidRDefault="00A80BEF" w14:paraId="46838BBA" w14:textId="53E6953D">
      <w:pPr>
        <w:rPr>
          <w:i/>
          <w:iCs/>
        </w:rPr>
      </w:pPr>
      <w:r w:rsidRPr="00F84BBE">
        <w:rPr>
          <w:i/>
          <w:iCs/>
        </w:rPr>
        <w:t>Overwegingen</w:t>
      </w:r>
    </w:p>
    <w:p w:rsidR="00AF022E" w:rsidP="004F2F06" w:rsidRDefault="00AF022E" w14:paraId="6F6B0A0A" w14:textId="0D774784">
      <w:r w:rsidRPr="00AF022E">
        <w:t>Het wetsvoorstel</w:t>
      </w:r>
      <w:r w:rsidR="000B3DC4">
        <w:t>,</w:t>
      </w:r>
      <w:r w:rsidRPr="00AF022E">
        <w:t xml:space="preserve"> zoals dat aan uw Kamer is gezonden, heeft als hoofd</w:t>
      </w:r>
      <w:r w:rsidR="00555318">
        <w:t>d</w:t>
      </w:r>
      <w:r w:rsidRPr="00AF022E">
        <w:t>oelstelling het behouden en versterken van het Nederlands als onderwijstaal. Daartoe bevat het voorstel de norm dat alle opleidingen en trajecten</w:t>
      </w:r>
      <w:r w:rsidR="00B71316">
        <w:t xml:space="preserve"> in het </w:t>
      </w:r>
      <w:proofErr w:type="spellStart"/>
      <w:r w:rsidR="00B71316">
        <w:t>associate</w:t>
      </w:r>
      <w:proofErr w:type="spellEnd"/>
      <w:r w:rsidR="00B71316">
        <w:t xml:space="preserve"> </w:t>
      </w:r>
      <w:proofErr w:type="spellStart"/>
      <w:r w:rsidR="00B71316">
        <w:t>degree</w:t>
      </w:r>
      <w:proofErr w:type="spellEnd"/>
      <w:r w:rsidR="00B71316">
        <w:t xml:space="preserve"> en </w:t>
      </w:r>
      <w:proofErr w:type="spellStart"/>
      <w:r w:rsidR="00B71316">
        <w:t>bacheloronderwijs</w:t>
      </w:r>
      <w:proofErr w:type="spellEnd"/>
      <w:r w:rsidRPr="00AF022E">
        <w:t xml:space="preserve">, zowel bestaande als </w:t>
      </w:r>
      <w:r w:rsidR="00555318">
        <w:t xml:space="preserve">beoogde </w:t>
      </w:r>
      <w:r w:rsidRPr="00AF022E">
        <w:t>nieuwe, in het Nederlands moeten</w:t>
      </w:r>
      <w:r w:rsidR="00705C8C">
        <w:t xml:space="preserve"> worden</w:t>
      </w:r>
      <w:r w:rsidRPr="00AF022E">
        <w:t xml:space="preserve"> verzorgd, tenzij het anderstalig verzorgen ervan doelmatig is. De TAO is het instrument om die doelmatigheid vast te stellen.  </w:t>
      </w:r>
    </w:p>
    <w:p w:rsidR="00AF022E" w:rsidP="004F2F06" w:rsidRDefault="00AF022E" w14:paraId="73562816" w14:textId="77777777"/>
    <w:p w:rsidR="00DE06EE" w:rsidP="004F2F06" w:rsidRDefault="009002D7" w14:paraId="591416A7" w14:textId="0619C4F2">
      <w:r>
        <w:t>I</w:t>
      </w:r>
      <w:r w:rsidR="004F2F06">
        <w:t>k</w:t>
      </w:r>
      <w:r>
        <w:t xml:space="preserve"> heb</w:t>
      </w:r>
      <w:r w:rsidR="004F2F06">
        <w:t xml:space="preserve"> begrip voor de </w:t>
      </w:r>
      <w:r w:rsidR="00705C8C">
        <w:t xml:space="preserve">breed gedragen </w:t>
      </w:r>
      <w:r w:rsidR="004F2F06">
        <w:t xml:space="preserve">wens van de Kamer. </w:t>
      </w:r>
      <w:r w:rsidR="009E2186">
        <w:t>De context rondom internationalisering is</w:t>
      </w:r>
      <w:r w:rsidR="00705C8C">
        <w:t xml:space="preserve"> bovendien</w:t>
      </w:r>
      <w:r w:rsidR="009E2186">
        <w:t xml:space="preserve"> in beweging</w:t>
      </w:r>
      <w:r w:rsidR="00647F00">
        <w:t xml:space="preserve">. </w:t>
      </w:r>
      <w:r w:rsidR="00245299">
        <w:t>Over de gehele breedte van de sector</w:t>
      </w:r>
      <w:r w:rsidR="00647F00">
        <w:t xml:space="preserve"> is een afvlakking van de groei van internationale studenten zichtbaar</w:t>
      </w:r>
      <w:r w:rsidR="00DE0C50">
        <w:t xml:space="preserve"> en universiteiten geven aan wederom een terugloop van het aantal voorinschrijvingen te zien</w:t>
      </w:r>
      <w:r w:rsidR="00647F00">
        <w:t>, de taakstelling op internationale studenten</w:t>
      </w:r>
      <w:r w:rsidR="00705C8C">
        <w:t xml:space="preserve"> wordt</w:t>
      </w:r>
      <w:r w:rsidR="00647F00">
        <w:t xml:space="preserve"> ingelopen</w:t>
      </w:r>
      <w:r w:rsidR="000F18F2">
        <w:rPr>
          <w:rStyle w:val="Voetnootmarkering"/>
        </w:rPr>
        <w:footnoteReference w:id="6"/>
      </w:r>
      <w:r w:rsidR="00647F00">
        <w:t xml:space="preserve"> en</w:t>
      </w:r>
      <w:r w:rsidR="00705C8C">
        <w:t xml:space="preserve"> er</w:t>
      </w:r>
      <w:r w:rsidR="00647F00">
        <w:t xml:space="preserve"> zijn geopolitieke ontwikkelingen die nopen tot meer strategische autonomie van Europa, waarbij het </w:t>
      </w:r>
      <w:r w:rsidRPr="00F84BBE" w:rsidR="00647F00">
        <w:rPr>
          <w:u w:val="single"/>
        </w:rPr>
        <w:t>gericht</w:t>
      </w:r>
      <w:r w:rsidR="00647F00">
        <w:t xml:space="preserve"> aantrekken van internationaal talent nodig is en blijft. </w:t>
      </w:r>
    </w:p>
    <w:p w:rsidR="00DE06EE" w:rsidP="004F2F06" w:rsidRDefault="00DE06EE" w14:paraId="7ED0ECCC" w14:textId="77777777"/>
    <w:p w:rsidR="00CB6372" w:rsidP="004F2F06" w:rsidRDefault="00705C8C" w14:paraId="302A87E3" w14:textId="45C2AE47">
      <w:r>
        <w:t>D</w:t>
      </w:r>
      <w:r w:rsidR="009E2186">
        <w:t>e hogescholen en universiteiten</w:t>
      </w:r>
      <w:r>
        <w:t xml:space="preserve"> hebben</w:t>
      </w:r>
      <w:r w:rsidR="009E2186">
        <w:t xml:space="preserve"> sinds de ontwikkeling van het wetsvoorstel zichtbaar verantwoordelijkheid genomen met het opstellen van zelfregieplannen. Er </w:t>
      </w:r>
      <w:r w:rsidR="004306E6">
        <w:t>zijn</w:t>
      </w:r>
      <w:r w:rsidR="009E2186">
        <w:t xml:space="preserve"> concrete voornemens om</w:t>
      </w:r>
      <w:r w:rsidR="00245299">
        <w:t xml:space="preserve"> </w:t>
      </w:r>
      <w:r w:rsidR="009E2186">
        <w:t xml:space="preserve">de internationalisering </w:t>
      </w:r>
      <w:r w:rsidR="004306E6">
        <w:t xml:space="preserve">in het hbo en wo </w:t>
      </w:r>
      <w:r w:rsidR="009E2186">
        <w:t xml:space="preserve">in balans te brengen. Hoewel </w:t>
      </w:r>
      <w:r w:rsidRPr="00AF022E" w:rsidR="00AF022E">
        <w:t xml:space="preserve">de </w:t>
      </w:r>
      <w:r w:rsidR="009E2186">
        <w:t xml:space="preserve">toetsing op bestaande anderstalige </w:t>
      </w:r>
      <w:r w:rsidR="000F677A">
        <w:t>bachelor</w:t>
      </w:r>
      <w:r w:rsidR="009E2186">
        <w:t xml:space="preserve">opleidingen en trajecten </w:t>
      </w:r>
      <w:r>
        <w:t xml:space="preserve">de meeste </w:t>
      </w:r>
      <w:r w:rsidR="009E2186">
        <w:t>borging zou bieden</w:t>
      </w:r>
      <w:r w:rsidR="004306E6">
        <w:t xml:space="preserve"> </w:t>
      </w:r>
      <w:r w:rsidR="00555318">
        <w:t xml:space="preserve">ten behoeve </w:t>
      </w:r>
      <w:r>
        <w:t xml:space="preserve">van </w:t>
      </w:r>
      <w:r w:rsidR="004306E6">
        <w:t>een doelmatig anderstalig opleidingsaanbod</w:t>
      </w:r>
      <w:r>
        <w:t>,</w:t>
      </w:r>
      <w:r w:rsidR="004306E6">
        <w:t xml:space="preserve"> </w:t>
      </w:r>
      <w:r w:rsidR="009E2186">
        <w:t xml:space="preserve">zie ik dat de zelfregieplannen het stelsel dichter brengen bij een evenwichtige inzet van anderstalig onderwijs. </w:t>
      </w:r>
      <w:r>
        <w:t xml:space="preserve">Daarnaast </w:t>
      </w:r>
      <w:r w:rsidR="00CB6372">
        <w:t>is</w:t>
      </w:r>
      <w:r>
        <w:t xml:space="preserve"> het</w:t>
      </w:r>
      <w:r w:rsidR="00CB6372">
        <w:t xml:space="preserve"> belangrijk op te merken dat het wetsvoorstel altijd onderdeel is geweest van een bredere aanpak om te komen tot een gebalanceerde internationalisering, waarbij de autonomie van de instellingen voorop</w:t>
      </w:r>
      <w:r w:rsidR="001379A9">
        <w:t xml:space="preserve"> </w:t>
      </w:r>
      <w:r w:rsidR="00CB6372">
        <w:t>staat</w:t>
      </w:r>
      <w:r w:rsidR="00571F95">
        <w:t xml:space="preserve"> en waar</w:t>
      </w:r>
      <w:r w:rsidR="00DE06EE">
        <w:t xml:space="preserve">van </w:t>
      </w:r>
      <w:r w:rsidR="00571F95">
        <w:t>zelfregie door de instellingen steeds deel heeft uitgemaakt</w:t>
      </w:r>
      <w:r w:rsidR="00CB6372">
        <w:t xml:space="preserve">. </w:t>
      </w:r>
    </w:p>
    <w:p w:rsidR="00CB6372" w:rsidP="004F2F06" w:rsidRDefault="00CB6372" w14:paraId="41E56DCC" w14:textId="77777777"/>
    <w:p w:rsidRPr="00CB6372" w:rsidR="004F2F06" w:rsidP="00647F00" w:rsidRDefault="00CB6372" w14:paraId="6717EF39" w14:textId="48EFF3DC">
      <w:r w:rsidRPr="00DE7B69">
        <w:t>De zelfregie van</w:t>
      </w:r>
      <w:r>
        <w:t xml:space="preserve"> de </w:t>
      </w:r>
      <w:r w:rsidR="004C2A57">
        <w:t>universiteiten</w:t>
      </w:r>
      <w:r>
        <w:t xml:space="preserve"> </w:t>
      </w:r>
      <w:r w:rsidR="001379A9">
        <w:t>die zij publiceerden op</w:t>
      </w:r>
      <w:r w:rsidR="000124F9">
        <w:t xml:space="preserve"> 15 april 2025</w:t>
      </w:r>
      <w:r w:rsidR="000124F9">
        <w:rPr>
          <w:rStyle w:val="Voetnootmarkering"/>
        </w:rPr>
        <w:footnoteReference w:id="7"/>
      </w:r>
      <w:r w:rsidR="001379A9">
        <w:t xml:space="preserve"> </w:t>
      </w:r>
      <w:r w:rsidRPr="00DE7B69">
        <w:t xml:space="preserve">laat zien dat </w:t>
      </w:r>
      <w:r>
        <w:t>universiteiten</w:t>
      </w:r>
      <w:r w:rsidRPr="00DE7B69">
        <w:t xml:space="preserve"> bewuste keuzes gemaakt hebben aangaande het </w:t>
      </w:r>
      <w:r w:rsidR="0076501D">
        <w:t>opleidings</w:t>
      </w:r>
      <w:r w:rsidRPr="00DE7B69">
        <w:t xml:space="preserve">aanbod en dat zij hierbij bredere maatschappelijke belangen in overweging hebben genomen. </w:t>
      </w:r>
      <w:r w:rsidR="001379A9">
        <w:t>Aangekondigd is dat e</w:t>
      </w:r>
      <w:r w:rsidRPr="00DE7B69">
        <w:t xml:space="preserve">r </w:t>
      </w:r>
      <w:r w:rsidR="003D6FD3">
        <w:t>verschillende anderstalige</w:t>
      </w:r>
      <w:r w:rsidRPr="00DE7B69">
        <w:t xml:space="preserve"> </w:t>
      </w:r>
      <w:r w:rsidR="000F677A">
        <w:t>bachelor</w:t>
      </w:r>
      <w:r w:rsidRPr="00DE7B69">
        <w:t>opleidingen</w:t>
      </w:r>
      <w:r>
        <w:t xml:space="preserve"> en trajecten</w:t>
      </w:r>
      <w:r w:rsidRPr="00DE7B69">
        <w:t xml:space="preserve"> </w:t>
      </w:r>
      <w:r w:rsidR="001379A9">
        <w:t xml:space="preserve">zullen </w:t>
      </w:r>
      <w:r w:rsidRPr="00DE7B69">
        <w:t xml:space="preserve">worden </w:t>
      </w:r>
      <w:r w:rsidR="0076501D">
        <w:t xml:space="preserve">stopgezet of </w:t>
      </w:r>
      <w:r w:rsidRPr="00DE7B69">
        <w:t>omgezet</w:t>
      </w:r>
      <w:r>
        <w:t xml:space="preserve"> </w:t>
      </w:r>
      <w:r w:rsidR="001379A9">
        <w:t xml:space="preserve">zullen </w:t>
      </w:r>
      <w:r w:rsidR="0076501D">
        <w:t xml:space="preserve">worden </w:t>
      </w:r>
      <w:r>
        <w:t>naar het Nederlands</w:t>
      </w:r>
      <w:r w:rsidR="0076501D">
        <w:t xml:space="preserve">. </w:t>
      </w:r>
      <w:r w:rsidR="00EF42F5">
        <w:t>Het gaat om opleidingen en trajecten waarvan</w:t>
      </w:r>
      <w:r w:rsidRPr="00DE7B69" w:rsidR="00EF42F5">
        <w:t xml:space="preserve"> de sector in gezamenlijkheid tot de conclusie gekomen is dat het </w:t>
      </w:r>
      <w:r w:rsidR="00EF42F5">
        <w:t>voor de balans in het stelsel passender is deze enkel in het Nederlands aan te gaan bieden</w:t>
      </w:r>
      <w:r w:rsidRPr="00DE7B69" w:rsidR="00EF42F5">
        <w:t xml:space="preserve">. </w:t>
      </w:r>
      <w:r w:rsidR="00775B00">
        <w:t xml:space="preserve">Ook </w:t>
      </w:r>
      <w:r w:rsidR="001379A9">
        <w:t xml:space="preserve">is onderling afgesproken dat </w:t>
      </w:r>
      <w:r w:rsidR="00775B00">
        <w:t xml:space="preserve">de </w:t>
      </w:r>
      <w:proofErr w:type="spellStart"/>
      <w:r w:rsidR="00775B00">
        <w:t>numerus</w:t>
      </w:r>
      <w:proofErr w:type="spellEnd"/>
      <w:r w:rsidR="00775B00">
        <w:t xml:space="preserve"> fixus vaker </w:t>
      </w:r>
      <w:r w:rsidR="001379A9">
        <w:t xml:space="preserve">wordt </w:t>
      </w:r>
      <w:r w:rsidR="00775B00">
        <w:t>ingezet</w:t>
      </w:r>
      <w:r w:rsidR="00A64DFB">
        <w:t xml:space="preserve"> </w:t>
      </w:r>
      <w:r w:rsidRPr="00A64DFB" w:rsidR="00A64DFB">
        <w:t xml:space="preserve">en dat bij verschillende opleidingen die nu gebruik maken van een </w:t>
      </w:r>
      <w:proofErr w:type="spellStart"/>
      <w:r w:rsidRPr="00A64DFB" w:rsidR="00A64DFB">
        <w:t>numerus</w:t>
      </w:r>
      <w:proofErr w:type="spellEnd"/>
      <w:r w:rsidRPr="00A64DFB" w:rsidR="00A64DFB">
        <w:t xml:space="preserve"> fixus, deze fixus wordt verlaagd, waardoor de anderstalige instroom gericht zal dalen</w:t>
      </w:r>
      <w:r w:rsidR="00775B00">
        <w:t>.</w:t>
      </w:r>
      <w:r w:rsidRPr="00DE7B69">
        <w:t xml:space="preserve"> </w:t>
      </w:r>
      <w:r>
        <w:t>De</w:t>
      </w:r>
      <w:r w:rsidR="001379A9">
        <w:t>ze</w:t>
      </w:r>
      <w:r>
        <w:t xml:space="preserve"> nieuwe </w:t>
      </w:r>
      <w:r>
        <w:lastRenderedPageBreak/>
        <w:t>en inhoudelijke invulling van de zelfregie laat zien dat de instellingen zelf en uit eigen beweging stappen hebben gezet</w:t>
      </w:r>
      <w:r w:rsidR="00AF022E">
        <w:t xml:space="preserve"> die bijdragen aan het bereiken van</w:t>
      </w:r>
      <w:r>
        <w:t xml:space="preserve"> de doelstellingen van het wetsvoorstel. </w:t>
      </w:r>
    </w:p>
    <w:p w:rsidR="004F2F06" w:rsidP="004F2F06" w:rsidRDefault="004F2F06" w14:paraId="1A9DEF13" w14:textId="77777777"/>
    <w:p w:rsidR="00D5641D" w:rsidP="004F2F06" w:rsidRDefault="00D5641D" w14:paraId="5BC4BB87" w14:textId="75C73CF3">
      <w:r>
        <w:t xml:space="preserve">De zelfregie van de hogescholen </w:t>
      </w:r>
      <w:r w:rsidR="001379A9">
        <w:t>bevond zich</w:t>
      </w:r>
      <w:r>
        <w:t xml:space="preserve"> al eerder </w:t>
      </w:r>
      <w:r w:rsidR="001379A9">
        <w:t xml:space="preserve">in </w:t>
      </w:r>
      <w:r>
        <w:t>een verder</w:t>
      </w:r>
      <w:r w:rsidR="00D14DC0">
        <w:t xml:space="preserve"> </w:t>
      </w:r>
      <w:r>
        <w:t xml:space="preserve">gevorderd stadium waarbij de instellingen zich onderling gecommitteerd </w:t>
      </w:r>
      <w:r w:rsidR="00775B00">
        <w:t xml:space="preserve">hebben </w:t>
      </w:r>
      <w:r>
        <w:t>aan de uitvoering. Vanwege het kleinere aandeel anderstalige opleidingen</w:t>
      </w:r>
      <w:r w:rsidR="001379A9">
        <w:t xml:space="preserve"> -</w:t>
      </w:r>
      <w:r w:rsidR="009D4741">
        <w:t xml:space="preserve"> in totaal is 8% van de bacheloropleidingen enkel in een andere taal dan het Nederlands te volgen volgens </w:t>
      </w:r>
      <w:r w:rsidR="001379A9">
        <w:t xml:space="preserve">informatie van </w:t>
      </w:r>
      <w:r w:rsidR="009D4741">
        <w:t>de VH</w:t>
      </w:r>
      <w:r w:rsidR="009D4741">
        <w:rPr>
          <w:rStyle w:val="Voetnootmarkering"/>
        </w:rPr>
        <w:footnoteReference w:id="8"/>
      </w:r>
      <w:r w:rsidR="001379A9">
        <w:t xml:space="preserve"> -</w:t>
      </w:r>
      <w:r>
        <w:t xml:space="preserve"> lag daarbij de focus vooral op </w:t>
      </w:r>
      <w:r w:rsidR="00245299">
        <w:t xml:space="preserve">capaciteitsbeheersing </w:t>
      </w:r>
      <w:r>
        <w:t>en het terughoudend zijn met het starten van nieuwe anderstalige opleidingen en trajecten.</w:t>
      </w:r>
    </w:p>
    <w:p w:rsidR="00D5641D" w:rsidP="004F2F06" w:rsidRDefault="00D5641D" w14:paraId="2FB8719B" w14:textId="77777777"/>
    <w:p w:rsidR="004742D9" w:rsidP="004F2F06" w:rsidRDefault="00B14052" w14:paraId="62AA0103" w14:textId="156E4F3C">
      <w:r w:rsidRPr="00D14DC0">
        <w:t xml:space="preserve">Eerder heb ik benoemd dat het laten vervallen </w:t>
      </w:r>
      <w:r w:rsidRPr="00D14DC0" w:rsidR="00AF022E">
        <w:t xml:space="preserve">van </w:t>
      </w:r>
      <w:r w:rsidRPr="00D14DC0">
        <w:t xml:space="preserve">de TAO voor het bestaande </w:t>
      </w:r>
      <w:r w:rsidRPr="00D14DC0" w:rsidR="000F677A">
        <w:t xml:space="preserve">anderstalige </w:t>
      </w:r>
      <w:r w:rsidRPr="00D14DC0">
        <w:t xml:space="preserve">opleidingsaanbod niet licht opgevat mag worden. Het betekent </w:t>
      </w:r>
      <w:r w:rsidRPr="00D14DC0" w:rsidR="00AF022E">
        <w:t>dat een belangrijk sturingsinstrument niet langer deel zal uitmaken van het wetsvoorstel</w:t>
      </w:r>
      <w:r w:rsidRPr="00D14DC0" w:rsidR="0063286E">
        <w:t>.</w:t>
      </w:r>
      <w:r w:rsidR="008541C8">
        <w:t xml:space="preserve"> </w:t>
      </w:r>
      <w:r w:rsidRPr="00D14DC0" w:rsidR="0076501D">
        <w:t xml:space="preserve">De </w:t>
      </w:r>
      <w:r w:rsidRPr="00D14DC0" w:rsidR="00AF022E">
        <w:t xml:space="preserve">inhoud van het wetsvoorstel </w:t>
      </w:r>
      <w:r w:rsidRPr="00D14DC0" w:rsidR="0076501D">
        <w:t xml:space="preserve">wordt hiermee </w:t>
      </w:r>
      <w:r w:rsidRPr="00D14DC0" w:rsidR="00AF022E">
        <w:t xml:space="preserve">wezenlijk gewijzigd. </w:t>
      </w:r>
      <w:r w:rsidRPr="00D14DC0" w:rsidR="00A661AD">
        <w:t>De toets was bedoeld om</w:t>
      </w:r>
      <w:r w:rsidRPr="00D14DC0" w:rsidR="00AF022E">
        <w:t xml:space="preserve"> </w:t>
      </w:r>
      <w:r w:rsidRPr="00D14DC0" w:rsidR="00A661AD">
        <w:t>eenmalig de doelmatigheid van het huidige anderstalige onderwijsaanbod vast te stellen</w:t>
      </w:r>
      <w:r w:rsidRPr="00D14DC0" w:rsidR="000122DB">
        <w:t xml:space="preserve">, </w:t>
      </w:r>
      <w:r w:rsidRPr="00D14DC0" w:rsidR="004218F7">
        <w:t>teneinde</w:t>
      </w:r>
      <w:r w:rsidRPr="00D14DC0" w:rsidR="000122DB">
        <w:t xml:space="preserve"> het Nederlands </w:t>
      </w:r>
      <w:r w:rsidRPr="00D14DC0" w:rsidR="004218F7">
        <w:t>als onderwijstaal te borgen</w:t>
      </w:r>
      <w:r w:rsidRPr="00D14DC0" w:rsidR="000122DB">
        <w:t xml:space="preserve"> in het </w:t>
      </w:r>
      <w:r w:rsidRPr="00D14DC0" w:rsidR="004218F7">
        <w:t>hbo en wo</w:t>
      </w:r>
      <w:r w:rsidRPr="00D14DC0" w:rsidR="000122DB">
        <w:t>.</w:t>
      </w:r>
      <w:r w:rsidRPr="00D14DC0" w:rsidR="00A661AD">
        <w:t xml:space="preserve"> Het laten vervallen van</w:t>
      </w:r>
      <w:r w:rsidRPr="00D14DC0" w:rsidR="004218F7">
        <w:t xml:space="preserve"> </w:t>
      </w:r>
      <w:r w:rsidRPr="00D14DC0" w:rsidR="00A661AD">
        <w:t>de TAO voor het bestaande opleidingsaanbod b</w:t>
      </w:r>
      <w:r w:rsidRPr="00D14DC0">
        <w:t>etekent dat</w:t>
      </w:r>
      <w:r w:rsidRPr="00D14DC0" w:rsidR="00AF022E">
        <w:t xml:space="preserve"> bestaande anderstalige opleidingen en trajecten niet in het Nederlands hoeven te worden verzorgd, </w:t>
      </w:r>
      <w:r w:rsidRPr="00D14DC0" w:rsidR="000122DB">
        <w:t>ongeacht of</w:t>
      </w:r>
      <w:r w:rsidRPr="00D14DC0" w:rsidR="00AF022E">
        <w:t xml:space="preserve"> </w:t>
      </w:r>
      <w:r w:rsidR="00624E6E">
        <w:t xml:space="preserve">vast is komen te staan dat </w:t>
      </w:r>
      <w:r w:rsidRPr="00D14DC0" w:rsidR="00AF022E">
        <w:t>de besteding van</w:t>
      </w:r>
      <w:r w:rsidRPr="00D14DC0">
        <w:t xml:space="preserve"> overheidsgeld </w:t>
      </w:r>
      <w:r w:rsidRPr="00D14DC0" w:rsidR="00AF022E">
        <w:t xml:space="preserve">aan deze </w:t>
      </w:r>
      <w:r w:rsidRPr="00D14DC0" w:rsidR="00571F95">
        <w:t xml:space="preserve">bestaande </w:t>
      </w:r>
      <w:r w:rsidRPr="00D14DC0">
        <w:t>anderstalige opleidingen en trajecten</w:t>
      </w:r>
      <w:r w:rsidRPr="00D14DC0" w:rsidR="00AF022E">
        <w:t xml:space="preserve"> </w:t>
      </w:r>
      <w:r w:rsidRPr="00D14DC0">
        <w:t xml:space="preserve">in het belang is van de Nederlandse samenleving. </w:t>
      </w:r>
      <w:r w:rsidRPr="00D14DC0" w:rsidR="00775B00">
        <w:t xml:space="preserve">Die afweging </w:t>
      </w:r>
      <w:r w:rsidRPr="00D14DC0">
        <w:t>wordt hiermee</w:t>
      </w:r>
      <w:r w:rsidR="0004020F">
        <w:t xml:space="preserve">, als onderdeel van de zelfregie, </w:t>
      </w:r>
      <w:r w:rsidRPr="00D14DC0">
        <w:t>overgelaten aan de hogescholen en universiteiten zelf</w:t>
      </w:r>
      <w:r>
        <w:t xml:space="preserve">. </w:t>
      </w:r>
      <w:r w:rsidR="0004020F">
        <w:t xml:space="preserve">Uw Kamer heeft de wens geuit de TAO voor het bestaande opleidingsaanbod te laten vervallen. </w:t>
      </w:r>
      <w:r w:rsidR="00BF085B">
        <w:t xml:space="preserve">Door </w:t>
      </w:r>
      <w:r w:rsidR="0004020F">
        <w:t xml:space="preserve">dit te doen </w:t>
      </w:r>
      <w:r w:rsidR="00BF085B">
        <w:t xml:space="preserve">geef ik feitelijk mijn </w:t>
      </w:r>
      <w:r w:rsidR="00D5641D">
        <w:t>mogelijkheid tot ingrijpen</w:t>
      </w:r>
      <w:r w:rsidR="004742D9">
        <w:t xml:space="preserve"> in het bestaande</w:t>
      </w:r>
      <w:r w:rsidR="00AF022E">
        <w:t xml:space="preserve"> anderstalige</w:t>
      </w:r>
      <w:r w:rsidR="004742D9">
        <w:t xml:space="preserve"> aanbod</w:t>
      </w:r>
      <w:r w:rsidR="00D5641D">
        <w:t xml:space="preserve"> </w:t>
      </w:r>
      <w:r w:rsidR="00BF085B">
        <w:t>uit handen</w:t>
      </w:r>
      <w:r w:rsidRPr="00571F95" w:rsidR="00571F95">
        <w:t xml:space="preserve"> </w:t>
      </w:r>
      <w:r w:rsidR="00571F95">
        <w:t>en</w:t>
      </w:r>
      <w:r w:rsidR="00BF7A32">
        <w:t xml:space="preserve"> fungeert</w:t>
      </w:r>
      <w:r w:rsidR="00571F95">
        <w:t xml:space="preserve"> </w:t>
      </w:r>
      <w:bookmarkStart w:name="_Hlk201152938" w:id="0"/>
      <w:r w:rsidR="00571F95">
        <w:t>de uitkomst van de zelfregie</w:t>
      </w:r>
      <w:r w:rsidR="004742D9">
        <w:t xml:space="preserve"> van de instellingen als vertrekpunt voor toekomstige sturing</w:t>
      </w:r>
      <w:bookmarkEnd w:id="0"/>
      <w:r w:rsidR="00BF085B">
        <w:t xml:space="preserve">. </w:t>
      </w:r>
      <w:r w:rsidR="00AF022E">
        <w:t xml:space="preserve">De TAO voor nieuw anderstalig opleidingsaanbod blijft </w:t>
      </w:r>
      <w:r w:rsidR="00BF7A32">
        <w:t xml:space="preserve">wel </w:t>
      </w:r>
      <w:r w:rsidR="00AF022E">
        <w:t xml:space="preserve">onverkort onderdeel uitmaken van het wetsvoorstel. </w:t>
      </w:r>
    </w:p>
    <w:p w:rsidR="00A80BEF" w:rsidP="004F2F06" w:rsidRDefault="00A80BEF" w14:paraId="3BE63D92" w14:textId="1CBA3B3E"/>
    <w:p w:rsidR="00B14052" w:rsidP="004F2F06" w:rsidRDefault="00B14052" w14:paraId="523E6F97" w14:textId="38851D73">
      <w:r>
        <w:t>Om de aangenomen motie op een verantwoorde wijze uit te voeren</w:t>
      </w:r>
      <w:r w:rsidR="0079706E">
        <w:t xml:space="preserve"> en tegelijkertijd zo goed mogelijk aan te blijven sluiten op de </w:t>
      </w:r>
      <w:r w:rsidR="00835522">
        <w:t>hoofd</w:t>
      </w:r>
      <w:r w:rsidR="0079706E">
        <w:t xml:space="preserve">doelstelling van het wetsvoorstel, </w:t>
      </w:r>
      <w:r w:rsidR="00FC0C16">
        <w:t xml:space="preserve">het borgen van het Nederlands als onderwijstaal, </w:t>
      </w:r>
      <w:r w:rsidR="004742D9">
        <w:t xml:space="preserve">is </w:t>
      </w:r>
      <w:r w:rsidR="0079706E">
        <w:t xml:space="preserve">een aantal randvoorwaarden noodzakelijk. Deze licht ik hieronder toe. </w:t>
      </w:r>
      <w:r>
        <w:t xml:space="preserve"> </w:t>
      </w:r>
    </w:p>
    <w:p w:rsidR="00B14052" w:rsidP="004F2F06" w:rsidRDefault="00B14052" w14:paraId="314416E4" w14:textId="77777777"/>
    <w:p w:rsidRPr="00647F00" w:rsidR="00677D64" w:rsidP="004F2F06" w:rsidRDefault="004742D9" w14:paraId="00ACEFA6" w14:textId="12F9C6DB">
      <w:pPr>
        <w:rPr>
          <w:i/>
          <w:iCs/>
        </w:rPr>
      </w:pPr>
      <w:r w:rsidRPr="00647F00">
        <w:rPr>
          <w:i/>
          <w:iCs/>
        </w:rPr>
        <w:t>Randv</w:t>
      </w:r>
      <w:r w:rsidRPr="00647F00" w:rsidR="00B14052">
        <w:rPr>
          <w:i/>
          <w:iCs/>
        </w:rPr>
        <w:t xml:space="preserve">oorwaarden voor uitvoering </w:t>
      </w:r>
    </w:p>
    <w:p w:rsidR="000205D5" w:rsidP="004F2F06" w:rsidRDefault="00E23DC3" w14:paraId="15F2BC1E" w14:textId="1F61FAAC">
      <w:r>
        <w:t xml:space="preserve">Voor een volledig en eenduidig overzicht van het huidige anderstalige opleidingsaanbod, is een wettelijke definitie nodig </w:t>
      </w:r>
      <w:r w:rsidR="00C43612">
        <w:t xml:space="preserve">van </w:t>
      </w:r>
      <w:r w:rsidR="00D5641D">
        <w:t xml:space="preserve">wat </w:t>
      </w:r>
      <w:r w:rsidR="00C43612">
        <w:t xml:space="preserve">een Nederlandstalige </w:t>
      </w:r>
      <w:r w:rsidR="00D5641D">
        <w:t xml:space="preserve">of een </w:t>
      </w:r>
      <w:r w:rsidRPr="00A31C35" w:rsidR="00D5641D">
        <w:t xml:space="preserve">anderstalige </w:t>
      </w:r>
      <w:r w:rsidRPr="00A31C35" w:rsidR="00C43612">
        <w:t>opleiding</w:t>
      </w:r>
      <w:r w:rsidRPr="00A31C35" w:rsidR="00D5641D">
        <w:t xml:space="preserve"> is</w:t>
      </w:r>
      <w:r w:rsidRPr="00A31C35" w:rsidR="007277AF">
        <w:t xml:space="preserve">, </w:t>
      </w:r>
      <w:r w:rsidRPr="00A31C35" w:rsidR="00DE0C50">
        <w:t xml:space="preserve">alsook een </w:t>
      </w:r>
      <w:r w:rsidRPr="00A31C35">
        <w:t xml:space="preserve">verplichte </w:t>
      </w:r>
      <w:r w:rsidRPr="00A31C35" w:rsidR="00DE0C50">
        <w:t xml:space="preserve">registratie van </w:t>
      </w:r>
      <w:r w:rsidRPr="00A31C35" w:rsidR="00C43612">
        <w:t>de voertaal van een opleiding</w:t>
      </w:r>
      <w:r w:rsidRPr="00A31C35" w:rsidR="00D5641D">
        <w:t xml:space="preserve"> </w:t>
      </w:r>
      <w:r w:rsidRPr="00A31C35">
        <w:t>langs de</w:t>
      </w:r>
      <w:r w:rsidRPr="00A31C35" w:rsidR="007277AF">
        <w:t xml:space="preserve"> lijn van de</w:t>
      </w:r>
      <w:r w:rsidRPr="00A31C35">
        <w:t xml:space="preserve">ze wettelijke definitie. </w:t>
      </w:r>
      <w:r w:rsidRPr="00A31C35" w:rsidR="00FC0C16">
        <w:t xml:space="preserve">Het wetsvoorstel zou </w:t>
      </w:r>
      <w:r w:rsidRPr="00A31C35">
        <w:t>dit bewerkstelligen</w:t>
      </w:r>
      <w:r w:rsidRPr="00A31C35" w:rsidR="00FC0C16">
        <w:t xml:space="preserve"> door het introduceren van een definitie</w:t>
      </w:r>
      <w:r w:rsidR="00FC0C16">
        <w:t xml:space="preserve"> en door de TAO bestaand aanbod, waarmee vastgesteld kon worden wat het bestaande </w:t>
      </w:r>
      <w:r w:rsidR="00624E6E">
        <w:t xml:space="preserve">anderstalige </w:t>
      </w:r>
      <w:r w:rsidR="00FC0C16">
        <w:t xml:space="preserve">aanbod is. Elke bestaande opleiding </w:t>
      </w:r>
      <w:r w:rsidR="00322680">
        <w:t xml:space="preserve">die </w:t>
      </w:r>
      <w:r w:rsidR="00FC0C16">
        <w:t xml:space="preserve">of traject dat aan de definitie van </w:t>
      </w:r>
      <w:proofErr w:type="spellStart"/>
      <w:r w:rsidR="00FC0C16">
        <w:t>anderstaligheid</w:t>
      </w:r>
      <w:proofErr w:type="spellEnd"/>
      <w:r w:rsidR="00FC0C16">
        <w:t xml:space="preserve"> voldoet, zou de TAO bestaand aanbod immers moeten doorlopen. Bij het succesvol doorlopen ervan zou de instemming en onderwijstaal in RIO</w:t>
      </w:r>
      <w:r w:rsidR="0076501D">
        <w:rPr>
          <w:rStyle w:val="Voetnootmarkering"/>
        </w:rPr>
        <w:footnoteReference w:id="9"/>
      </w:r>
      <w:r w:rsidR="00FC0C16">
        <w:t xml:space="preserve"> geregistreerd worden.</w:t>
      </w:r>
    </w:p>
    <w:p w:rsidR="000205D5" w:rsidP="004F2F06" w:rsidRDefault="000205D5" w14:paraId="0C00ED7E" w14:textId="77777777"/>
    <w:p w:rsidR="000205D5" w:rsidP="004F2F06" w:rsidRDefault="00487536" w14:paraId="45F5AF4B" w14:textId="48BAB771">
      <w:r>
        <w:lastRenderedPageBreak/>
        <w:t xml:space="preserve">Om </w:t>
      </w:r>
      <w:r w:rsidR="00B62297">
        <w:t>zonder de TAO bestaand aanbod</w:t>
      </w:r>
      <w:r>
        <w:t xml:space="preserve"> een volledig beeld te kunnen krijgen van het totale </w:t>
      </w:r>
      <w:r w:rsidR="00E308B2">
        <w:t xml:space="preserve">bestaande </w:t>
      </w:r>
      <w:r>
        <w:t xml:space="preserve">anderstalige onderwijsaanbod, zal </w:t>
      </w:r>
      <w:r w:rsidR="00835522">
        <w:t xml:space="preserve">dit </w:t>
      </w:r>
      <w:r>
        <w:t xml:space="preserve">op een andere wijze </w:t>
      </w:r>
      <w:r w:rsidR="00B62297">
        <w:t xml:space="preserve"> vastgesteld </w:t>
      </w:r>
      <w:r>
        <w:t xml:space="preserve">moeten worden. </w:t>
      </w:r>
      <w:r w:rsidR="00686F31">
        <w:t xml:space="preserve">Deze vaststelling is nodig om te kunnen bepalen welke opleidingen en trajecten behoren tot het nieuwe aanbod en dus de toets anderstalig onderwijs voor nieuw </w:t>
      </w:r>
      <w:r w:rsidR="004218F7">
        <w:t xml:space="preserve">anderstalig </w:t>
      </w:r>
      <w:r w:rsidR="00686F31">
        <w:t xml:space="preserve">aanbod moeten doorlopen. </w:t>
      </w:r>
      <w:r>
        <w:t xml:space="preserve">Het gaat daarbij met name om bestaande Nederlandstalige opleidingen die in de toekomst anderstalig zouden willen worden, of bijvoorbeeld </w:t>
      </w:r>
      <w:r w:rsidR="005B77C9">
        <w:t xml:space="preserve">het starten van </w:t>
      </w:r>
      <w:r>
        <w:t>een nieuw anderstalig traject</w:t>
      </w:r>
      <w:r w:rsidR="00A82DEB">
        <w:t xml:space="preserve">. Daarnaast worden </w:t>
      </w:r>
      <w:r w:rsidR="004742D9">
        <w:t xml:space="preserve">compleet nieuwe </w:t>
      </w:r>
      <w:proofErr w:type="spellStart"/>
      <w:r w:rsidR="004742D9">
        <w:t>a</w:t>
      </w:r>
      <w:r w:rsidR="00647F00">
        <w:t>ssociate</w:t>
      </w:r>
      <w:proofErr w:type="spellEnd"/>
      <w:r w:rsidR="00647F00">
        <w:t xml:space="preserve"> </w:t>
      </w:r>
      <w:proofErr w:type="spellStart"/>
      <w:r w:rsidR="004742D9">
        <w:t>d</w:t>
      </w:r>
      <w:r w:rsidR="00647F00">
        <w:t>egree</w:t>
      </w:r>
      <w:proofErr w:type="spellEnd"/>
      <w:r w:rsidR="004742D9">
        <w:t xml:space="preserve">- </w:t>
      </w:r>
      <w:r w:rsidR="00647F00">
        <w:t>en</w:t>
      </w:r>
      <w:r w:rsidR="004742D9">
        <w:t xml:space="preserve"> bacheloropleiding</w:t>
      </w:r>
      <w:r w:rsidR="00647F00">
        <w:t>en</w:t>
      </w:r>
      <w:r w:rsidR="004742D9">
        <w:t xml:space="preserve"> die anderstalig van start wil</w:t>
      </w:r>
      <w:r w:rsidR="00647F00">
        <w:t>len</w:t>
      </w:r>
      <w:r w:rsidR="004742D9">
        <w:t xml:space="preserve"> gaan</w:t>
      </w:r>
      <w:r w:rsidR="00A82DEB">
        <w:t xml:space="preserve"> </w:t>
      </w:r>
      <w:r w:rsidR="008541C8">
        <w:t xml:space="preserve">uiteraard </w:t>
      </w:r>
      <w:r w:rsidR="00A82DEB">
        <w:t>getoetst</w:t>
      </w:r>
      <w:r>
        <w:t xml:space="preserve">. </w:t>
      </w:r>
    </w:p>
    <w:p w:rsidR="000205D5" w:rsidP="004F2F06" w:rsidRDefault="000205D5" w14:paraId="4EE7C50B" w14:textId="77777777"/>
    <w:p w:rsidR="00A80BEF" w:rsidP="004F2F06" w:rsidRDefault="00677D64" w14:paraId="275C1454" w14:textId="2B9B9F34">
      <w:r>
        <w:t xml:space="preserve">Ik ben met </w:t>
      </w:r>
      <w:r w:rsidR="00E64E2B">
        <w:t>VH en UNL</w:t>
      </w:r>
      <w:r>
        <w:t xml:space="preserve"> in gesprek over een inventarisatie van het</w:t>
      </w:r>
      <w:r w:rsidR="00487536">
        <w:t xml:space="preserve"> bestaande</w:t>
      </w:r>
      <w:r>
        <w:t xml:space="preserve"> anderstalig opleidingsaanbod aan de hand van vooraf afgestemde kaders en</w:t>
      </w:r>
      <w:r w:rsidR="00487536">
        <w:t xml:space="preserve"> de</w:t>
      </w:r>
      <w:r>
        <w:t xml:space="preserve"> definitie</w:t>
      </w:r>
      <w:r w:rsidR="00487536">
        <w:t xml:space="preserve"> zoals die in de WIB is opgenomen</w:t>
      </w:r>
      <w:r w:rsidR="00895371">
        <w:t>. Daarbij moet vast komen te staan dat het in beeld brengen van het bestaande anderstalige aanbod mogelijk is zonder TAO</w:t>
      </w:r>
      <w:r>
        <w:t xml:space="preserve">. Daarbij vraag ik hen ook om </w:t>
      </w:r>
      <w:r w:rsidR="00A82DEB">
        <w:t xml:space="preserve">een nadere toelichting op </w:t>
      </w:r>
      <w:r>
        <w:t>de in de zelfregie gemaakte keuzes</w:t>
      </w:r>
      <w:r w:rsidR="00895371">
        <w:t xml:space="preserve"> die ingaat op</w:t>
      </w:r>
      <w:r>
        <w:t xml:space="preserve"> </w:t>
      </w:r>
      <w:r w:rsidR="00775B00">
        <w:t xml:space="preserve">de maatschappelijke waarde van het anderstalig opleidingsaanbod </w:t>
      </w:r>
      <w:r w:rsidR="00A82DEB">
        <w:t>in het licht</w:t>
      </w:r>
      <w:r>
        <w:t xml:space="preserve"> van de doelmatigheidscriteria </w:t>
      </w:r>
      <w:r w:rsidR="00895371">
        <w:t>die deel zullen blijven uitmaken van</w:t>
      </w:r>
      <w:r w:rsidR="00A3653D">
        <w:t xml:space="preserve"> h</w:t>
      </w:r>
      <w:r w:rsidR="00895371">
        <w:t>et wetsvoorstel als onderdeel van de TAO voor het nieuw aanbod.</w:t>
      </w:r>
      <w:r w:rsidR="001C461B">
        <w:t xml:space="preserve"> </w:t>
      </w:r>
      <w:r w:rsidRPr="001C461B" w:rsidR="001C461B">
        <w:t>Deze toelichting is nodig om in de nota van wijziging te kunnen duiden hoe de wijziging zich verhoudt tot de doelstellingen van het wetsvoorstel</w:t>
      </w:r>
      <w:r w:rsidR="001C461B">
        <w:t>.</w:t>
      </w:r>
    </w:p>
    <w:p w:rsidR="00A80BEF" w:rsidP="004F2F06" w:rsidRDefault="00A80BEF" w14:paraId="7AC53D95" w14:textId="77777777"/>
    <w:p w:rsidRPr="00E86475" w:rsidR="00A80BEF" w:rsidP="004F2F06" w:rsidRDefault="00A80BEF" w14:paraId="3385C248" w14:textId="0953EE1D">
      <w:pPr>
        <w:rPr>
          <w:i/>
          <w:iCs/>
        </w:rPr>
      </w:pPr>
      <w:r w:rsidRPr="00E86475">
        <w:rPr>
          <w:i/>
          <w:iCs/>
        </w:rPr>
        <w:t>Planning</w:t>
      </w:r>
    </w:p>
    <w:p w:rsidR="00A80BEF" w:rsidP="004F2F06" w:rsidRDefault="00A80BEF" w14:paraId="0F9C711D" w14:textId="54E46260">
      <w:r>
        <w:t xml:space="preserve">Gezien de brede steun in </w:t>
      </w:r>
      <w:r w:rsidR="00DE06EE">
        <w:t>u</w:t>
      </w:r>
      <w:r>
        <w:t xml:space="preserve">w </w:t>
      </w:r>
      <w:r w:rsidR="00F373E4">
        <w:t>K</w:t>
      </w:r>
      <w:r>
        <w:t>amer</w:t>
      </w:r>
      <w:r w:rsidR="00DE06EE">
        <w:t xml:space="preserve">, </w:t>
      </w:r>
      <w:r>
        <w:t>de gewijzigde context en met</w:t>
      </w:r>
      <w:r w:rsidR="00A3653D">
        <w:t xml:space="preserve"> het voorbehoud dat zal moeten worden voldaan aan</w:t>
      </w:r>
      <w:r>
        <w:t xml:space="preserve"> de aanvullende randvoorwaarden </w:t>
      </w:r>
      <w:r w:rsidR="00624E6E">
        <w:t>geef</w:t>
      </w:r>
      <w:r>
        <w:t xml:space="preserve"> ik invulling aan de motie Krul c.s. en </w:t>
      </w:r>
      <w:r w:rsidR="00624E6E">
        <w:t xml:space="preserve">zal ik </w:t>
      </w:r>
      <w:r>
        <w:t>het wetsvoorstel Wet Internationalisering in Balans aanpassen. Eerder, toen enkel nog de uitvoering van het amendement Bontenbal c.s.</w:t>
      </w:r>
      <w:r>
        <w:rPr>
          <w:rStyle w:val="Voetnootmarkering"/>
        </w:rPr>
        <w:footnoteReference w:id="10"/>
      </w:r>
      <w:r>
        <w:t xml:space="preserve"> over de regio’s voorlag, heb ik toegezegd voor de zomer 2025 met een nota van wijziging op het wetsvoorstel te komen. Nu mij wordt verzocht om uitvoering te geven aan de motie Krul c.s., is er sprake van een aanzienlijke wijziging van het wetsvoorstel, die </w:t>
      </w:r>
      <w:r w:rsidR="00B62297">
        <w:t>in ieder geval</w:t>
      </w:r>
      <w:r>
        <w:t xml:space="preserve"> een nieuw advies van de Raad van State vergt. </w:t>
      </w:r>
      <w:r w:rsidR="00423FBC">
        <w:t>De nota van wijziging verwacht ik dit najaar voor advies toe te sturen aan de Raad van State.</w:t>
      </w:r>
    </w:p>
    <w:p w:rsidR="002004DE" w:rsidP="004F2F06" w:rsidRDefault="002004DE" w14:paraId="170B1141" w14:textId="77777777">
      <w:bookmarkStart w:name="_Hlk202295628" w:id="1"/>
    </w:p>
    <w:bookmarkEnd w:id="1"/>
    <w:p w:rsidR="00B14052" w:rsidP="00B14052" w:rsidRDefault="00B14052" w14:paraId="01A47B22" w14:textId="77777777"/>
    <w:p w:rsidRPr="00E64E2B" w:rsidR="004306E6" w:rsidP="00CB6372" w:rsidRDefault="004306E6" w14:paraId="12212D9E" w14:textId="1006967D">
      <w:pPr>
        <w:rPr>
          <w:b/>
          <w:bCs/>
        </w:rPr>
      </w:pPr>
      <w:r>
        <w:rPr>
          <w:b/>
          <w:bCs/>
        </w:rPr>
        <w:t xml:space="preserve">Aanvullende en </w:t>
      </w:r>
      <w:r w:rsidR="00E64E2B">
        <w:rPr>
          <w:b/>
          <w:bCs/>
        </w:rPr>
        <w:t xml:space="preserve">onderling </w:t>
      </w:r>
      <w:r>
        <w:rPr>
          <w:b/>
          <w:bCs/>
        </w:rPr>
        <w:t>bindende afspraken</w:t>
      </w:r>
    </w:p>
    <w:p w:rsidR="00E64E2B" w:rsidP="00E64E2B" w:rsidRDefault="00A80BEF" w14:paraId="3CF9D4DD" w14:textId="6F78BE78">
      <w:r>
        <w:t>De moties vragen mij ook om met de sector tot zo bindend mogelijke</w:t>
      </w:r>
      <w:r w:rsidR="00E86475">
        <w:t xml:space="preserve"> en controleerbare</w:t>
      </w:r>
      <w:r>
        <w:t xml:space="preserve"> bestuurlijke afspraken te komen om gezamenlijke sturing te blijven houden op de internationalisering in het hbo en wo. Ik </w:t>
      </w:r>
      <w:r w:rsidR="005B77C9">
        <w:t xml:space="preserve">blijf </w:t>
      </w:r>
      <w:r w:rsidR="00F800B8">
        <w:t>zet</w:t>
      </w:r>
      <w:r w:rsidR="005B77C9">
        <w:t>ten</w:t>
      </w:r>
      <w:r w:rsidR="00F800B8">
        <w:t xml:space="preserve"> op gebalanceerde internationalisering</w:t>
      </w:r>
      <w:r>
        <w:t>. Zeker in het licht van de gestegen kosten voor studiefinanciering aan EER-studenten (zie</w:t>
      </w:r>
      <w:r w:rsidR="00E86475">
        <w:t xml:space="preserve"> hieronder</w:t>
      </w:r>
      <w:r>
        <w:t xml:space="preserve">), blijkt des te meer hoe belangrijk het is </w:t>
      </w:r>
      <w:r w:rsidR="005B77C9">
        <w:t>é</w:t>
      </w:r>
      <w:r>
        <w:t>n blijft om regie te houden op de internationalisering van ons onderwijs, om het stelsel houdbaar en betaalbaar te houden.</w:t>
      </w:r>
      <w:r w:rsidR="00BF7A32">
        <w:t xml:space="preserve"> </w:t>
      </w:r>
      <w:r w:rsidR="00F800B8">
        <w:t>De zelfregie van de universiteiten</w:t>
      </w:r>
      <w:r w:rsidR="007277AF">
        <w:t xml:space="preserve"> </w:t>
      </w:r>
      <w:r w:rsidRPr="00A31C35" w:rsidR="007277AF">
        <w:t>en de hogescholen</w:t>
      </w:r>
      <w:r w:rsidR="005B77C9">
        <w:t xml:space="preserve"> laat zien dat de instellingen hier serieus mee aan de slag zijn gegaan. Dat</w:t>
      </w:r>
      <w:r w:rsidRPr="00A31C35" w:rsidR="00F800B8">
        <w:t xml:space="preserve"> </w:t>
      </w:r>
      <w:r w:rsidRPr="00A31C35" w:rsidR="001426E1">
        <w:t xml:space="preserve">is voor mij hierin het vertrekpunt. </w:t>
      </w:r>
      <w:r w:rsidRPr="00A31C35" w:rsidR="00385CF2">
        <w:t>Deze zomer wil ik</w:t>
      </w:r>
      <w:r w:rsidRPr="00A31C35" w:rsidR="00DD7337">
        <w:t xml:space="preserve">, met oog voor de </w:t>
      </w:r>
      <w:r w:rsidRPr="00A31C35" w:rsidR="00075110">
        <w:t xml:space="preserve">interne </w:t>
      </w:r>
      <w:proofErr w:type="spellStart"/>
      <w:r w:rsidRPr="00A31C35" w:rsidR="00075110">
        <w:t>governance</w:t>
      </w:r>
      <w:proofErr w:type="spellEnd"/>
      <w:r w:rsidRPr="00A31C35" w:rsidR="00FB222C">
        <w:t xml:space="preserve"> en autonomie </w:t>
      </w:r>
      <w:r w:rsidRPr="00A31C35" w:rsidR="00A64DFB">
        <w:t>van de instellingen</w:t>
      </w:r>
      <w:r w:rsidRPr="00A31C35" w:rsidR="00FB222C">
        <w:t xml:space="preserve">, </w:t>
      </w:r>
      <w:r w:rsidRPr="00A31C35" w:rsidR="00385CF2">
        <w:t xml:space="preserve">onderzoeken hoe </w:t>
      </w:r>
      <w:r w:rsidR="005B77C9">
        <w:t xml:space="preserve">verder </w:t>
      </w:r>
      <w:r w:rsidRPr="00A31C35" w:rsidR="00385CF2">
        <w:t>uitvoering kan worden gegeven aan de oproep van uw Kamer</w:t>
      </w:r>
      <w:r w:rsidRPr="00A31C35" w:rsidR="00490155">
        <w:t>,</w:t>
      </w:r>
      <w:r w:rsidRPr="00A31C35" w:rsidR="00385CF2">
        <w:t xml:space="preserve"> mede </w:t>
      </w:r>
      <w:r w:rsidRPr="00A31C35" w:rsidR="00490155">
        <w:t>op basis</w:t>
      </w:r>
      <w:r w:rsidRPr="00A31C35" w:rsidR="00385CF2">
        <w:t xml:space="preserve"> van de </w:t>
      </w:r>
      <w:r w:rsidRPr="00A31C35" w:rsidR="00624E6E">
        <w:t xml:space="preserve">bindende </w:t>
      </w:r>
      <w:r w:rsidRPr="00A31C35" w:rsidR="00385CF2">
        <w:t xml:space="preserve">afspraken die de instellingen </w:t>
      </w:r>
      <w:r w:rsidRPr="00A31C35" w:rsidR="00761D4C">
        <w:t xml:space="preserve">onderling </w:t>
      </w:r>
      <w:r w:rsidRPr="00A31C35" w:rsidR="00385CF2">
        <w:t xml:space="preserve">binnen de zelfregie </w:t>
      </w:r>
      <w:r w:rsidRPr="00A31C35" w:rsidR="007277AF">
        <w:t xml:space="preserve">reeds </w:t>
      </w:r>
      <w:r w:rsidRPr="00A31C35" w:rsidR="00385CF2">
        <w:t>hebben gemaakt.</w:t>
      </w:r>
      <w:r w:rsidRPr="00A31C35" w:rsidR="00FB222C">
        <w:t xml:space="preserve"> </w:t>
      </w:r>
      <w:r w:rsidRPr="00AA65C5" w:rsidR="00AA65C5">
        <w:t xml:space="preserve">Ik zie dit in de bredere context van verdere samenwerking tussen instellingen in het maatschappelijk belang. Zoals ik in de beleidsbrief heb opgenomen, werk ik daarbij ook aan een verkenning naar </w:t>
      </w:r>
      <w:r w:rsidRPr="00AA65C5" w:rsidR="00AA65C5">
        <w:lastRenderedPageBreak/>
        <w:t xml:space="preserve">een collectieve verantwoordelijkheid van instellingen voor het opleidingsaanbod. </w:t>
      </w:r>
      <w:r w:rsidRPr="00A31C35" w:rsidR="00FB222C">
        <w:t>Daarbij is het belangrijk te benadrukken dat het maken</w:t>
      </w:r>
      <w:r w:rsidR="00FB222C">
        <w:t xml:space="preserve"> van bindende afspraken moet berusten op wederzijdse instemming. </w:t>
      </w:r>
    </w:p>
    <w:p w:rsidR="00A31C35" w:rsidP="00E64E2B" w:rsidRDefault="00A31C35" w14:paraId="0B6BE08E" w14:textId="77777777"/>
    <w:p w:rsidRPr="00E86475" w:rsidR="00A80BEF" w:rsidP="00322680" w:rsidRDefault="00A80BEF" w14:paraId="39C70987" w14:textId="2954374B">
      <w:pPr>
        <w:keepNext/>
        <w:rPr>
          <w:b/>
          <w:bCs/>
        </w:rPr>
      </w:pPr>
      <w:r w:rsidRPr="00E86475">
        <w:rPr>
          <w:b/>
          <w:bCs/>
        </w:rPr>
        <w:t xml:space="preserve">Studiefinanciering en </w:t>
      </w:r>
      <w:r w:rsidR="007F102D">
        <w:rPr>
          <w:b/>
          <w:bCs/>
        </w:rPr>
        <w:t xml:space="preserve">internationale </w:t>
      </w:r>
      <w:r w:rsidRPr="00E86475">
        <w:rPr>
          <w:b/>
          <w:bCs/>
        </w:rPr>
        <w:t>studenten</w:t>
      </w:r>
    </w:p>
    <w:p w:rsidRPr="007F102D" w:rsidR="007F102D" w:rsidP="007F102D" w:rsidRDefault="007F102D" w14:paraId="5846782C" w14:textId="77777777">
      <w:pPr>
        <w:rPr>
          <w:i/>
          <w:iCs/>
        </w:rPr>
      </w:pPr>
      <w:r w:rsidRPr="007F102D">
        <w:rPr>
          <w:i/>
          <w:iCs/>
        </w:rPr>
        <w:t xml:space="preserve">Motie El </w:t>
      </w:r>
      <w:proofErr w:type="spellStart"/>
      <w:r w:rsidRPr="007F102D">
        <w:rPr>
          <w:i/>
          <w:iCs/>
        </w:rPr>
        <w:t>Yassini</w:t>
      </w:r>
      <w:proofErr w:type="spellEnd"/>
      <w:r w:rsidRPr="007F102D">
        <w:rPr>
          <w:i/>
          <w:iCs/>
        </w:rPr>
        <w:t xml:space="preserve"> en Peters over het effect herinvoering basisbeurs op EER-studenten</w:t>
      </w:r>
    </w:p>
    <w:p w:rsidR="007F102D" w:rsidP="007F102D" w:rsidRDefault="007F102D" w14:paraId="227D2207" w14:textId="188CFE44">
      <w:r>
        <w:t xml:space="preserve">Naar aanleiding van de herinvoering van de basisbeurs in het hbo en wo hebben de toenmalige Kamerleden El </w:t>
      </w:r>
      <w:proofErr w:type="spellStart"/>
      <w:r>
        <w:t>Yassini</w:t>
      </w:r>
      <w:proofErr w:type="spellEnd"/>
      <w:r>
        <w:t xml:space="preserve"> en Peters een motie ingediend</w:t>
      </w:r>
      <w:r w:rsidR="007152E0">
        <w:rPr>
          <w:rStyle w:val="Voetnootmarkering"/>
        </w:rPr>
        <w:footnoteReference w:id="11"/>
      </w:r>
      <w:r>
        <w:t xml:space="preserve"> waarin gevraagd wordt het effect van de herinvoering van de basisbeurs op het aantal EER-studenten dat in Nederland komt studeren te monitoren. Zoals eerder met </w:t>
      </w:r>
      <w:r w:rsidR="00364C14">
        <w:t>u</w:t>
      </w:r>
      <w:r>
        <w:t xml:space="preserve">w Kamer is gedeeld, is gewacht met het uitvoeren van deze motie totdat voldoende data beschikbaar was over het eerste volledige studiejaar waarin de basisbeurs opnieuw was ingevoerd. Op dit moment is data beschikbaar van het aantal internationale studenten en de studiefinancieringsuitgaven voor de kalenderjaren 2022, 2023 en 2024. Daarmee kan een eerste vergelijking worden gemaakt tussen het meest recente kalenderjaar zonder basisbeurs (2022) en het eerste kalenderjaar waarin de basisbeurs volledig beschikbaar was (2024). </w:t>
      </w:r>
    </w:p>
    <w:p w:rsidR="007F102D" w:rsidP="007F102D" w:rsidRDefault="007F102D" w14:paraId="358F2B8E" w14:textId="77777777"/>
    <w:p w:rsidR="00827171" w:rsidP="007F102D" w:rsidRDefault="007F102D" w14:paraId="745BA451" w14:textId="5A95738D">
      <w:r>
        <w:t xml:space="preserve">In de bijlage van deze Kamerbrief is de monitor opgenomen. Het directe effect van de herinvoering van de basisbeurs op het aantal niet-Nederlandse studenten uit EER-landen en Zwitserland (hierna: EER-studenten) en de studiefinancieringsuitgaven is op basis van de data niet in te schatten. Uit deze cijfers blijkt wel dat er de afgelopen jaren meer studiefinanciering is uitgegeven aan EER-studenten. </w:t>
      </w:r>
      <w:r w:rsidR="00134B9E">
        <w:t>In 2024 waren de studiefinancieringsuitgaven aan EER-studenten in het hbo en wo in totaal € 186 miljoen.</w:t>
      </w:r>
      <w:r w:rsidRPr="00433696" w:rsidR="00134B9E">
        <w:t xml:space="preserve"> </w:t>
      </w:r>
      <w:r w:rsidRPr="008D34CD" w:rsidR="00134B9E">
        <w:t>Dit is circa 7% van het totaal aan toekenningen voor hbo- en wo-studenten (circa € 2,8 miljard).</w:t>
      </w:r>
      <w:r w:rsidR="00134B9E">
        <w:t xml:space="preserve"> </w:t>
      </w:r>
      <w:r>
        <w:t xml:space="preserve">Het lijkt vanzelfsprekend dat de invoering van de basisbeurs zorgt voor extra kosten voor EER-studenten ten opzichte van het leenstelsel. </w:t>
      </w:r>
      <w:r w:rsidR="0085693E">
        <w:t xml:space="preserve">Hierbij dient wel opgemerkt te worden </w:t>
      </w:r>
      <w:r w:rsidR="0068619A">
        <w:t xml:space="preserve">dat </w:t>
      </w:r>
      <w:r w:rsidRPr="00FD3F7F" w:rsidR="00F64662">
        <w:rPr>
          <w:szCs w:val="18"/>
        </w:rPr>
        <w:t>de uitgaven aan de basisbeurs in 2023 en 2024 extra hoog</w:t>
      </w:r>
      <w:r w:rsidR="0068619A">
        <w:rPr>
          <w:szCs w:val="18"/>
        </w:rPr>
        <w:t xml:space="preserve"> waren </w:t>
      </w:r>
      <w:r w:rsidRPr="00FD3F7F" w:rsidR="00F64662">
        <w:rPr>
          <w:szCs w:val="18"/>
        </w:rPr>
        <w:t>omdat uitwonende studenten in het studiejaar 2023/2024 een extra bedrag ontv</w:t>
      </w:r>
      <w:r w:rsidR="00F64662">
        <w:rPr>
          <w:szCs w:val="18"/>
        </w:rPr>
        <w:t>i</w:t>
      </w:r>
      <w:r w:rsidRPr="00FD3F7F" w:rsidR="00F64662">
        <w:rPr>
          <w:szCs w:val="18"/>
        </w:rPr>
        <w:t xml:space="preserve">ngen als koopkrachtmaatregel. </w:t>
      </w:r>
      <w:r w:rsidRPr="00EE4BE2" w:rsidR="00364C14">
        <w:t xml:space="preserve">Daarnaast heeft een rechterlijke uitspraak geleid tot aanpassing van de urennorm voor migrerend werknemers per september 2023 (van gemiddeld 56 uur per </w:t>
      </w:r>
      <w:r w:rsidR="00134B9E">
        <w:t xml:space="preserve"> </w:t>
      </w:r>
      <w:r w:rsidRPr="00EE4BE2" w:rsidR="00364C14">
        <w:t>maand naar gemiddeld 32 uur).</w:t>
      </w:r>
      <w:r w:rsidRPr="00EE4BE2" w:rsidR="00364C14">
        <w:rPr>
          <w:rStyle w:val="Voetnootmarkering"/>
        </w:rPr>
        <w:footnoteReference w:id="12"/>
      </w:r>
      <w:r w:rsidRPr="00EE4BE2" w:rsidR="00364C14">
        <w:t xml:space="preserve"> Dit heeft tot gevolg dat EER-studenten eerder in aanmerking kunnen komen voor studiefinanciering. Of EER-studenten vanwege het recht op studiefinanciering (meer) zijn gaan werken is niet na te gaan. Zoals eerder aan uw Kamer gemeld, is de conclusie van het ingewonnen advies van hoogleraar Europees Sociaal Recht prof. dr. A.P. van der Mei dat het binnen het huidige EU-rechtelijke kader niet mogelijk is om aanvullende eisen aan studenten te stellen die als migrerend werknemer recht hebben op studiefinanciering.</w:t>
      </w:r>
      <w:r w:rsidRPr="00EE4BE2" w:rsidR="00364C14">
        <w:rPr>
          <w:rStyle w:val="Voetnootmarkering"/>
        </w:rPr>
        <w:footnoteReference w:id="13"/>
      </w:r>
    </w:p>
    <w:p w:rsidR="00364C14" w:rsidP="007F102D" w:rsidRDefault="00364C14" w14:paraId="41349F0F" w14:textId="77777777"/>
    <w:p w:rsidR="007F102D" w:rsidP="007F102D" w:rsidRDefault="007F102D" w14:paraId="602CF525" w14:textId="77777777">
      <w:r>
        <w:t xml:space="preserve">Of studiefinanciering een belangrijke reden is waarom EER-studenten besloten hebben om in Nederland te studeren is niet bekend. Daarbij steeg het aantal EER-studenten in Nederland ten tijde van het leenstelstel, tussen 2015 en 2022, in een grotere mate dan tussen 2022 en 2024. Bovendien geldt voor studiejaar 2023-2024 dat EER-studenten al hun keuze voor een studie in Nederland hadden </w:t>
      </w:r>
      <w:r>
        <w:lastRenderedPageBreak/>
        <w:t xml:space="preserve">gemaakt voordat de urennorm voor migrerend werknemers werd verlaagd en de basisbeurs officieel werd heringevoerd. Eind 2025 start Nuffic een kwalitatief onderzoek waarin zij EER-studenten bevragen in welke mate studiefinanciering een rol heeft gespeeld voor hun keuze voor Nederland. Hieruit kan mogelijk wel meer informatie naar voren komen over de beweegredenen. </w:t>
      </w:r>
    </w:p>
    <w:p w:rsidR="007F102D" w:rsidP="007F102D" w:rsidRDefault="007F102D" w14:paraId="37C56C20" w14:textId="77777777"/>
    <w:p w:rsidR="007F102D" w:rsidP="007F102D" w:rsidRDefault="007F102D" w14:paraId="2BD1DFBE" w14:textId="77777777">
      <w:r>
        <w:t xml:space="preserve">Met de presentatie van de cijfers in (de bijlage van) deze brief beschouw ik de motie El </w:t>
      </w:r>
      <w:proofErr w:type="spellStart"/>
      <w:r>
        <w:t>Yassini</w:t>
      </w:r>
      <w:proofErr w:type="spellEnd"/>
      <w:r>
        <w:t xml:space="preserve"> en Peters als afgedaan. </w:t>
      </w:r>
    </w:p>
    <w:p w:rsidR="007F102D" w:rsidP="007F102D" w:rsidRDefault="007F102D" w14:paraId="2D8146E1" w14:textId="77777777"/>
    <w:p w:rsidRPr="00CB1CA9" w:rsidR="007F102D" w:rsidP="007F102D" w:rsidRDefault="007F102D" w14:paraId="5388EAD2" w14:textId="77777777">
      <w:pPr>
        <w:rPr>
          <w:i/>
          <w:iCs/>
        </w:rPr>
      </w:pPr>
      <w:r w:rsidRPr="00CB1CA9">
        <w:rPr>
          <w:i/>
          <w:iCs/>
        </w:rPr>
        <w:t>Motie Soepboer over gegevensuitwisselingen over studiefinanciering en andere ondersteuning met andere landen te realiseren</w:t>
      </w:r>
    </w:p>
    <w:p w:rsidRPr="00C03F80" w:rsidR="00C03F80" w:rsidP="00C03F80" w:rsidRDefault="00C03F80" w14:paraId="04989F99" w14:textId="77777777">
      <w:pPr>
        <w:spacing w:line="276" w:lineRule="auto"/>
        <w:rPr>
          <w:szCs w:val="18"/>
        </w:rPr>
      </w:pPr>
      <w:r w:rsidRPr="00C03F80">
        <w:rPr>
          <w:szCs w:val="18"/>
        </w:rPr>
        <w:t>De motie van het lid Soepboer</w:t>
      </w:r>
      <w:r w:rsidRPr="00C03F80">
        <w:rPr>
          <w:rStyle w:val="Voetnootmarkering"/>
          <w:szCs w:val="18"/>
        </w:rPr>
        <w:footnoteReference w:id="14"/>
      </w:r>
      <w:r w:rsidRPr="00C03F80">
        <w:rPr>
          <w:szCs w:val="18"/>
        </w:rPr>
        <w:t xml:space="preserve"> verzoekt de regering een plan te maken om uitwisseling van gegevens over studiefinanciering en andere ondersteuning met andere landen alsnog te realiseren. Daarbij wordt de regering verzocht te beginnen met landen (deelstaten) waar veel studenten vandaan komen. De achtergrond van dit verzoek is de wens om het opstapelen (cumuleren) van studiefinanciering uit verschillende landen tegen te gaan. </w:t>
      </w:r>
    </w:p>
    <w:p w:rsidRPr="00C03F80" w:rsidR="00C03F80" w:rsidP="00C03F80" w:rsidRDefault="00C03F80" w14:paraId="6E2F719E" w14:textId="77777777">
      <w:pPr>
        <w:spacing w:line="276" w:lineRule="auto"/>
        <w:rPr>
          <w:szCs w:val="18"/>
        </w:rPr>
      </w:pPr>
    </w:p>
    <w:p w:rsidRPr="004354B2" w:rsidR="00C03F80" w:rsidP="00C03F80" w:rsidRDefault="00C03F80" w14:paraId="2D26ADB7" w14:textId="76280E0C">
      <w:pPr>
        <w:spacing w:line="276" w:lineRule="auto"/>
      </w:pPr>
      <w:r w:rsidRPr="00C03F80">
        <w:rPr>
          <w:szCs w:val="18"/>
        </w:rPr>
        <w:t xml:space="preserve">In de bijlage van deze brief zal ik achtereenvolgens ingaan op hoe </w:t>
      </w:r>
      <w:r w:rsidR="000A1C3A">
        <w:rPr>
          <w:szCs w:val="18"/>
        </w:rPr>
        <w:t>te</w:t>
      </w:r>
      <w:r w:rsidRPr="00C03F80">
        <w:rPr>
          <w:szCs w:val="18"/>
        </w:rPr>
        <w:t xml:space="preserve"> komen tot gegevensuitwisseling met deze landen en welke uitdagingen daarmee gepaard gaan. Zoals blijkt uit de bijlage zal dit de nodige capaciteit vergen en is de opbrengst </w:t>
      </w:r>
      <w:r w:rsidRPr="0067362D">
        <w:rPr>
          <w:szCs w:val="18"/>
        </w:rPr>
        <w:t>onzeker. Met DUO ga ik verder in gesprek over hoe DUO aankijkt vanuit zijn expertise tegen dit plan</w:t>
      </w:r>
      <w:r w:rsidR="000A1C3A">
        <w:rPr>
          <w:szCs w:val="18"/>
        </w:rPr>
        <w:t>. Ook zal ik aan DUO vragen</w:t>
      </w:r>
      <w:r w:rsidRPr="00C03F80">
        <w:rPr>
          <w:szCs w:val="18"/>
        </w:rPr>
        <w:t xml:space="preserve"> een uitvoeringstoets uit te brengen en daarbij ook de betreffende privacywetgeving te betrekken</w:t>
      </w:r>
      <w:r>
        <w:rPr>
          <w:szCs w:val="18"/>
        </w:rPr>
        <w:t>. Hierna</w:t>
      </w:r>
      <w:r w:rsidRPr="00C03F80">
        <w:rPr>
          <w:szCs w:val="18"/>
        </w:rPr>
        <w:t xml:space="preserve"> </w:t>
      </w:r>
      <w:r>
        <w:rPr>
          <w:szCs w:val="18"/>
        </w:rPr>
        <w:t>zal ik</w:t>
      </w:r>
      <w:r w:rsidRPr="00C03F80">
        <w:rPr>
          <w:szCs w:val="18"/>
        </w:rPr>
        <w:t xml:space="preserve"> </w:t>
      </w:r>
      <w:r>
        <w:rPr>
          <w:szCs w:val="18"/>
        </w:rPr>
        <w:t xml:space="preserve">hierover </w:t>
      </w:r>
      <w:r w:rsidRPr="00C03F80">
        <w:rPr>
          <w:szCs w:val="18"/>
        </w:rPr>
        <w:t xml:space="preserve">een definitieve afweging maken. </w:t>
      </w:r>
      <w:r w:rsidRPr="00C03F80">
        <w:t>Met mijn voorgestelde plan acht ik de motie Soepboer die verzoekt om een plan van de regering, afgedaan.</w:t>
      </w:r>
      <w:r w:rsidRPr="00C03F80">
        <w:rPr>
          <w:rStyle w:val="Voetnootmarkering"/>
        </w:rPr>
        <w:footnoteReference w:id="15"/>
      </w:r>
      <w:r w:rsidRPr="008C3373">
        <w:rPr>
          <w:szCs w:val="18"/>
        </w:rPr>
        <w:t xml:space="preserve"> </w:t>
      </w:r>
    </w:p>
    <w:p w:rsidR="007F102D" w:rsidP="00CA35E4" w:rsidRDefault="007F102D" w14:paraId="0FE094C3" w14:textId="77777777"/>
    <w:p w:rsidRPr="00E86475" w:rsidR="00A80BEF" w:rsidP="00CA35E4" w:rsidRDefault="00A80BEF" w14:paraId="6B9A7608" w14:textId="5A02FD24">
      <w:pPr>
        <w:rPr>
          <w:b/>
          <w:bCs/>
        </w:rPr>
      </w:pPr>
      <w:r w:rsidRPr="00E86475">
        <w:rPr>
          <w:b/>
          <w:bCs/>
        </w:rPr>
        <w:t>Tot slot</w:t>
      </w:r>
    </w:p>
    <w:p w:rsidR="008F088F" w:rsidP="00CA35E4" w:rsidRDefault="00A80BEF" w14:paraId="68E34772" w14:textId="74DA3D86">
      <w:r>
        <w:t>U</w:t>
      </w:r>
      <w:r w:rsidR="008F088F">
        <w:t xml:space="preserve">w Kamer </w:t>
      </w:r>
      <w:r>
        <w:t xml:space="preserve">heeft </w:t>
      </w:r>
      <w:r w:rsidR="008F088F">
        <w:t xml:space="preserve">in het kader van het wetsvoorstel </w:t>
      </w:r>
      <w:r w:rsidR="003C65ED">
        <w:t xml:space="preserve">Wet Internationalisering in Balans </w:t>
      </w:r>
      <w:r w:rsidR="008F088F">
        <w:t>en het amendement Bontenbal c.</w:t>
      </w:r>
      <w:r w:rsidR="003C65ED">
        <w:t xml:space="preserve">s. </w:t>
      </w:r>
      <w:r w:rsidR="00F224AE">
        <w:t xml:space="preserve">op 11 maart jongstleden </w:t>
      </w:r>
      <w:r w:rsidR="003C65ED">
        <w:t>feitelijke</w:t>
      </w:r>
      <w:r w:rsidR="000124F9">
        <w:t xml:space="preserve"> </w:t>
      </w:r>
      <w:r w:rsidR="008F088F">
        <w:t>vragen gestel</w:t>
      </w:r>
      <w:r w:rsidR="001F4935">
        <w:t>d</w:t>
      </w:r>
      <w:r w:rsidR="00790593">
        <w:t>.</w:t>
      </w:r>
      <w:r w:rsidR="001F4935">
        <w:rPr>
          <w:rStyle w:val="Voetnootmarkering"/>
        </w:rPr>
        <w:footnoteReference w:id="16"/>
      </w:r>
      <w:r w:rsidR="008F088F">
        <w:t xml:space="preserve"> </w:t>
      </w:r>
      <w:r w:rsidR="00F224AE">
        <w:t xml:space="preserve">Ook zijn eerder, op </w:t>
      </w:r>
      <w:r w:rsidR="00E06622">
        <w:t>13 november 2024</w:t>
      </w:r>
      <w:r w:rsidR="00F224AE">
        <w:t>, nadere schriftelijke vragen gesteld over het wetsvoorstel</w:t>
      </w:r>
      <w:r w:rsidR="00790593">
        <w:t>.</w:t>
      </w:r>
      <w:r w:rsidR="00F224AE">
        <w:rPr>
          <w:rStyle w:val="Voetnootmarkering"/>
        </w:rPr>
        <w:footnoteReference w:id="17"/>
      </w:r>
      <w:r w:rsidR="00F224AE">
        <w:t xml:space="preserve"> </w:t>
      </w:r>
      <w:r w:rsidR="008F088F">
        <w:t xml:space="preserve">Vanwege de </w:t>
      </w:r>
      <w:r w:rsidR="003C65ED">
        <w:t>gewijzigde situatie waar deze brief op ingaat zal i</w:t>
      </w:r>
      <w:r w:rsidR="008F088F">
        <w:t xml:space="preserve">k de beantwoording </w:t>
      </w:r>
      <w:r w:rsidR="003C65ED">
        <w:t>van de</w:t>
      </w:r>
      <w:r w:rsidR="00F224AE">
        <w:t xml:space="preserve"> feitelijke vragen alsook</w:t>
      </w:r>
      <w:r w:rsidR="00011E83">
        <w:t xml:space="preserve"> de</w:t>
      </w:r>
      <w:r w:rsidR="00624E6E">
        <w:t xml:space="preserve"> </w:t>
      </w:r>
      <w:r w:rsidR="00F224AE">
        <w:t>n</w:t>
      </w:r>
      <w:r w:rsidR="00011E83">
        <w:t xml:space="preserve">ota naar aanleiding van het </w:t>
      </w:r>
      <w:r w:rsidR="00F224AE">
        <w:t>n</w:t>
      </w:r>
      <w:r w:rsidR="00011E83">
        <w:t xml:space="preserve">ader </w:t>
      </w:r>
      <w:r w:rsidR="00F224AE">
        <w:t>v</w:t>
      </w:r>
      <w:r w:rsidR="00011E83">
        <w:t xml:space="preserve">erslag </w:t>
      </w:r>
      <w:r w:rsidR="008F088F">
        <w:t>tegelijkertijd met de nota van wijziging aan uw Kamer toezenden.</w:t>
      </w:r>
    </w:p>
    <w:p w:rsidR="007851C4" w:rsidP="00CA35E4" w:rsidRDefault="007851C4" w14:paraId="13A9ED54" w14:textId="77777777"/>
    <w:p w:rsidR="00DE06EE" w:rsidP="00CA35E4" w:rsidRDefault="00DE06EE" w14:paraId="0B5A0AAB" w14:textId="77777777"/>
    <w:p w:rsidR="00820DDA" w:rsidP="00CA35E4" w:rsidRDefault="00F4081F" w14:paraId="790264C9" w14:textId="27D7B008">
      <w:r>
        <w:t xml:space="preserve">De </w:t>
      </w:r>
      <w:r w:rsidR="00DE06EE">
        <w:t>m</w:t>
      </w:r>
      <w:r>
        <w:t>inister van Onderwijs, Cultuur en Wetenschap,</w:t>
      </w:r>
    </w:p>
    <w:p w:rsidR="000F521E" w:rsidP="003A7160" w:rsidRDefault="000F521E" w14:paraId="6BE178D7" w14:textId="77777777"/>
    <w:p w:rsidR="000F521E" w:rsidP="003A7160" w:rsidRDefault="000F521E" w14:paraId="43E5B9D4" w14:textId="77777777"/>
    <w:p w:rsidR="000F521E" w:rsidP="003A7160" w:rsidRDefault="000F521E" w14:paraId="5F16DF3E" w14:textId="77777777"/>
    <w:p w:rsidR="000F521E" w:rsidP="003A7160" w:rsidRDefault="000F521E" w14:paraId="0B7F3694" w14:textId="77777777"/>
    <w:p w:rsidR="00F01557" w:rsidP="00F84BBE" w:rsidRDefault="00F4081F" w14:paraId="51944194" w14:textId="03DD061E">
      <w:pPr>
        <w:pStyle w:val="standaard-tekst"/>
      </w:pPr>
      <w:proofErr w:type="spellStart"/>
      <w:r>
        <w:t>Eppo</w:t>
      </w:r>
      <w:proofErr w:type="spellEnd"/>
      <w:r>
        <w:t xml:space="preserve"> Bruins</w:t>
      </w:r>
    </w:p>
    <w:p w:rsidR="00034348" w:rsidRDefault="00034348" w14:paraId="43FECFAF" w14:textId="51E5086A">
      <w:pPr>
        <w:spacing w:line="240" w:lineRule="auto"/>
      </w:pPr>
      <w:r>
        <w:br w:type="page"/>
      </w:r>
    </w:p>
    <w:p w:rsidR="00034348" w:rsidP="00034348" w:rsidRDefault="00034348" w14:paraId="78A51DFB" w14:textId="67511E39">
      <w:pPr>
        <w:spacing w:line="240" w:lineRule="auto"/>
        <w:rPr>
          <w:b/>
          <w:bCs/>
        </w:rPr>
      </w:pPr>
      <w:r>
        <w:rPr>
          <w:b/>
          <w:bCs/>
        </w:rPr>
        <w:lastRenderedPageBreak/>
        <w:t>Bijlage</w:t>
      </w:r>
      <w:r w:rsidR="00D14DC0">
        <w:rPr>
          <w:b/>
          <w:bCs/>
        </w:rPr>
        <w:t>: studiefinanciering en internationale studenten</w:t>
      </w:r>
    </w:p>
    <w:p w:rsidR="00034348" w:rsidP="00034348" w:rsidRDefault="00034348" w14:paraId="717C18D2" w14:textId="77777777">
      <w:pPr>
        <w:spacing w:line="240" w:lineRule="auto"/>
        <w:rPr>
          <w:b/>
          <w:bCs/>
        </w:rPr>
      </w:pPr>
    </w:p>
    <w:p w:rsidRPr="00C03F80" w:rsidR="00034348" w:rsidP="00C03F80" w:rsidRDefault="00034348" w14:paraId="5ACB527C" w14:textId="5FEBD078">
      <w:pPr>
        <w:spacing w:line="240" w:lineRule="auto"/>
        <w:rPr>
          <w:b/>
          <w:bCs/>
        </w:rPr>
      </w:pPr>
      <w:r>
        <w:rPr>
          <w:b/>
          <w:bCs/>
        </w:rPr>
        <w:t xml:space="preserve">Motie El </w:t>
      </w:r>
      <w:proofErr w:type="spellStart"/>
      <w:r>
        <w:rPr>
          <w:b/>
          <w:bCs/>
        </w:rPr>
        <w:t>Yassini</w:t>
      </w:r>
      <w:proofErr w:type="spellEnd"/>
      <w:r>
        <w:rPr>
          <w:b/>
          <w:bCs/>
        </w:rPr>
        <w:t xml:space="preserve"> en Peters over het effect herinvoering basisbeurs op EER-studenten</w:t>
      </w:r>
    </w:p>
    <w:p w:rsidR="00364C14" w:rsidP="00364C14" w:rsidRDefault="00364C14" w14:paraId="6A97A9C4" w14:textId="77777777">
      <w:pPr>
        <w:spacing w:line="276" w:lineRule="auto"/>
      </w:pPr>
      <w:r>
        <w:t>Voordat hieronder de verschillende tabellen worden toegelicht,</w:t>
      </w:r>
      <w:r w:rsidRPr="00A15859">
        <w:t xml:space="preserve"> </w:t>
      </w:r>
      <w:r>
        <w:t>is</w:t>
      </w:r>
      <w:r w:rsidRPr="00A15859">
        <w:t xml:space="preserve"> het belangrijk om </w:t>
      </w:r>
      <w:r>
        <w:t xml:space="preserve">te </w:t>
      </w:r>
      <w:r w:rsidRPr="00A15859">
        <w:t xml:space="preserve">benoemen dat de exacte gedragseffecten van de herinvoering basisbeurs op de instroom van het aantal EER-studenten niet </w:t>
      </w:r>
      <w:r>
        <w:t>geïsoleerd kunnen worden op basis van de beschikbare data</w:t>
      </w:r>
      <w:r w:rsidRPr="00A15859">
        <w:t xml:space="preserve">. Dit komt doordat er meerdere factoren zijn die de keuze van </w:t>
      </w:r>
      <w:r>
        <w:t xml:space="preserve">internationale </w:t>
      </w:r>
      <w:r w:rsidRPr="00A15859">
        <w:t>student</w:t>
      </w:r>
      <w:r>
        <w:t>en</w:t>
      </w:r>
      <w:r w:rsidRPr="00A15859">
        <w:t xml:space="preserve"> voor een studie</w:t>
      </w:r>
      <w:r>
        <w:t xml:space="preserve"> in Nederland</w:t>
      </w:r>
      <w:r w:rsidRPr="00A15859">
        <w:t xml:space="preserve"> beïnvloeden. </w:t>
      </w:r>
      <w:r>
        <w:t>Denk daarbij bijvoorbeeld aan het gebruik van de Engelse taal bij opleidingen aan Nederlandse hogescholen en universiteiten, d</w:t>
      </w:r>
      <w:r w:rsidRPr="00A15859">
        <w:t>e opbouw en de kwaliteit van een studie en de mogelijkheden voor studenten om geschikte huisvesting te vinden.</w:t>
      </w:r>
      <w:r>
        <w:t xml:space="preserve"> Maar ook maatregelen in andere landen kunnen van invloed zijn op deze keuze</w:t>
      </w:r>
      <w:r>
        <w:rPr>
          <w:rStyle w:val="Voetnootmarkering"/>
        </w:rPr>
        <w:footnoteReference w:id="18"/>
      </w:r>
      <w:r>
        <w:t>.</w:t>
      </w:r>
    </w:p>
    <w:p w:rsidR="00364C14" w:rsidP="00364C14" w:rsidRDefault="00364C14" w14:paraId="5758A2FC" w14:textId="77777777">
      <w:pPr>
        <w:spacing w:line="276" w:lineRule="auto"/>
      </w:pPr>
    </w:p>
    <w:p w:rsidR="00364C14" w:rsidP="00364C14" w:rsidRDefault="00364C14" w14:paraId="7E719521" w14:textId="77777777">
      <w:pPr>
        <w:spacing w:line="276" w:lineRule="auto"/>
      </w:pPr>
      <w:r>
        <w:t>Bovendien</w:t>
      </w:r>
      <w:r w:rsidRPr="00A15859">
        <w:t xml:space="preserve"> he</w:t>
      </w:r>
      <w:r>
        <w:t>eft</w:t>
      </w:r>
      <w:r w:rsidRPr="00A15859">
        <w:t xml:space="preserve"> tegelijkertijd met de herinvoering van de basisbeurs een aantal andere beleidswijzigingen gespeeld, die mogelijk een effect hebben op de instroom van EER-studenten in Nederland. </w:t>
      </w:r>
      <w:r w:rsidRPr="00EE4BE2">
        <w:t xml:space="preserve">Aan de ene kant is de urennorm voor migrerend </w:t>
      </w:r>
      <w:proofErr w:type="spellStart"/>
      <w:r w:rsidRPr="00EE4BE2">
        <w:t>werknemerschap</w:t>
      </w:r>
      <w:proofErr w:type="spellEnd"/>
      <w:r w:rsidRPr="00EE4BE2">
        <w:t xml:space="preserve"> verlaagd (van gemiddeld 56 uur naar gemiddeld 32 uur per maand) vanwege jurisprudentie van de Centrale Raad van Beroep.</w:t>
      </w:r>
      <w:r>
        <w:t xml:space="preserve"> Dit kan zorgen voor extra gebruik van studiefinanciering door (nieuwe) internationale studenten</w:t>
      </w:r>
      <w:r w:rsidRPr="00A15859">
        <w:t xml:space="preserve"> en</w:t>
      </w:r>
      <w:r>
        <w:t xml:space="preserve"> de cijfers vertroebelen, doordat internationale studenten die al in Nederland waren nu wél recht krijgen op studiefinanciering. A</w:t>
      </w:r>
      <w:r w:rsidRPr="00A15859">
        <w:t xml:space="preserve">an de andere kant </w:t>
      </w:r>
      <w:r>
        <w:t xml:space="preserve">zijn </w:t>
      </w:r>
      <w:r w:rsidRPr="00A15859">
        <w:t>maatregelen genomen om de werving van studenten uit het buitenland door Nederlandse universiteiten en hogescholen te beperken</w:t>
      </w:r>
      <w:r>
        <w:t>, w</w:t>
      </w:r>
      <w:r w:rsidRPr="00A15859">
        <w:t xml:space="preserve">at </w:t>
      </w:r>
      <w:r>
        <w:t xml:space="preserve">een verondersteld effect heeft gehad op de instroom. </w:t>
      </w:r>
    </w:p>
    <w:p w:rsidR="00364C14" w:rsidP="00364C14" w:rsidRDefault="00364C14" w14:paraId="66730F4B" w14:textId="77777777">
      <w:pPr>
        <w:spacing w:line="276" w:lineRule="auto"/>
      </w:pPr>
    </w:p>
    <w:p w:rsidR="00364C14" w:rsidP="00364C14" w:rsidRDefault="00364C14" w14:paraId="671E9745" w14:textId="77777777">
      <w:pPr>
        <w:spacing w:line="276" w:lineRule="auto"/>
        <w:rPr>
          <w:i/>
          <w:iCs/>
        </w:rPr>
      </w:pPr>
      <w:r>
        <w:rPr>
          <w:i/>
          <w:iCs/>
        </w:rPr>
        <w:t>Over de data</w:t>
      </w:r>
    </w:p>
    <w:p w:rsidR="00364C14" w:rsidP="00364C14" w:rsidRDefault="00364C14" w14:paraId="1B9E28E8" w14:textId="77777777">
      <w:pPr>
        <w:spacing w:line="276" w:lineRule="auto"/>
      </w:pPr>
      <w:r>
        <w:t>In het vervolg van deze bijlage wordt een aantal tabellen gepresenteerd. Daarbij is de volgende informatie belangrijk om de tabellen goed te kunnen interpreteren:</w:t>
      </w:r>
    </w:p>
    <w:p w:rsidR="00364C14" w:rsidP="00364C14" w:rsidRDefault="00364C14" w14:paraId="1D9402E8" w14:textId="77777777">
      <w:pPr>
        <w:pStyle w:val="Lijstalinea"/>
        <w:numPr>
          <w:ilvl w:val="0"/>
          <w:numId w:val="17"/>
        </w:numPr>
        <w:spacing w:line="276" w:lineRule="auto"/>
      </w:pPr>
      <w:r>
        <w:t xml:space="preserve">In de tabellen zijn alleen studenten meegenomen die in aanmerking komen voor studiefinanciering op grond van migrerend </w:t>
      </w:r>
      <w:proofErr w:type="spellStart"/>
      <w:r>
        <w:t>werknemerschap</w:t>
      </w:r>
      <w:proofErr w:type="spellEnd"/>
      <w:r>
        <w:rPr>
          <w:rStyle w:val="Voetnootmarkering"/>
        </w:rPr>
        <w:footnoteReference w:id="19"/>
      </w:r>
      <w:r>
        <w:t xml:space="preserve"> of op grond van duurzaam verblijf.</w:t>
      </w:r>
      <w:r w:rsidRPr="002B4DB7">
        <w:t xml:space="preserve"> </w:t>
      </w:r>
      <w:r>
        <w:t>Personen uit de EER en Zwitserland verkrijgen het duurzaam verblijfsrecht als deze persoon 5 jaar of langer in Nederland woont. Of als een familielid een duurzaam verblijfsrecht heeft.</w:t>
      </w:r>
    </w:p>
    <w:p w:rsidR="00364C14" w:rsidP="00364C14" w:rsidRDefault="00364C14" w14:paraId="524041B7" w14:textId="77777777">
      <w:pPr>
        <w:pStyle w:val="Lijstalinea"/>
        <w:numPr>
          <w:ilvl w:val="0"/>
          <w:numId w:val="17"/>
        </w:numPr>
        <w:spacing w:line="276" w:lineRule="auto"/>
      </w:pPr>
      <w:r>
        <w:t>De opgenomen bedragen in de tabellen betreffen uitgaven aan prestatiebeurzen en beurzen die direct als gift worden uitgekeerd.</w:t>
      </w:r>
      <w:r>
        <w:rPr>
          <w:rStyle w:val="Voetnootmarkering"/>
        </w:rPr>
        <w:footnoteReference w:id="20"/>
      </w:r>
      <w:r>
        <w:t xml:space="preserve"> Verstrekte rentedragende leningen en collegegeldkrediet aan EER-studenten zijn buiten beschouwing gelaten. </w:t>
      </w:r>
    </w:p>
    <w:p w:rsidR="00364C14" w:rsidP="00364C14" w:rsidRDefault="00364C14" w14:paraId="0625F59B" w14:textId="77777777">
      <w:pPr>
        <w:pStyle w:val="Lijstalinea"/>
        <w:numPr>
          <w:ilvl w:val="0"/>
          <w:numId w:val="17"/>
        </w:numPr>
        <w:spacing w:line="276" w:lineRule="auto"/>
      </w:pPr>
      <w:r>
        <w:t xml:space="preserve">Vanwege de focus op de herinvoering van de basisbeurs voor het hbo en wo, bevatten de tabellen geen gegevens over mbo-studenten. Ook in het mbo (bol) maken internationale studenten gebruik van studiefinanciering. </w:t>
      </w:r>
      <w:r>
        <w:lastRenderedPageBreak/>
        <w:t xml:space="preserve">In het mbo gaat het om circa 7.000 unieke EER-studenten die gebruik maken van studiefinanciering voor een bedrag van ongeveer € 20 miljoen Dit betreft circa 9,6% van de totale studiefinancieringsuitgaven aan EER-studenten. </w:t>
      </w:r>
    </w:p>
    <w:p w:rsidR="00364C14" w:rsidP="00364C14" w:rsidRDefault="00364C14" w14:paraId="794BF2E7" w14:textId="77777777">
      <w:pPr>
        <w:pStyle w:val="Lijstalinea"/>
        <w:numPr>
          <w:ilvl w:val="0"/>
          <w:numId w:val="17"/>
        </w:numPr>
        <w:spacing w:line="276" w:lineRule="auto"/>
      </w:pPr>
      <w:r>
        <w:t xml:space="preserve">De bedragen zijn niet gecorrigeerd voor inflatie. Dus de bedragen in 2022 zijn in prijspeil 2022, de bedragen van 2023 in prijspeil 2023 en bedragen 2024 in prijspeil 2024. De studiefinancieringsbedragen worden jaarlijks wel geïndexeerd. Tussen 2022 en 2024 betrof deze indexatie in totaal 12,7%. </w:t>
      </w:r>
    </w:p>
    <w:p w:rsidRPr="00D45418" w:rsidR="00364C14" w:rsidP="00364C14" w:rsidRDefault="00364C14" w14:paraId="71B27F93" w14:textId="77777777">
      <w:pPr>
        <w:pStyle w:val="Lijstalinea"/>
        <w:numPr>
          <w:ilvl w:val="0"/>
          <w:numId w:val="17"/>
        </w:numPr>
        <w:spacing w:line="276" w:lineRule="auto"/>
      </w:pPr>
      <w:r>
        <w:t xml:space="preserve">Tot slot kunnen de gepresenteerde cijfers in de tabellen nog wijzigen doordat er bij DUO nog werkvoorraden zijn. </w:t>
      </w:r>
      <w:r w:rsidRPr="00EA51CB">
        <w:t>D</w:t>
      </w:r>
      <w:r>
        <w:t>i</w:t>
      </w:r>
      <w:r w:rsidRPr="00EA51CB">
        <w:t>t betekent dat er nog aanvragen l</w:t>
      </w:r>
      <w:r>
        <w:t>iggen</w:t>
      </w:r>
      <w:r w:rsidRPr="00EA51CB">
        <w:t>, die beoordeeld moe</w:t>
      </w:r>
      <w:r>
        <w:t>ten</w:t>
      </w:r>
      <w:r w:rsidRPr="00EA51CB">
        <w:t xml:space="preserve"> worden en dus nog niet in de tabe</w:t>
      </w:r>
      <w:r>
        <w:t>llen</w:t>
      </w:r>
      <w:r w:rsidRPr="00EA51CB">
        <w:t xml:space="preserve"> naar voren k</w:t>
      </w:r>
      <w:r>
        <w:t>o</w:t>
      </w:r>
      <w:r w:rsidRPr="00EA51CB">
        <w:t>men.</w:t>
      </w:r>
    </w:p>
    <w:p w:rsidR="00364C14" w:rsidP="00364C14" w:rsidRDefault="00364C14" w14:paraId="7849089F" w14:textId="77777777">
      <w:pPr>
        <w:spacing w:line="276" w:lineRule="auto"/>
        <w:rPr>
          <w:i/>
          <w:iCs/>
        </w:rPr>
      </w:pPr>
    </w:p>
    <w:p w:rsidR="00364C14" w:rsidP="00364C14" w:rsidRDefault="00364C14" w14:paraId="24DCAEDB" w14:textId="77777777">
      <w:pPr>
        <w:spacing w:line="276" w:lineRule="auto"/>
        <w:rPr>
          <w:i/>
          <w:iCs/>
        </w:rPr>
      </w:pPr>
      <w:r>
        <w:rPr>
          <w:i/>
          <w:iCs/>
        </w:rPr>
        <w:t>Aandeel EER-studenten dat gebruik maakt van studiefinanciering</w:t>
      </w:r>
    </w:p>
    <w:p w:rsidR="00364C14" w:rsidP="00364C14" w:rsidRDefault="00364C14" w14:paraId="412CBB09" w14:textId="77777777">
      <w:pPr>
        <w:spacing w:line="276" w:lineRule="auto"/>
      </w:pPr>
      <w:r>
        <w:t>In tabel 1 is het totaal aantal EER-studenten opgenomen dat ingeschreven staat bij een opleiding aan een Nederlandse instelling. Tabel 2 gaat in op het aandeel studenten binnen de groep EER-studenten</w:t>
      </w:r>
      <w:r>
        <w:rPr>
          <w:rStyle w:val="Voetnootmarkering"/>
        </w:rPr>
        <w:footnoteReference w:id="21"/>
      </w:r>
      <w:r>
        <w:t xml:space="preserve"> dat gebruik maakt van studiefinanciering in het hbo en wo. </w:t>
      </w:r>
    </w:p>
    <w:p w:rsidR="00364C14" w:rsidP="00364C14" w:rsidRDefault="00364C14" w14:paraId="6C1019F0" w14:textId="77777777">
      <w:pPr>
        <w:spacing w:line="276" w:lineRule="auto"/>
      </w:pPr>
    </w:p>
    <w:p w:rsidRPr="006D71D4" w:rsidR="00364C14" w:rsidP="00364C14" w:rsidRDefault="00364C14" w14:paraId="40C00BF1" w14:textId="77777777">
      <w:pPr>
        <w:pStyle w:val="Bijschrift"/>
        <w:keepNext/>
      </w:pPr>
      <w:r w:rsidRPr="007915CD">
        <w:rPr>
          <w:color w:val="auto"/>
        </w:rPr>
        <w:t xml:space="preserve">Tabel </w:t>
      </w:r>
      <w:r>
        <w:rPr>
          <w:color w:val="auto"/>
        </w:rPr>
        <w:t>1 -</w:t>
      </w:r>
      <w:r w:rsidRPr="007915CD">
        <w:rPr>
          <w:color w:val="auto"/>
        </w:rPr>
        <w:t xml:space="preserve"> aantal EER-studenten </w:t>
      </w:r>
      <w:r>
        <w:rPr>
          <w:color w:val="auto"/>
        </w:rPr>
        <w:t xml:space="preserve">(14 tot 29 jaar) </w:t>
      </w:r>
      <w:r w:rsidRPr="007915CD">
        <w:rPr>
          <w:color w:val="auto"/>
        </w:rPr>
        <w:t>ingeschreven bij Nederlandse instelling, per kalenderjaar</w:t>
      </w:r>
    </w:p>
    <w:tbl>
      <w:tblPr>
        <w:tblStyle w:val="Tabelraster"/>
        <w:tblW w:w="5298" w:type="pct"/>
        <w:tblLook w:val="04A0" w:firstRow="1" w:lastRow="0" w:firstColumn="1" w:lastColumn="0" w:noHBand="0" w:noVBand="1"/>
      </w:tblPr>
      <w:tblGrid>
        <w:gridCol w:w="1984"/>
        <w:gridCol w:w="1984"/>
        <w:gridCol w:w="1984"/>
        <w:gridCol w:w="1984"/>
      </w:tblGrid>
      <w:tr w:rsidR="00364C14" w:rsidTr="0086740D" w14:paraId="7C742382" w14:textId="77777777">
        <w:tc>
          <w:tcPr>
            <w:tcW w:w="1250" w:type="pct"/>
            <w:shd w:val="clear" w:color="auto" w:fill="D9D9D9" w:themeFill="background1" w:themeFillShade="D9"/>
          </w:tcPr>
          <w:p w:rsidRPr="006B1F17" w:rsidR="00364C14" w:rsidP="0086740D" w:rsidRDefault="00364C14" w14:paraId="2296EADA" w14:textId="77777777">
            <w:pPr>
              <w:spacing w:line="276" w:lineRule="auto"/>
            </w:pPr>
          </w:p>
        </w:tc>
        <w:tc>
          <w:tcPr>
            <w:tcW w:w="1250" w:type="pct"/>
            <w:shd w:val="clear" w:color="auto" w:fill="D9D9D9" w:themeFill="background1" w:themeFillShade="D9"/>
          </w:tcPr>
          <w:p w:rsidRPr="00E40786" w:rsidR="00364C14" w:rsidP="0086740D" w:rsidRDefault="00364C14" w14:paraId="12BC7FEB" w14:textId="77777777">
            <w:pPr>
              <w:spacing w:line="276" w:lineRule="auto"/>
              <w:rPr>
                <w:b/>
                <w:bCs/>
              </w:rPr>
            </w:pPr>
            <w:r w:rsidRPr="00E40786">
              <w:rPr>
                <w:b/>
                <w:bCs/>
              </w:rPr>
              <w:t>2022</w:t>
            </w:r>
            <w:r>
              <w:rPr>
                <w:b/>
                <w:bCs/>
              </w:rPr>
              <w:t xml:space="preserve"> </w:t>
            </w:r>
          </w:p>
        </w:tc>
        <w:tc>
          <w:tcPr>
            <w:tcW w:w="1250" w:type="pct"/>
            <w:shd w:val="clear" w:color="auto" w:fill="D9D9D9" w:themeFill="background1" w:themeFillShade="D9"/>
          </w:tcPr>
          <w:p w:rsidRPr="00E40786" w:rsidR="00364C14" w:rsidP="0086740D" w:rsidRDefault="00364C14" w14:paraId="6484223A" w14:textId="77777777">
            <w:pPr>
              <w:spacing w:line="276" w:lineRule="auto"/>
              <w:rPr>
                <w:b/>
                <w:bCs/>
              </w:rPr>
            </w:pPr>
            <w:r w:rsidRPr="00E40786">
              <w:rPr>
                <w:b/>
                <w:bCs/>
              </w:rPr>
              <w:t>2023</w:t>
            </w:r>
          </w:p>
        </w:tc>
        <w:tc>
          <w:tcPr>
            <w:tcW w:w="1250" w:type="pct"/>
            <w:shd w:val="clear" w:color="auto" w:fill="D9D9D9" w:themeFill="background1" w:themeFillShade="D9"/>
          </w:tcPr>
          <w:p w:rsidRPr="00E40786" w:rsidR="00364C14" w:rsidP="0086740D" w:rsidRDefault="00364C14" w14:paraId="3C21EC54" w14:textId="77777777">
            <w:pPr>
              <w:spacing w:line="276" w:lineRule="auto"/>
              <w:rPr>
                <w:b/>
                <w:bCs/>
              </w:rPr>
            </w:pPr>
            <w:r w:rsidRPr="00E40786">
              <w:rPr>
                <w:b/>
                <w:bCs/>
              </w:rPr>
              <w:t>2024</w:t>
            </w:r>
          </w:p>
        </w:tc>
      </w:tr>
      <w:tr w:rsidR="00364C14" w:rsidTr="0086740D" w14:paraId="4733024A" w14:textId="77777777">
        <w:tc>
          <w:tcPr>
            <w:tcW w:w="1250" w:type="pct"/>
          </w:tcPr>
          <w:p w:rsidRPr="00E40786" w:rsidR="00364C14" w:rsidP="0086740D" w:rsidRDefault="00364C14" w14:paraId="0E833FFF" w14:textId="77777777">
            <w:pPr>
              <w:spacing w:line="276" w:lineRule="auto"/>
              <w:rPr>
                <w:b/>
                <w:bCs/>
              </w:rPr>
            </w:pPr>
            <w:r w:rsidRPr="00E40786">
              <w:rPr>
                <w:b/>
                <w:bCs/>
              </w:rPr>
              <w:t>Hbo</w:t>
            </w:r>
          </w:p>
        </w:tc>
        <w:tc>
          <w:tcPr>
            <w:tcW w:w="1250" w:type="pct"/>
          </w:tcPr>
          <w:p w:rsidR="00364C14" w:rsidP="0086740D" w:rsidRDefault="00364C14" w14:paraId="5C3AC039" w14:textId="77777777">
            <w:pPr>
              <w:spacing w:line="276" w:lineRule="auto"/>
            </w:pPr>
            <w:r w:rsidRPr="007915CD">
              <w:t>26.404</w:t>
            </w:r>
          </w:p>
        </w:tc>
        <w:tc>
          <w:tcPr>
            <w:tcW w:w="1250" w:type="pct"/>
          </w:tcPr>
          <w:p w:rsidR="00364C14" w:rsidP="0086740D" w:rsidRDefault="00364C14" w14:paraId="54ED3973" w14:textId="77777777">
            <w:pPr>
              <w:spacing w:line="276" w:lineRule="auto"/>
            </w:pPr>
            <w:r w:rsidRPr="007915CD">
              <w:t>27.785</w:t>
            </w:r>
          </w:p>
        </w:tc>
        <w:tc>
          <w:tcPr>
            <w:tcW w:w="1250" w:type="pct"/>
          </w:tcPr>
          <w:p w:rsidR="00364C14" w:rsidP="0086740D" w:rsidRDefault="00364C14" w14:paraId="2BC1DC73" w14:textId="77777777">
            <w:pPr>
              <w:spacing w:line="276" w:lineRule="auto"/>
            </w:pPr>
            <w:r w:rsidRPr="007915CD">
              <w:t>28.580</w:t>
            </w:r>
          </w:p>
        </w:tc>
      </w:tr>
      <w:tr w:rsidR="00364C14" w:rsidTr="0086740D" w14:paraId="7FC0D66F" w14:textId="77777777">
        <w:tc>
          <w:tcPr>
            <w:tcW w:w="1250" w:type="pct"/>
          </w:tcPr>
          <w:p w:rsidRPr="00E40786" w:rsidR="00364C14" w:rsidP="0086740D" w:rsidRDefault="00364C14" w14:paraId="0AEBBAE9" w14:textId="77777777">
            <w:pPr>
              <w:spacing w:line="276" w:lineRule="auto"/>
              <w:rPr>
                <w:b/>
                <w:bCs/>
              </w:rPr>
            </w:pPr>
            <w:r w:rsidRPr="00E40786">
              <w:rPr>
                <w:b/>
                <w:bCs/>
              </w:rPr>
              <w:t>Wo</w:t>
            </w:r>
          </w:p>
        </w:tc>
        <w:tc>
          <w:tcPr>
            <w:tcW w:w="1250" w:type="pct"/>
          </w:tcPr>
          <w:p w:rsidR="00364C14" w:rsidP="0086740D" w:rsidRDefault="00364C14" w14:paraId="106E30F3" w14:textId="77777777">
            <w:pPr>
              <w:spacing w:line="276" w:lineRule="auto"/>
            </w:pPr>
            <w:r w:rsidRPr="007915CD">
              <w:t>59.845</w:t>
            </w:r>
          </w:p>
        </w:tc>
        <w:tc>
          <w:tcPr>
            <w:tcW w:w="1250" w:type="pct"/>
          </w:tcPr>
          <w:p w:rsidR="00364C14" w:rsidP="0086740D" w:rsidRDefault="00364C14" w14:paraId="6E588582" w14:textId="77777777">
            <w:pPr>
              <w:spacing w:line="276" w:lineRule="auto"/>
            </w:pPr>
            <w:r w:rsidRPr="007915CD">
              <w:t>63.802</w:t>
            </w:r>
          </w:p>
        </w:tc>
        <w:tc>
          <w:tcPr>
            <w:tcW w:w="1250" w:type="pct"/>
          </w:tcPr>
          <w:p w:rsidR="00364C14" w:rsidP="0086740D" w:rsidRDefault="00364C14" w14:paraId="5506C503" w14:textId="77777777">
            <w:pPr>
              <w:spacing w:line="276" w:lineRule="auto"/>
            </w:pPr>
            <w:r w:rsidRPr="007915CD">
              <w:t>66.717</w:t>
            </w:r>
          </w:p>
        </w:tc>
      </w:tr>
      <w:tr w:rsidR="00364C14" w:rsidTr="0086740D" w14:paraId="4A4EB01A" w14:textId="77777777">
        <w:tc>
          <w:tcPr>
            <w:tcW w:w="1250" w:type="pct"/>
          </w:tcPr>
          <w:p w:rsidRPr="00E40786" w:rsidR="00364C14" w:rsidP="0086740D" w:rsidRDefault="00364C14" w14:paraId="23EF5211" w14:textId="77777777">
            <w:pPr>
              <w:spacing w:line="276" w:lineRule="auto"/>
              <w:rPr>
                <w:b/>
                <w:bCs/>
              </w:rPr>
            </w:pPr>
            <w:r w:rsidRPr="00E40786">
              <w:rPr>
                <w:b/>
                <w:bCs/>
              </w:rPr>
              <w:t>Totaal hbo en wo</w:t>
            </w:r>
          </w:p>
        </w:tc>
        <w:tc>
          <w:tcPr>
            <w:tcW w:w="1250" w:type="pct"/>
          </w:tcPr>
          <w:p w:rsidR="00364C14" w:rsidP="0086740D" w:rsidRDefault="00364C14" w14:paraId="2F2C25D3" w14:textId="77777777">
            <w:pPr>
              <w:spacing w:line="276" w:lineRule="auto"/>
            </w:pPr>
            <w:r w:rsidRPr="007915CD">
              <w:t xml:space="preserve">86.249 </w:t>
            </w:r>
          </w:p>
        </w:tc>
        <w:tc>
          <w:tcPr>
            <w:tcW w:w="1250" w:type="pct"/>
          </w:tcPr>
          <w:p w:rsidR="00364C14" w:rsidP="0086740D" w:rsidRDefault="00364C14" w14:paraId="4BB3ECB7" w14:textId="77777777">
            <w:pPr>
              <w:spacing w:line="276" w:lineRule="auto"/>
            </w:pPr>
            <w:r w:rsidRPr="007915CD">
              <w:t xml:space="preserve">91.587 </w:t>
            </w:r>
          </w:p>
        </w:tc>
        <w:tc>
          <w:tcPr>
            <w:tcW w:w="1250" w:type="pct"/>
          </w:tcPr>
          <w:p w:rsidR="00364C14" w:rsidP="0086740D" w:rsidRDefault="00364C14" w14:paraId="508CF2E2" w14:textId="77777777">
            <w:pPr>
              <w:spacing w:line="276" w:lineRule="auto"/>
            </w:pPr>
            <w:r w:rsidRPr="007915CD">
              <w:t xml:space="preserve">95.297 </w:t>
            </w:r>
          </w:p>
        </w:tc>
      </w:tr>
    </w:tbl>
    <w:p w:rsidRPr="00854539" w:rsidR="00364C14" w:rsidP="00364C14" w:rsidRDefault="00364C14" w14:paraId="47C6B3C8" w14:textId="77777777">
      <w:pPr>
        <w:spacing w:line="276" w:lineRule="auto"/>
        <w:rPr>
          <w:sz w:val="12"/>
          <w:szCs w:val="12"/>
        </w:rPr>
      </w:pPr>
      <w:r w:rsidRPr="00854539">
        <w:rPr>
          <w:sz w:val="12"/>
          <w:szCs w:val="12"/>
        </w:rPr>
        <w:t xml:space="preserve">NB: </w:t>
      </w:r>
      <w:r>
        <w:rPr>
          <w:sz w:val="12"/>
          <w:szCs w:val="12"/>
        </w:rPr>
        <w:t>Referentieraming van het Ministerie van OCW, 2025</w:t>
      </w:r>
    </w:p>
    <w:p w:rsidR="00364C14" w:rsidP="00364C14" w:rsidRDefault="00364C14" w14:paraId="2CEBCD6F" w14:textId="77777777">
      <w:pPr>
        <w:spacing w:line="276" w:lineRule="auto"/>
      </w:pPr>
    </w:p>
    <w:p w:rsidR="00364C14" w:rsidP="00364C14" w:rsidRDefault="00364C14" w14:paraId="6D34E3A1" w14:textId="77777777">
      <w:pPr>
        <w:pStyle w:val="Bijschrift"/>
        <w:keepNext/>
        <w:spacing w:line="276" w:lineRule="auto"/>
        <w:rPr>
          <w:color w:val="auto"/>
        </w:rPr>
      </w:pPr>
      <w:r w:rsidRPr="00082E94">
        <w:rPr>
          <w:color w:val="auto"/>
        </w:rPr>
        <w:t xml:space="preserve">Tabel </w:t>
      </w:r>
      <w:r>
        <w:rPr>
          <w:color w:val="auto"/>
        </w:rPr>
        <w:t>2 - aandeel binnen de groep EER-studenten dat gebruikt maakt van studiefinanciering</w:t>
      </w:r>
    </w:p>
    <w:tbl>
      <w:tblPr>
        <w:tblStyle w:val="Tabelraster"/>
        <w:tblW w:w="5298" w:type="pct"/>
        <w:tblLook w:val="04A0" w:firstRow="1" w:lastRow="0" w:firstColumn="1" w:lastColumn="0" w:noHBand="0" w:noVBand="1"/>
      </w:tblPr>
      <w:tblGrid>
        <w:gridCol w:w="1984"/>
        <w:gridCol w:w="1984"/>
        <w:gridCol w:w="1984"/>
        <w:gridCol w:w="1984"/>
      </w:tblGrid>
      <w:tr w:rsidR="00364C14" w:rsidTr="0086740D" w14:paraId="7A809CC7" w14:textId="77777777">
        <w:tc>
          <w:tcPr>
            <w:tcW w:w="1250" w:type="pct"/>
            <w:shd w:val="clear" w:color="auto" w:fill="D9D9D9" w:themeFill="background1" w:themeFillShade="D9"/>
          </w:tcPr>
          <w:p w:rsidRPr="006B1F17" w:rsidR="00364C14" w:rsidP="0086740D" w:rsidRDefault="00364C14" w14:paraId="210D7C32" w14:textId="77777777">
            <w:pPr>
              <w:spacing w:line="276" w:lineRule="auto"/>
            </w:pPr>
          </w:p>
        </w:tc>
        <w:tc>
          <w:tcPr>
            <w:tcW w:w="1250" w:type="pct"/>
            <w:shd w:val="clear" w:color="auto" w:fill="D9D9D9" w:themeFill="background1" w:themeFillShade="D9"/>
          </w:tcPr>
          <w:p w:rsidRPr="00E40786" w:rsidR="00364C14" w:rsidP="0086740D" w:rsidRDefault="00364C14" w14:paraId="1D624270" w14:textId="77777777">
            <w:pPr>
              <w:spacing w:line="276" w:lineRule="auto"/>
              <w:rPr>
                <w:b/>
                <w:bCs/>
              </w:rPr>
            </w:pPr>
            <w:r w:rsidRPr="00E40786">
              <w:rPr>
                <w:b/>
                <w:bCs/>
              </w:rPr>
              <w:t>2022</w:t>
            </w:r>
            <w:r>
              <w:rPr>
                <w:b/>
                <w:bCs/>
              </w:rPr>
              <w:t xml:space="preserve"> </w:t>
            </w:r>
          </w:p>
        </w:tc>
        <w:tc>
          <w:tcPr>
            <w:tcW w:w="1250" w:type="pct"/>
            <w:shd w:val="clear" w:color="auto" w:fill="D9D9D9" w:themeFill="background1" w:themeFillShade="D9"/>
          </w:tcPr>
          <w:p w:rsidRPr="00E40786" w:rsidR="00364C14" w:rsidP="0086740D" w:rsidRDefault="00364C14" w14:paraId="5D9B85F9" w14:textId="77777777">
            <w:pPr>
              <w:spacing w:line="276" w:lineRule="auto"/>
              <w:rPr>
                <w:b/>
                <w:bCs/>
              </w:rPr>
            </w:pPr>
            <w:r w:rsidRPr="00E40786">
              <w:rPr>
                <w:b/>
                <w:bCs/>
              </w:rPr>
              <w:t>2023</w:t>
            </w:r>
          </w:p>
        </w:tc>
        <w:tc>
          <w:tcPr>
            <w:tcW w:w="1250" w:type="pct"/>
            <w:shd w:val="clear" w:color="auto" w:fill="D9D9D9" w:themeFill="background1" w:themeFillShade="D9"/>
          </w:tcPr>
          <w:p w:rsidRPr="00E40786" w:rsidR="00364C14" w:rsidP="0086740D" w:rsidRDefault="00364C14" w14:paraId="326F7FA5" w14:textId="77777777">
            <w:pPr>
              <w:spacing w:line="276" w:lineRule="auto"/>
              <w:rPr>
                <w:b/>
                <w:bCs/>
              </w:rPr>
            </w:pPr>
            <w:r w:rsidRPr="00E40786">
              <w:rPr>
                <w:b/>
                <w:bCs/>
              </w:rPr>
              <w:t>2024</w:t>
            </w:r>
          </w:p>
        </w:tc>
      </w:tr>
      <w:tr w:rsidR="00364C14" w:rsidTr="0086740D" w14:paraId="315FABD4" w14:textId="77777777">
        <w:tc>
          <w:tcPr>
            <w:tcW w:w="1250" w:type="pct"/>
          </w:tcPr>
          <w:p w:rsidRPr="00E40786" w:rsidR="00364C14" w:rsidP="0086740D" w:rsidRDefault="00364C14" w14:paraId="330B7535" w14:textId="77777777">
            <w:pPr>
              <w:spacing w:line="276" w:lineRule="auto"/>
              <w:rPr>
                <w:b/>
                <w:bCs/>
              </w:rPr>
            </w:pPr>
            <w:r w:rsidRPr="00E40786">
              <w:rPr>
                <w:b/>
                <w:bCs/>
              </w:rPr>
              <w:t>Hbo</w:t>
            </w:r>
          </w:p>
        </w:tc>
        <w:tc>
          <w:tcPr>
            <w:tcW w:w="1250" w:type="pct"/>
          </w:tcPr>
          <w:p w:rsidR="00364C14" w:rsidP="0086740D" w:rsidRDefault="00364C14" w14:paraId="599C2FEB" w14:textId="77777777">
            <w:pPr>
              <w:spacing w:line="276" w:lineRule="auto"/>
            </w:pPr>
            <w:r>
              <w:t>17%</w:t>
            </w:r>
          </w:p>
        </w:tc>
        <w:tc>
          <w:tcPr>
            <w:tcW w:w="1250" w:type="pct"/>
          </w:tcPr>
          <w:p w:rsidR="00364C14" w:rsidP="0086740D" w:rsidRDefault="00364C14" w14:paraId="57E73704" w14:textId="77777777">
            <w:pPr>
              <w:spacing w:line="276" w:lineRule="auto"/>
            </w:pPr>
            <w:r>
              <w:t>22%</w:t>
            </w:r>
          </w:p>
        </w:tc>
        <w:tc>
          <w:tcPr>
            <w:tcW w:w="1250" w:type="pct"/>
          </w:tcPr>
          <w:p w:rsidR="00364C14" w:rsidP="0086740D" w:rsidRDefault="00364C14" w14:paraId="5C367CD4" w14:textId="77777777">
            <w:pPr>
              <w:spacing w:line="276" w:lineRule="auto"/>
            </w:pPr>
            <w:r>
              <w:t>32%</w:t>
            </w:r>
          </w:p>
        </w:tc>
      </w:tr>
      <w:tr w:rsidR="00364C14" w:rsidTr="0086740D" w14:paraId="3D715B89" w14:textId="77777777">
        <w:tc>
          <w:tcPr>
            <w:tcW w:w="1250" w:type="pct"/>
          </w:tcPr>
          <w:p w:rsidRPr="00E40786" w:rsidR="00364C14" w:rsidP="0086740D" w:rsidRDefault="00364C14" w14:paraId="3E4FC38D" w14:textId="77777777">
            <w:pPr>
              <w:spacing w:line="276" w:lineRule="auto"/>
              <w:rPr>
                <w:b/>
                <w:bCs/>
              </w:rPr>
            </w:pPr>
            <w:r w:rsidRPr="00E40786">
              <w:rPr>
                <w:b/>
                <w:bCs/>
              </w:rPr>
              <w:t>Wo</w:t>
            </w:r>
          </w:p>
        </w:tc>
        <w:tc>
          <w:tcPr>
            <w:tcW w:w="1250" w:type="pct"/>
          </w:tcPr>
          <w:p w:rsidR="00364C14" w:rsidP="0086740D" w:rsidRDefault="00364C14" w14:paraId="150DC268" w14:textId="77777777">
            <w:pPr>
              <w:spacing w:line="276" w:lineRule="auto"/>
            </w:pPr>
            <w:r>
              <w:t>10%</w:t>
            </w:r>
          </w:p>
        </w:tc>
        <w:tc>
          <w:tcPr>
            <w:tcW w:w="1250" w:type="pct"/>
          </w:tcPr>
          <w:p w:rsidR="00364C14" w:rsidP="0086740D" w:rsidRDefault="00364C14" w14:paraId="4BE7BC83" w14:textId="77777777">
            <w:pPr>
              <w:spacing w:line="276" w:lineRule="auto"/>
            </w:pPr>
            <w:r>
              <w:t>15%</w:t>
            </w:r>
          </w:p>
        </w:tc>
        <w:tc>
          <w:tcPr>
            <w:tcW w:w="1250" w:type="pct"/>
          </w:tcPr>
          <w:p w:rsidR="00364C14" w:rsidP="0086740D" w:rsidRDefault="00364C14" w14:paraId="1437D84A" w14:textId="77777777">
            <w:pPr>
              <w:spacing w:line="276" w:lineRule="auto"/>
            </w:pPr>
            <w:r>
              <w:t>23%</w:t>
            </w:r>
          </w:p>
        </w:tc>
      </w:tr>
      <w:tr w:rsidR="00364C14" w:rsidTr="0086740D" w14:paraId="68B1C4BD" w14:textId="77777777">
        <w:tc>
          <w:tcPr>
            <w:tcW w:w="1250" w:type="pct"/>
          </w:tcPr>
          <w:p w:rsidRPr="00E40786" w:rsidR="00364C14" w:rsidP="0086740D" w:rsidRDefault="00364C14" w14:paraId="40D169A4" w14:textId="77777777">
            <w:pPr>
              <w:spacing w:line="276" w:lineRule="auto"/>
              <w:rPr>
                <w:b/>
                <w:bCs/>
              </w:rPr>
            </w:pPr>
            <w:r w:rsidRPr="00E40786">
              <w:rPr>
                <w:b/>
                <w:bCs/>
              </w:rPr>
              <w:t>Totaal hbo en wo</w:t>
            </w:r>
          </w:p>
        </w:tc>
        <w:tc>
          <w:tcPr>
            <w:tcW w:w="1250" w:type="pct"/>
          </w:tcPr>
          <w:p w:rsidR="00364C14" w:rsidP="0086740D" w:rsidRDefault="00364C14" w14:paraId="3CCE8E5F" w14:textId="77777777">
            <w:pPr>
              <w:spacing w:line="276" w:lineRule="auto"/>
            </w:pPr>
            <w:r>
              <w:t>12%</w:t>
            </w:r>
          </w:p>
        </w:tc>
        <w:tc>
          <w:tcPr>
            <w:tcW w:w="1250" w:type="pct"/>
          </w:tcPr>
          <w:p w:rsidR="00364C14" w:rsidP="0086740D" w:rsidRDefault="00364C14" w14:paraId="5B38AB86" w14:textId="77777777">
            <w:pPr>
              <w:spacing w:line="276" w:lineRule="auto"/>
            </w:pPr>
            <w:r>
              <w:t>17%</w:t>
            </w:r>
          </w:p>
        </w:tc>
        <w:tc>
          <w:tcPr>
            <w:tcW w:w="1250" w:type="pct"/>
          </w:tcPr>
          <w:p w:rsidR="00364C14" w:rsidP="0086740D" w:rsidRDefault="00364C14" w14:paraId="28192BCB" w14:textId="77777777">
            <w:pPr>
              <w:spacing w:line="276" w:lineRule="auto"/>
            </w:pPr>
            <w:r>
              <w:t>26%</w:t>
            </w:r>
          </w:p>
        </w:tc>
      </w:tr>
    </w:tbl>
    <w:p w:rsidRPr="007915CD" w:rsidR="00364C14" w:rsidP="00364C14" w:rsidRDefault="00364C14" w14:paraId="06D57722" w14:textId="77777777">
      <w:pPr>
        <w:pStyle w:val="Bijschrift"/>
        <w:keepNext/>
        <w:rPr>
          <w:color w:val="auto"/>
        </w:rPr>
      </w:pPr>
    </w:p>
    <w:p w:rsidR="00364C14" w:rsidP="00364C14" w:rsidRDefault="00364C14" w14:paraId="4647F91E" w14:textId="77777777">
      <w:pPr>
        <w:spacing w:line="276" w:lineRule="auto"/>
      </w:pPr>
      <w:r>
        <w:t xml:space="preserve">Tabel 2 laat zien dat het aandeel EER-studenten dat gebruik maakt van studiefinanciering tussen 2022 en 2024 binnen de totale groep hbo en wo is gegroeid van 12% naar 26%. De eerder genoemde beleidswijzigingen op het gebied van migrerend </w:t>
      </w:r>
      <w:proofErr w:type="spellStart"/>
      <w:r>
        <w:t>werknemerschap</w:t>
      </w:r>
      <w:proofErr w:type="spellEnd"/>
      <w:r>
        <w:t xml:space="preserve"> en de herinvoering van de basisbeurs zijn de voornaamste mogelijke redenen van deze toename. </w:t>
      </w:r>
    </w:p>
    <w:p w:rsidR="00364C14" w:rsidP="00364C14" w:rsidRDefault="00364C14" w14:paraId="522CBC5A" w14:textId="77777777">
      <w:pPr>
        <w:spacing w:line="276" w:lineRule="auto"/>
      </w:pPr>
    </w:p>
    <w:p w:rsidRPr="008D34CD" w:rsidR="00364C14" w:rsidP="00364C14" w:rsidRDefault="00364C14" w14:paraId="1942BB57" w14:textId="77777777">
      <w:pPr>
        <w:spacing w:line="276" w:lineRule="auto"/>
      </w:pPr>
      <w:r>
        <w:t>In 2024 ontvingen de EER-studenten in hbo en wo in totaal € 186 miljoen aan studiefinanciering.</w:t>
      </w:r>
      <w:r w:rsidRPr="00433696">
        <w:t xml:space="preserve"> </w:t>
      </w:r>
      <w:r w:rsidRPr="008D34CD">
        <w:t>Dit is circa 7% van het totaal aan toekenningen voor hbo- en wo-studenten (circa € 2,8 miljard).</w:t>
      </w:r>
      <w:r>
        <w:t xml:space="preserve"> Wanneer wordt gekeken naar het totaal aantal </w:t>
      </w:r>
      <w:r>
        <w:lastRenderedPageBreak/>
        <w:t xml:space="preserve">hbo- en wo-studenten met een basisbeurs (dus inclusief Nederlandse studenten) dan was in 2024 circa 5% van hen afkomstig uit EER-landen. </w:t>
      </w:r>
      <w:bookmarkStart w:name="_Hlk200628966" w:id="2"/>
    </w:p>
    <w:bookmarkEnd w:id="2"/>
    <w:p w:rsidR="00364C14" w:rsidP="00364C14" w:rsidRDefault="00364C14" w14:paraId="3019A8A3" w14:textId="77777777">
      <w:pPr>
        <w:spacing w:line="276" w:lineRule="auto"/>
      </w:pPr>
    </w:p>
    <w:p w:rsidR="00364C14" w:rsidP="00364C14" w:rsidRDefault="00364C14" w14:paraId="6367393F" w14:textId="77777777">
      <w:pPr>
        <w:spacing w:line="276" w:lineRule="auto"/>
        <w:rPr>
          <w:i/>
          <w:iCs/>
        </w:rPr>
      </w:pPr>
      <w:r>
        <w:rPr>
          <w:i/>
          <w:iCs/>
        </w:rPr>
        <w:t>Splitsing EER-studenten naar duurzaam verblijf en migrerend werknemer en product</w:t>
      </w:r>
    </w:p>
    <w:p w:rsidR="00364C14" w:rsidP="00364C14" w:rsidRDefault="00364C14" w14:paraId="0A0C2365" w14:textId="77777777">
      <w:pPr>
        <w:spacing w:line="276" w:lineRule="auto"/>
      </w:pPr>
      <w:r>
        <w:t xml:space="preserve">In de onderstaande tabel zijn voor studenten die op grond van duurzaam verblijf en migrerend </w:t>
      </w:r>
      <w:proofErr w:type="spellStart"/>
      <w:r>
        <w:t>werknemerschap</w:t>
      </w:r>
      <w:proofErr w:type="spellEnd"/>
      <w:r>
        <w:t xml:space="preserve"> aanspraak maken op studiefinanciering de uitgaven en personen per studiefinancieringsproduct weergegeven.</w:t>
      </w:r>
    </w:p>
    <w:p w:rsidRPr="008C5D97" w:rsidR="00364C14" w:rsidP="00364C14" w:rsidRDefault="00364C14" w14:paraId="0EB696B0" w14:textId="77777777">
      <w:pPr>
        <w:spacing w:line="276" w:lineRule="auto"/>
      </w:pPr>
    </w:p>
    <w:p w:rsidR="00364C14" w:rsidP="00364C14" w:rsidRDefault="00364C14" w14:paraId="0DBF8BDF" w14:textId="77777777">
      <w:pPr>
        <w:spacing w:line="240" w:lineRule="auto"/>
        <w:rPr>
          <w:i/>
          <w:iCs/>
        </w:rPr>
      </w:pPr>
      <w:r w:rsidRPr="00BF0562">
        <w:rPr>
          <w:i/>
          <w:iCs/>
        </w:rPr>
        <w:t xml:space="preserve">Tabel 3 - Uitgaven SF aan EER-studenten </w:t>
      </w:r>
    </w:p>
    <w:tbl>
      <w:tblPr>
        <w:tblStyle w:val="Tabelraster"/>
        <w:tblW w:w="5174" w:type="pct"/>
        <w:tblLook w:val="04A0" w:firstRow="1" w:lastRow="0" w:firstColumn="1" w:lastColumn="0" w:noHBand="0" w:noVBand="1"/>
      </w:tblPr>
      <w:tblGrid>
        <w:gridCol w:w="895"/>
        <w:gridCol w:w="637"/>
        <w:gridCol w:w="770"/>
        <w:gridCol w:w="1310"/>
        <w:gridCol w:w="770"/>
        <w:gridCol w:w="1239"/>
        <w:gridCol w:w="770"/>
        <w:gridCol w:w="1360"/>
      </w:tblGrid>
      <w:tr w:rsidR="00C53781" w:rsidTr="00BB540C" w14:paraId="18FC1510" w14:textId="77777777">
        <w:trPr>
          <w:trHeight w:val="774"/>
        </w:trPr>
        <w:tc>
          <w:tcPr>
            <w:tcW w:w="989" w:type="pct"/>
            <w:gridSpan w:val="2"/>
            <w:shd w:val="clear" w:color="auto" w:fill="D9D9D9" w:themeFill="background1" w:themeFillShade="D9"/>
          </w:tcPr>
          <w:p w:rsidRPr="006B1F17" w:rsidR="00364C14" w:rsidP="0086740D" w:rsidRDefault="00364C14" w14:paraId="0865AAC1" w14:textId="77777777">
            <w:pPr>
              <w:spacing w:line="276" w:lineRule="auto"/>
              <w:rPr>
                <w:sz w:val="12"/>
                <w:szCs w:val="12"/>
              </w:rPr>
            </w:pPr>
            <w:bookmarkStart w:name="_Hlk201131665" w:id="3"/>
          </w:p>
        </w:tc>
        <w:tc>
          <w:tcPr>
            <w:tcW w:w="1360" w:type="pct"/>
            <w:gridSpan w:val="2"/>
            <w:shd w:val="clear" w:color="auto" w:fill="D9D9D9" w:themeFill="background1" w:themeFillShade="D9"/>
            <w:vAlign w:val="center"/>
          </w:tcPr>
          <w:p w:rsidRPr="002D291D" w:rsidR="00364C14" w:rsidP="0086740D" w:rsidRDefault="00364C14" w14:paraId="3F545F31" w14:textId="77777777">
            <w:pPr>
              <w:spacing w:line="276" w:lineRule="auto"/>
              <w:rPr>
                <w:b/>
                <w:bCs/>
                <w:sz w:val="12"/>
                <w:szCs w:val="12"/>
              </w:rPr>
            </w:pPr>
            <w:r w:rsidRPr="002D291D">
              <w:rPr>
                <w:b/>
                <w:bCs/>
                <w:sz w:val="12"/>
                <w:szCs w:val="12"/>
              </w:rPr>
              <w:t>2022</w:t>
            </w:r>
          </w:p>
        </w:tc>
        <w:tc>
          <w:tcPr>
            <w:tcW w:w="1306" w:type="pct"/>
            <w:gridSpan w:val="2"/>
            <w:shd w:val="clear" w:color="auto" w:fill="D9D9D9" w:themeFill="background1" w:themeFillShade="D9"/>
            <w:vAlign w:val="center"/>
          </w:tcPr>
          <w:p w:rsidRPr="002D291D" w:rsidR="00364C14" w:rsidP="0086740D" w:rsidRDefault="00364C14" w14:paraId="22D4B3AB" w14:textId="77777777">
            <w:pPr>
              <w:spacing w:line="276" w:lineRule="auto"/>
              <w:rPr>
                <w:b/>
                <w:bCs/>
                <w:sz w:val="12"/>
                <w:szCs w:val="12"/>
              </w:rPr>
            </w:pPr>
            <w:r w:rsidRPr="002D291D">
              <w:rPr>
                <w:b/>
                <w:bCs/>
                <w:sz w:val="12"/>
                <w:szCs w:val="12"/>
              </w:rPr>
              <w:t>2023</w:t>
            </w:r>
          </w:p>
        </w:tc>
        <w:tc>
          <w:tcPr>
            <w:tcW w:w="1345" w:type="pct"/>
            <w:gridSpan w:val="2"/>
            <w:shd w:val="clear" w:color="auto" w:fill="D9D9D9" w:themeFill="background1" w:themeFillShade="D9"/>
            <w:vAlign w:val="center"/>
          </w:tcPr>
          <w:p w:rsidRPr="002D291D" w:rsidR="00364C14" w:rsidP="0086740D" w:rsidRDefault="00364C14" w14:paraId="54FD6AEE" w14:textId="77777777">
            <w:pPr>
              <w:spacing w:line="276" w:lineRule="auto"/>
              <w:rPr>
                <w:b/>
                <w:bCs/>
                <w:sz w:val="12"/>
                <w:szCs w:val="12"/>
              </w:rPr>
            </w:pPr>
            <w:r w:rsidRPr="002D291D">
              <w:rPr>
                <w:b/>
                <w:bCs/>
                <w:sz w:val="12"/>
                <w:szCs w:val="12"/>
              </w:rPr>
              <w:t>2024</w:t>
            </w:r>
          </w:p>
        </w:tc>
      </w:tr>
      <w:tr w:rsidR="00C53781" w:rsidTr="00BB540C" w14:paraId="411E79EE" w14:textId="77777777">
        <w:trPr>
          <w:trHeight w:val="774"/>
        </w:trPr>
        <w:tc>
          <w:tcPr>
            <w:tcW w:w="578" w:type="pct"/>
            <w:vMerge w:val="restart"/>
          </w:tcPr>
          <w:p w:rsidRPr="008C5D97" w:rsidR="00364C14" w:rsidP="0086740D" w:rsidRDefault="00364C14" w14:paraId="19C0D02C" w14:textId="77777777">
            <w:pPr>
              <w:spacing w:line="276" w:lineRule="auto"/>
              <w:rPr>
                <w:sz w:val="12"/>
                <w:szCs w:val="12"/>
              </w:rPr>
            </w:pPr>
            <w:r>
              <w:rPr>
                <w:sz w:val="12"/>
                <w:szCs w:val="12"/>
              </w:rPr>
              <w:t>Duurzaam verblijf</w:t>
            </w:r>
          </w:p>
        </w:tc>
        <w:tc>
          <w:tcPr>
            <w:tcW w:w="411" w:type="pct"/>
            <w:vAlign w:val="center"/>
          </w:tcPr>
          <w:p w:rsidRPr="008C5D97" w:rsidR="00364C14" w:rsidP="0086740D" w:rsidRDefault="00364C14" w14:paraId="14FED4CB" w14:textId="77777777">
            <w:pPr>
              <w:spacing w:line="276" w:lineRule="auto"/>
              <w:rPr>
                <w:sz w:val="12"/>
                <w:szCs w:val="12"/>
              </w:rPr>
            </w:pPr>
          </w:p>
        </w:tc>
        <w:tc>
          <w:tcPr>
            <w:tcW w:w="497" w:type="pct"/>
            <w:vAlign w:val="center"/>
          </w:tcPr>
          <w:p w:rsidRPr="008C5D97" w:rsidR="00364C14" w:rsidP="0086740D" w:rsidRDefault="00364C14" w14:paraId="0F363B0D" w14:textId="77777777">
            <w:pPr>
              <w:spacing w:line="276" w:lineRule="auto"/>
              <w:rPr>
                <w:sz w:val="12"/>
                <w:szCs w:val="12"/>
              </w:rPr>
            </w:pPr>
            <w:r>
              <w:rPr>
                <w:sz w:val="12"/>
                <w:szCs w:val="12"/>
              </w:rPr>
              <w:t>Personen</w:t>
            </w:r>
          </w:p>
        </w:tc>
        <w:tc>
          <w:tcPr>
            <w:tcW w:w="864" w:type="pct"/>
            <w:vAlign w:val="center"/>
          </w:tcPr>
          <w:p w:rsidRPr="008C5D97" w:rsidR="00364C14" w:rsidP="0086740D" w:rsidRDefault="00364C14" w14:paraId="2E842A41" w14:textId="77777777">
            <w:pPr>
              <w:spacing w:line="276" w:lineRule="auto"/>
              <w:rPr>
                <w:sz w:val="12"/>
                <w:szCs w:val="12"/>
              </w:rPr>
            </w:pPr>
            <w:r w:rsidRPr="008C5D97">
              <w:rPr>
                <w:sz w:val="12"/>
                <w:szCs w:val="12"/>
              </w:rPr>
              <w:t>Uitgaven</w:t>
            </w:r>
            <w:r>
              <w:rPr>
                <w:sz w:val="12"/>
                <w:szCs w:val="12"/>
              </w:rPr>
              <w:t xml:space="preserve"> (in €)</w:t>
            </w:r>
          </w:p>
        </w:tc>
        <w:tc>
          <w:tcPr>
            <w:tcW w:w="497" w:type="pct"/>
            <w:vAlign w:val="center"/>
          </w:tcPr>
          <w:p w:rsidRPr="008C5D97" w:rsidR="00364C14" w:rsidP="0086740D" w:rsidRDefault="00364C14" w14:paraId="1F55D2DC" w14:textId="77777777">
            <w:pPr>
              <w:spacing w:line="276" w:lineRule="auto"/>
              <w:rPr>
                <w:sz w:val="12"/>
                <w:szCs w:val="12"/>
              </w:rPr>
            </w:pPr>
            <w:r>
              <w:rPr>
                <w:sz w:val="12"/>
                <w:szCs w:val="12"/>
              </w:rPr>
              <w:t>Personen</w:t>
            </w:r>
          </w:p>
        </w:tc>
        <w:tc>
          <w:tcPr>
            <w:tcW w:w="809" w:type="pct"/>
            <w:vAlign w:val="center"/>
          </w:tcPr>
          <w:p w:rsidRPr="008C5D97" w:rsidR="00364C14" w:rsidP="0086740D" w:rsidRDefault="00364C14" w14:paraId="3A871432" w14:textId="77777777">
            <w:pPr>
              <w:spacing w:line="276" w:lineRule="auto"/>
              <w:rPr>
                <w:sz w:val="12"/>
                <w:szCs w:val="12"/>
              </w:rPr>
            </w:pPr>
            <w:r w:rsidRPr="008C5D97">
              <w:rPr>
                <w:sz w:val="12"/>
                <w:szCs w:val="12"/>
              </w:rPr>
              <w:t>Uitgaven</w:t>
            </w:r>
            <w:r>
              <w:rPr>
                <w:sz w:val="12"/>
                <w:szCs w:val="12"/>
              </w:rPr>
              <w:t xml:space="preserve"> (in €)</w:t>
            </w:r>
          </w:p>
        </w:tc>
        <w:tc>
          <w:tcPr>
            <w:tcW w:w="457" w:type="pct"/>
            <w:vAlign w:val="center"/>
          </w:tcPr>
          <w:p w:rsidRPr="008C5D97" w:rsidR="00364C14" w:rsidP="0086740D" w:rsidRDefault="00364C14" w14:paraId="6B1E8692" w14:textId="77777777">
            <w:pPr>
              <w:spacing w:line="276" w:lineRule="auto"/>
              <w:rPr>
                <w:sz w:val="12"/>
                <w:szCs w:val="12"/>
              </w:rPr>
            </w:pPr>
            <w:r>
              <w:rPr>
                <w:sz w:val="12"/>
                <w:szCs w:val="12"/>
              </w:rPr>
              <w:t>P</w:t>
            </w:r>
            <w:r w:rsidRPr="008C5D97">
              <w:rPr>
                <w:sz w:val="12"/>
                <w:szCs w:val="12"/>
              </w:rPr>
              <w:t>ersonen</w:t>
            </w:r>
          </w:p>
        </w:tc>
        <w:tc>
          <w:tcPr>
            <w:tcW w:w="888" w:type="pct"/>
            <w:vAlign w:val="center"/>
          </w:tcPr>
          <w:p w:rsidRPr="008C5D97" w:rsidR="00364C14" w:rsidP="0086740D" w:rsidRDefault="00364C14" w14:paraId="0D1D8907" w14:textId="77777777">
            <w:pPr>
              <w:spacing w:line="276" w:lineRule="auto"/>
              <w:rPr>
                <w:sz w:val="12"/>
                <w:szCs w:val="12"/>
              </w:rPr>
            </w:pPr>
            <w:r w:rsidRPr="008C5D97">
              <w:rPr>
                <w:sz w:val="12"/>
                <w:szCs w:val="12"/>
              </w:rPr>
              <w:t>Uitgaven</w:t>
            </w:r>
            <w:r>
              <w:rPr>
                <w:sz w:val="12"/>
                <w:szCs w:val="12"/>
              </w:rPr>
              <w:t xml:space="preserve"> (in €)</w:t>
            </w:r>
          </w:p>
        </w:tc>
      </w:tr>
      <w:tr w:rsidR="00C53781" w:rsidTr="00BB540C" w14:paraId="75E509C1" w14:textId="77777777">
        <w:trPr>
          <w:trHeight w:val="540"/>
        </w:trPr>
        <w:tc>
          <w:tcPr>
            <w:tcW w:w="578" w:type="pct"/>
            <w:vMerge/>
          </w:tcPr>
          <w:p w:rsidR="00364C14" w:rsidP="0086740D" w:rsidRDefault="00364C14" w14:paraId="493875A1" w14:textId="77777777">
            <w:pPr>
              <w:spacing w:line="276" w:lineRule="auto"/>
              <w:rPr>
                <w:sz w:val="12"/>
                <w:szCs w:val="12"/>
              </w:rPr>
            </w:pPr>
          </w:p>
        </w:tc>
        <w:tc>
          <w:tcPr>
            <w:tcW w:w="411" w:type="pct"/>
            <w:vAlign w:val="center"/>
          </w:tcPr>
          <w:p w:rsidRPr="008C5D97" w:rsidR="00364C14" w:rsidP="0086740D" w:rsidRDefault="00364C14" w14:paraId="160576FC" w14:textId="77777777">
            <w:pPr>
              <w:spacing w:line="276" w:lineRule="auto"/>
              <w:rPr>
                <w:sz w:val="12"/>
                <w:szCs w:val="12"/>
              </w:rPr>
            </w:pPr>
            <w:r>
              <w:rPr>
                <w:sz w:val="12"/>
                <w:szCs w:val="12"/>
              </w:rPr>
              <w:t>AB</w:t>
            </w:r>
          </w:p>
        </w:tc>
        <w:tc>
          <w:tcPr>
            <w:tcW w:w="497" w:type="pct"/>
            <w:vAlign w:val="center"/>
          </w:tcPr>
          <w:p w:rsidRPr="008C5D97" w:rsidR="00364C14" w:rsidP="0086740D" w:rsidRDefault="00364C14" w14:paraId="6AB25EB0" w14:textId="77777777">
            <w:pPr>
              <w:spacing w:line="276" w:lineRule="auto"/>
              <w:rPr>
                <w:sz w:val="12"/>
                <w:szCs w:val="12"/>
              </w:rPr>
            </w:pPr>
            <w:r w:rsidRPr="006B440F">
              <w:rPr>
                <w:sz w:val="12"/>
                <w:szCs w:val="12"/>
              </w:rPr>
              <w:t>2.211</w:t>
            </w:r>
          </w:p>
        </w:tc>
        <w:tc>
          <w:tcPr>
            <w:tcW w:w="864" w:type="pct"/>
            <w:vAlign w:val="center"/>
          </w:tcPr>
          <w:p w:rsidRPr="008C5D97" w:rsidR="00364C14" w:rsidP="0086740D" w:rsidRDefault="00364C14" w14:paraId="57E7682B" w14:textId="77777777">
            <w:pPr>
              <w:spacing w:line="276" w:lineRule="auto"/>
              <w:rPr>
                <w:sz w:val="12"/>
                <w:szCs w:val="12"/>
              </w:rPr>
            </w:pPr>
            <w:r w:rsidRPr="006B440F">
              <w:rPr>
                <w:sz w:val="12"/>
                <w:szCs w:val="12"/>
              </w:rPr>
              <w:t>6.164.125</w:t>
            </w:r>
          </w:p>
        </w:tc>
        <w:tc>
          <w:tcPr>
            <w:tcW w:w="497" w:type="pct"/>
            <w:vAlign w:val="center"/>
          </w:tcPr>
          <w:p w:rsidRPr="008C5D97" w:rsidR="00364C14" w:rsidP="0086740D" w:rsidRDefault="00364C14" w14:paraId="6394187A" w14:textId="77777777">
            <w:pPr>
              <w:spacing w:line="276" w:lineRule="auto"/>
              <w:rPr>
                <w:sz w:val="12"/>
                <w:szCs w:val="12"/>
              </w:rPr>
            </w:pPr>
            <w:r w:rsidRPr="006B440F">
              <w:rPr>
                <w:sz w:val="12"/>
                <w:szCs w:val="12"/>
              </w:rPr>
              <w:t>2.523</w:t>
            </w:r>
          </w:p>
        </w:tc>
        <w:tc>
          <w:tcPr>
            <w:tcW w:w="809" w:type="pct"/>
            <w:vAlign w:val="center"/>
          </w:tcPr>
          <w:p w:rsidRPr="008C5D97" w:rsidR="00364C14" w:rsidP="0086740D" w:rsidRDefault="00364C14" w14:paraId="437BFEE0" w14:textId="77777777">
            <w:pPr>
              <w:spacing w:line="276" w:lineRule="auto"/>
              <w:rPr>
                <w:sz w:val="12"/>
                <w:szCs w:val="12"/>
              </w:rPr>
            </w:pPr>
            <w:r w:rsidRPr="006B440F">
              <w:rPr>
                <w:sz w:val="12"/>
                <w:szCs w:val="12"/>
              </w:rPr>
              <w:t>6.797.077</w:t>
            </w:r>
          </w:p>
        </w:tc>
        <w:tc>
          <w:tcPr>
            <w:tcW w:w="457" w:type="pct"/>
            <w:vAlign w:val="center"/>
          </w:tcPr>
          <w:p w:rsidRPr="008C5D97" w:rsidR="00364C14" w:rsidP="0086740D" w:rsidRDefault="00364C14" w14:paraId="06EDA933" w14:textId="77777777">
            <w:pPr>
              <w:spacing w:line="276" w:lineRule="auto"/>
              <w:rPr>
                <w:sz w:val="12"/>
                <w:szCs w:val="12"/>
              </w:rPr>
            </w:pPr>
            <w:r w:rsidRPr="006B440F">
              <w:rPr>
                <w:sz w:val="12"/>
                <w:szCs w:val="12"/>
              </w:rPr>
              <w:t>3.493</w:t>
            </w:r>
          </w:p>
        </w:tc>
        <w:tc>
          <w:tcPr>
            <w:tcW w:w="888" w:type="pct"/>
            <w:vAlign w:val="center"/>
          </w:tcPr>
          <w:p w:rsidRPr="008C5D97" w:rsidR="00364C14" w:rsidP="0086740D" w:rsidRDefault="00364C14" w14:paraId="6680CA7D" w14:textId="77777777">
            <w:pPr>
              <w:spacing w:line="276" w:lineRule="auto"/>
              <w:rPr>
                <w:sz w:val="12"/>
                <w:szCs w:val="12"/>
              </w:rPr>
            </w:pPr>
            <w:r w:rsidRPr="006B440F">
              <w:rPr>
                <w:sz w:val="12"/>
                <w:szCs w:val="12"/>
              </w:rPr>
              <w:t>9.868.182</w:t>
            </w:r>
          </w:p>
        </w:tc>
      </w:tr>
      <w:tr w:rsidR="00C53781" w:rsidTr="00BB540C" w14:paraId="60B2A54C" w14:textId="77777777">
        <w:trPr>
          <w:trHeight w:val="414"/>
        </w:trPr>
        <w:tc>
          <w:tcPr>
            <w:tcW w:w="578" w:type="pct"/>
            <w:vMerge/>
          </w:tcPr>
          <w:p w:rsidR="00364C14" w:rsidP="0086740D" w:rsidRDefault="00364C14" w14:paraId="6EB423FA" w14:textId="77777777">
            <w:pPr>
              <w:spacing w:line="276" w:lineRule="auto"/>
              <w:rPr>
                <w:sz w:val="12"/>
                <w:szCs w:val="12"/>
              </w:rPr>
            </w:pPr>
          </w:p>
        </w:tc>
        <w:tc>
          <w:tcPr>
            <w:tcW w:w="411" w:type="pct"/>
            <w:vAlign w:val="center"/>
          </w:tcPr>
          <w:p w:rsidRPr="008C5D97" w:rsidR="00364C14" w:rsidP="0086740D" w:rsidRDefault="00364C14" w14:paraId="0FD51932" w14:textId="77777777">
            <w:pPr>
              <w:spacing w:line="276" w:lineRule="auto"/>
              <w:rPr>
                <w:sz w:val="12"/>
                <w:szCs w:val="12"/>
              </w:rPr>
            </w:pPr>
            <w:r>
              <w:rPr>
                <w:sz w:val="12"/>
                <w:szCs w:val="12"/>
              </w:rPr>
              <w:t>BB</w:t>
            </w:r>
          </w:p>
        </w:tc>
        <w:tc>
          <w:tcPr>
            <w:tcW w:w="497" w:type="pct"/>
            <w:vAlign w:val="center"/>
          </w:tcPr>
          <w:p w:rsidRPr="008C5D97" w:rsidR="00364C14" w:rsidP="0086740D" w:rsidRDefault="00364C14" w14:paraId="7D3451E0" w14:textId="77777777">
            <w:pPr>
              <w:spacing w:line="276" w:lineRule="auto"/>
              <w:rPr>
                <w:sz w:val="12"/>
                <w:szCs w:val="12"/>
              </w:rPr>
            </w:pPr>
            <w:r w:rsidRPr="006B440F">
              <w:rPr>
                <w:sz w:val="12"/>
                <w:szCs w:val="12"/>
              </w:rPr>
              <w:t>24</w:t>
            </w:r>
          </w:p>
        </w:tc>
        <w:tc>
          <w:tcPr>
            <w:tcW w:w="864" w:type="pct"/>
            <w:vAlign w:val="center"/>
          </w:tcPr>
          <w:p w:rsidRPr="008C5D97" w:rsidR="00364C14" w:rsidP="0086740D" w:rsidRDefault="00364C14" w14:paraId="5B35FFDA" w14:textId="77777777">
            <w:pPr>
              <w:spacing w:line="276" w:lineRule="auto"/>
              <w:rPr>
                <w:sz w:val="12"/>
                <w:szCs w:val="12"/>
              </w:rPr>
            </w:pPr>
            <w:r w:rsidRPr="006B440F">
              <w:rPr>
                <w:sz w:val="12"/>
                <w:szCs w:val="12"/>
              </w:rPr>
              <w:t>38.409</w:t>
            </w:r>
          </w:p>
        </w:tc>
        <w:tc>
          <w:tcPr>
            <w:tcW w:w="497" w:type="pct"/>
            <w:vAlign w:val="center"/>
          </w:tcPr>
          <w:p w:rsidRPr="008C5D97" w:rsidR="00364C14" w:rsidP="0086740D" w:rsidRDefault="00364C14" w14:paraId="41A5233D" w14:textId="77777777">
            <w:pPr>
              <w:spacing w:line="276" w:lineRule="auto"/>
              <w:rPr>
                <w:sz w:val="12"/>
                <w:szCs w:val="12"/>
              </w:rPr>
            </w:pPr>
            <w:r w:rsidRPr="006B440F">
              <w:rPr>
                <w:sz w:val="12"/>
                <w:szCs w:val="12"/>
              </w:rPr>
              <w:t>5.260</w:t>
            </w:r>
          </w:p>
        </w:tc>
        <w:tc>
          <w:tcPr>
            <w:tcW w:w="809" w:type="pct"/>
            <w:vAlign w:val="center"/>
          </w:tcPr>
          <w:p w:rsidRPr="008C5D97" w:rsidR="00364C14" w:rsidP="0086740D" w:rsidRDefault="00364C14" w14:paraId="7745BB37" w14:textId="77777777">
            <w:pPr>
              <w:spacing w:line="276" w:lineRule="auto"/>
              <w:rPr>
                <w:sz w:val="12"/>
                <w:szCs w:val="12"/>
              </w:rPr>
            </w:pPr>
            <w:r w:rsidRPr="006B440F">
              <w:rPr>
                <w:sz w:val="12"/>
                <w:szCs w:val="12"/>
              </w:rPr>
              <w:t>5.838.425</w:t>
            </w:r>
          </w:p>
        </w:tc>
        <w:tc>
          <w:tcPr>
            <w:tcW w:w="457" w:type="pct"/>
            <w:vAlign w:val="center"/>
          </w:tcPr>
          <w:p w:rsidRPr="008C5D97" w:rsidR="00364C14" w:rsidP="0086740D" w:rsidRDefault="00364C14" w14:paraId="492C27F0" w14:textId="77777777">
            <w:pPr>
              <w:spacing w:line="276" w:lineRule="auto"/>
              <w:rPr>
                <w:sz w:val="12"/>
                <w:szCs w:val="12"/>
              </w:rPr>
            </w:pPr>
            <w:r w:rsidRPr="006B440F">
              <w:rPr>
                <w:sz w:val="12"/>
                <w:szCs w:val="12"/>
              </w:rPr>
              <w:t>8.124</w:t>
            </w:r>
          </w:p>
        </w:tc>
        <w:tc>
          <w:tcPr>
            <w:tcW w:w="888" w:type="pct"/>
            <w:vAlign w:val="center"/>
          </w:tcPr>
          <w:p w:rsidRPr="008C5D97" w:rsidR="00364C14" w:rsidP="0086740D" w:rsidRDefault="00364C14" w14:paraId="3E04FEE0" w14:textId="77777777">
            <w:pPr>
              <w:spacing w:line="276" w:lineRule="auto"/>
              <w:rPr>
                <w:sz w:val="12"/>
                <w:szCs w:val="12"/>
              </w:rPr>
            </w:pPr>
            <w:r w:rsidRPr="006B440F">
              <w:rPr>
                <w:sz w:val="12"/>
                <w:szCs w:val="12"/>
              </w:rPr>
              <w:t>18.467.232</w:t>
            </w:r>
          </w:p>
        </w:tc>
      </w:tr>
      <w:tr w:rsidR="00C53781" w:rsidTr="00BB540C" w14:paraId="4DB79F37" w14:textId="77777777">
        <w:trPr>
          <w:trHeight w:val="443"/>
        </w:trPr>
        <w:tc>
          <w:tcPr>
            <w:tcW w:w="578" w:type="pct"/>
            <w:vMerge/>
          </w:tcPr>
          <w:p w:rsidR="00364C14" w:rsidP="0086740D" w:rsidRDefault="00364C14" w14:paraId="407C5137" w14:textId="77777777">
            <w:pPr>
              <w:spacing w:line="276" w:lineRule="auto"/>
              <w:rPr>
                <w:sz w:val="12"/>
                <w:szCs w:val="12"/>
              </w:rPr>
            </w:pPr>
          </w:p>
        </w:tc>
        <w:tc>
          <w:tcPr>
            <w:tcW w:w="411" w:type="pct"/>
            <w:vAlign w:val="center"/>
          </w:tcPr>
          <w:p w:rsidRPr="008C5D97" w:rsidR="00364C14" w:rsidP="0086740D" w:rsidRDefault="00364C14" w14:paraId="7C448770" w14:textId="77777777">
            <w:pPr>
              <w:spacing w:line="276" w:lineRule="auto"/>
              <w:rPr>
                <w:sz w:val="12"/>
                <w:szCs w:val="12"/>
              </w:rPr>
            </w:pPr>
            <w:r>
              <w:rPr>
                <w:sz w:val="12"/>
                <w:szCs w:val="12"/>
              </w:rPr>
              <w:t>RV</w:t>
            </w:r>
          </w:p>
        </w:tc>
        <w:tc>
          <w:tcPr>
            <w:tcW w:w="497" w:type="pct"/>
            <w:vAlign w:val="center"/>
          </w:tcPr>
          <w:p w:rsidRPr="008C5D97" w:rsidR="00364C14" w:rsidP="0086740D" w:rsidRDefault="00364C14" w14:paraId="6C0CD96F" w14:textId="77777777">
            <w:pPr>
              <w:spacing w:line="276" w:lineRule="auto"/>
              <w:rPr>
                <w:sz w:val="12"/>
                <w:szCs w:val="12"/>
              </w:rPr>
            </w:pPr>
            <w:r w:rsidRPr="006B440F">
              <w:rPr>
                <w:sz w:val="12"/>
                <w:szCs w:val="12"/>
              </w:rPr>
              <w:t>6.479</w:t>
            </w:r>
          </w:p>
        </w:tc>
        <w:tc>
          <w:tcPr>
            <w:tcW w:w="864" w:type="pct"/>
            <w:vAlign w:val="center"/>
          </w:tcPr>
          <w:p w:rsidRPr="008C5D97" w:rsidR="00364C14" w:rsidP="0086740D" w:rsidRDefault="00364C14" w14:paraId="43FE5A01" w14:textId="77777777">
            <w:pPr>
              <w:spacing w:line="276" w:lineRule="auto"/>
              <w:rPr>
                <w:sz w:val="12"/>
                <w:szCs w:val="12"/>
              </w:rPr>
            </w:pPr>
            <w:r w:rsidRPr="006B440F">
              <w:rPr>
                <w:sz w:val="12"/>
                <w:szCs w:val="12"/>
              </w:rPr>
              <w:t>5.645.781</w:t>
            </w:r>
          </w:p>
        </w:tc>
        <w:tc>
          <w:tcPr>
            <w:tcW w:w="497" w:type="pct"/>
            <w:vAlign w:val="center"/>
          </w:tcPr>
          <w:p w:rsidRPr="008C5D97" w:rsidR="00364C14" w:rsidP="0086740D" w:rsidRDefault="00364C14" w14:paraId="0FCFBABF" w14:textId="77777777">
            <w:pPr>
              <w:spacing w:line="276" w:lineRule="auto"/>
              <w:rPr>
                <w:sz w:val="12"/>
                <w:szCs w:val="12"/>
              </w:rPr>
            </w:pPr>
            <w:r w:rsidRPr="006B440F">
              <w:rPr>
                <w:sz w:val="12"/>
                <w:szCs w:val="12"/>
              </w:rPr>
              <w:t>7.645</w:t>
            </w:r>
          </w:p>
        </w:tc>
        <w:tc>
          <w:tcPr>
            <w:tcW w:w="809" w:type="pct"/>
            <w:vAlign w:val="center"/>
          </w:tcPr>
          <w:p w:rsidRPr="008C5D97" w:rsidR="00364C14" w:rsidP="0086740D" w:rsidRDefault="00364C14" w14:paraId="2F3BF7D2" w14:textId="77777777">
            <w:pPr>
              <w:spacing w:line="276" w:lineRule="auto"/>
              <w:rPr>
                <w:sz w:val="12"/>
                <w:szCs w:val="12"/>
              </w:rPr>
            </w:pPr>
            <w:r w:rsidRPr="006B440F">
              <w:rPr>
                <w:sz w:val="12"/>
                <w:szCs w:val="12"/>
              </w:rPr>
              <w:t>7.334.652</w:t>
            </w:r>
          </w:p>
        </w:tc>
        <w:tc>
          <w:tcPr>
            <w:tcW w:w="457" w:type="pct"/>
            <w:vAlign w:val="center"/>
          </w:tcPr>
          <w:p w:rsidRPr="008C5D97" w:rsidR="00364C14" w:rsidP="0086740D" w:rsidRDefault="00364C14" w14:paraId="2A9F033D" w14:textId="77777777">
            <w:pPr>
              <w:spacing w:line="276" w:lineRule="auto"/>
              <w:rPr>
                <w:sz w:val="12"/>
                <w:szCs w:val="12"/>
              </w:rPr>
            </w:pPr>
            <w:r w:rsidRPr="006B440F">
              <w:rPr>
                <w:sz w:val="12"/>
                <w:szCs w:val="12"/>
              </w:rPr>
              <w:t>9.189</w:t>
            </w:r>
          </w:p>
        </w:tc>
        <w:tc>
          <w:tcPr>
            <w:tcW w:w="888" w:type="pct"/>
            <w:vAlign w:val="center"/>
          </w:tcPr>
          <w:p w:rsidRPr="008C5D97" w:rsidR="00364C14" w:rsidP="0086740D" w:rsidRDefault="00364C14" w14:paraId="314C0DBB" w14:textId="77777777">
            <w:pPr>
              <w:spacing w:line="276" w:lineRule="auto"/>
              <w:rPr>
                <w:sz w:val="12"/>
                <w:szCs w:val="12"/>
              </w:rPr>
            </w:pPr>
            <w:r w:rsidRPr="006B440F">
              <w:rPr>
                <w:sz w:val="12"/>
                <w:szCs w:val="12"/>
              </w:rPr>
              <w:t>8.455.814</w:t>
            </w:r>
          </w:p>
        </w:tc>
      </w:tr>
      <w:tr w:rsidR="00C53781" w:rsidTr="00BB540C" w14:paraId="6A57EDFB" w14:textId="77777777">
        <w:trPr>
          <w:trHeight w:val="427"/>
        </w:trPr>
        <w:tc>
          <w:tcPr>
            <w:tcW w:w="578" w:type="pct"/>
            <w:vMerge/>
          </w:tcPr>
          <w:p w:rsidR="00364C14" w:rsidP="0086740D" w:rsidRDefault="00364C14" w14:paraId="1863EA7B" w14:textId="77777777">
            <w:pPr>
              <w:spacing w:line="276" w:lineRule="auto"/>
              <w:rPr>
                <w:sz w:val="12"/>
                <w:szCs w:val="12"/>
              </w:rPr>
            </w:pPr>
          </w:p>
        </w:tc>
        <w:tc>
          <w:tcPr>
            <w:tcW w:w="411" w:type="pct"/>
            <w:vAlign w:val="center"/>
          </w:tcPr>
          <w:p w:rsidRPr="008C5D97" w:rsidR="00364C14" w:rsidP="0086740D" w:rsidRDefault="00364C14" w14:paraId="4C2740EE" w14:textId="77777777">
            <w:pPr>
              <w:spacing w:line="276" w:lineRule="auto"/>
              <w:rPr>
                <w:sz w:val="12"/>
                <w:szCs w:val="12"/>
              </w:rPr>
            </w:pPr>
            <w:r>
              <w:rPr>
                <w:sz w:val="12"/>
                <w:szCs w:val="12"/>
              </w:rPr>
              <w:t>Overig</w:t>
            </w:r>
          </w:p>
        </w:tc>
        <w:tc>
          <w:tcPr>
            <w:tcW w:w="497" w:type="pct"/>
            <w:vAlign w:val="center"/>
          </w:tcPr>
          <w:p w:rsidRPr="008C5D97" w:rsidR="00364C14" w:rsidP="0086740D" w:rsidRDefault="00364C14" w14:paraId="18F2D8E8" w14:textId="77777777">
            <w:pPr>
              <w:spacing w:line="276" w:lineRule="auto"/>
              <w:rPr>
                <w:sz w:val="12"/>
                <w:szCs w:val="12"/>
              </w:rPr>
            </w:pPr>
            <w:r w:rsidRPr="006B440F">
              <w:rPr>
                <w:sz w:val="12"/>
                <w:szCs w:val="12"/>
              </w:rPr>
              <w:t>19</w:t>
            </w:r>
          </w:p>
        </w:tc>
        <w:tc>
          <w:tcPr>
            <w:tcW w:w="864" w:type="pct"/>
            <w:vAlign w:val="center"/>
          </w:tcPr>
          <w:p w:rsidRPr="008C5D97" w:rsidR="00364C14" w:rsidP="0086740D" w:rsidRDefault="00364C14" w14:paraId="37780C15" w14:textId="77777777">
            <w:pPr>
              <w:spacing w:line="276" w:lineRule="auto"/>
              <w:rPr>
                <w:sz w:val="12"/>
                <w:szCs w:val="12"/>
              </w:rPr>
            </w:pPr>
            <w:r w:rsidRPr="006B440F">
              <w:rPr>
                <w:sz w:val="12"/>
                <w:szCs w:val="12"/>
              </w:rPr>
              <w:t>42.296</w:t>
            </w:r>
          </w:p>
        </w:tc>
        <w:tc>
          <w:tcPr>
            <w:tcW w:w="497" w:type="pct"/>
            <w:vAlign w:val="center"/>
          </w:tcPr>
          <w:p w:rsidRPr="008C5D97" w:rsidR="00364C14" w:rsidP="0086740D" w:rsidRDefault="00364C14" w14:paraId="13744644" w14:textId="77777777">
            <w:pPr>
              <w:spacing w:line="276" w:lineRule="auto"/>
              <w:rPr>
                <w:sz w:val="12"/>
                <w:szCs w:val="12"/>
              </w:rPr>
            </w:pPr>
            <w:r w:rsidRPr="006B440F">
              <w:rPr>
                <w:sz w:val="12"/>
                <w:szCs w:val="12"/>
              </w:rPr>
              <w:t>20</w:t>
            </w:r>
          </w:p>
        </w:tc>
        <w:tc>
          <w:tcPr>
            <w:tcW w:w="809" w:type="pct"/>
            <w:vAlign w:val="center"/>
          </w:tcPr>
          <w:p w:rsidRPr="008C5D97" w:rsidR="00364C14" w:rsidP="0086740D" w:rsidRDefault="00364C14" w14:paraId="6EB860DD" w14:textId="77777777">
            <w:pPr>
              <w:spacing w:line="276" w:lineRule="auto"/>
              <w:rPr>
                <w:sz w:val="12"/>
                <w:szCs w:val="12"/>
              </w:rPr>
            </w:pPr>
            <w:r w:rsidRPr="006B440F">
              <w:rPr>
                <w:sz w:val="12"/>
                <w:szCs w:val="12"/>
              </w:rPr>
              <w:t>39.352</w:t>
            </w:r>
          </w:p>
        </w:tc>
        <w:tc>
          <w:tcPr>
            <w:tcW w:w="457" w:type="pct"/>
            <w:vAlign w:val="center"/>
          </w:tcPr>
          <w:p w:rsidRPr="008C5D97" w:rsidR="00364C14" w:rsidP="0086740D" w:rsidRDefault="00364C14" w14:paraId="3268E709" w14:textId="77777777">
            <w:pPr>
              <w:spacing w:line="276" w:lineRule="auto"/>
              <w:rPr>
                <w:sz w:val="12"/>
                <w:szCs w:val="12"/>
              </w:rPr>
            </w:pPr>
            <w:r w:rsidRPr="006B440F">
              <w:rPr>
                <w:sz w:val="12"/>
                <w:szCs w:val="12"/>
              </w:rPr>
              <w:t>27</w:t>
            </w:r>
          </w:p>
        </w:tc>
        <w:tc>
          <w:tcPr>
            <w:tcW w:w="888" w:type="pct"/>
            <w:vAlign w:val="center"/>
          </w:tcPr>
          <w:p w:rsidRPr="008C5D97" w:rsidR="00364C14" w:rsidP="0086740D" w:rsidRDefault="00364C14" w14:paraId="7D741BB5" w14:textId="77777777">
            <w:pPr>
              <w:spacing w:line="276" w:lineRule="auto"/>
              <w:rPr>
                <w:sz w:val="12"/>
                <w:szCs w:val="12"/>
              </w:rPr>
            </w:pPr>
            <w:r w:rsidRPr="006B440F">
              <w:rPr>
                <w:sz w:val="12"/>
                <w:szCs w:val="12"/>
              </w:rPr>
              <w:t>46.720</w:t>
            </w:r>
          </w:p>
        </w:tc>
      </w:tr>
      <w:tr w:rsidR="000A46EB" w:rsidTr="00BB540C" w14:paraId="38C6E3B9" w14:textId="77777777">
        <w:trPr>
          <w:trHeight w:val="411"/>
        </w:trPr>
        <w:tc>
          <w:tcPr>
            <w:tcW w:w="578" w:type="pct"/>
            <w:vMerge/>
          </w:tcPr>
          <w:p w:rsidRPr="007D62EF" w:rsidR="00364C14" w:rsidP="0086740D" w:rsidRDefault="00364C14" w14:paraId="4A51A082" w14:textId="77777777">
            <w:pPr>
              <w:spacing w:line="276" w:lineRule="auto"/>
              <w:rPr>
                <w:b/>
                <w:bCs/>
                <w:sz w:val="12"/>
                <w:szCs w:val="12"/>
              </w:rPr>
            </w:pPr>
          </w:p>
        </w:tc>
        <w:tc>
          <w:tcPr>
            <w:tcW w:w="411" w:type="pct"/>
            <w:shd w:val="clear" w:color="auto" w:fill="F2F2F2" w:themeFill="background1" w:themeFillShade="F2"/>
            <w:vAlign w:val="center"/>
          </w:tcPr>
          <w:p w:rsidRPr="007D62EF" w:rsidR="00364C14" w:rsidP="0086740D" w:rsidRDefault="00364C14" w14:paraId="38876B67" w14:textId="77777777">
            <w:pPr>
              <w:spacing w:line="276" w:lineRule="auto"/>
              <w:rPr>
                <w:b/>
                <w:bCs/>
                <w:sz w:val="12"/>
                <w:szCs w:val="12"/>
              </w:rPr>
            </w:pPr>
            <w:r w:rsidRPr="007D62EF">
              <w:rPr>
                <w:b/>
                <w:bCs/>
                <w:sz w:val="12"/>
                <w:szCs w:val="12"/>
              </w:rPr>
              <w:t>Totaal</w:t>
            </w:r>
          </w:p>
        </w:tc>
        <w:tc>
          <w:tcPr>
            <w:tcW w:w="497" w:type="pct"/>
            <w:shd w:val="clear" w:color="auto" w:fill="F2F2F2" w:themeFill="background1" w:themeFillShade="F2"/>
            <w:vAlign w:val="center"/>
          </w:tcPr>
          <w:p w:rsidRPr="007D62EF" w:rsidR="00364C14" w:rsidP="0086740D" w:rsidRDefault="00364C14" w14:paraId="3E300F88" w14:textId="77777777">
            <w:pPr>
              <w:spacing w:line="276" w:lineRule="auto"/>
              <w:rPr>
                <w:b/>
                <w:bCs/>
                <w:sz w:val="12"/>
                <w:szCs w:val="12"/>
              </w:rPr>
            </w:pPr>
            <w:r w:rsidRPr="007D62EF">
              <w:rPr>
                <w:b/>
                <w:bCs/>
                <w:sz w:val="12"/>
                <w:szCs w:val="12"/>
              </w:rPr>
              <w:t>6.587</w:t>
            </w:r>
          </w:p>
        </w:tc>
        <w:tc>
          <w:tcPr>
            <w:tcW w:w="864" w:type="pct"/>
            <w:shd w:val="clear" w:color="auto" w:fill="F2F2F2" w:themeFill="background1" w:themeFillShade="F2"/>
            <w:vAlign w:val="center"/>
          </w:tcPr>
          <w:p w:rsidRPr="007D62EF" w:rsidR="00364C14" w:rsidP="0086740D" w:rsidRDefault="00364C14" w14:paraId="54D0A853" w14:textId="77777777">
            <w:pPr>
              <w:spacing w:line="276" w:lineRule="auto"/>
              <w:rPr>
                <w:b/>
                <w:bCs/>
                <w:sz w:val="12"/>
                <w:szCs w:val="12"/>
              </w:rPr>
            </w:pPr>
            <w:r w:rsidRPr="007D62EF">
              <w:rPr>
                <w:b/>
                <w:bCs/>
                <w:sz w:val="12"/>
                <w:szCs w:val="12"/>
              </w:rPr>
              <w:t>11.890.610</w:t>
            </w:r>
          </w:p>
        </w:tc>
        <w:tc>
          <w:tcPr>
            <w:tcW w:w="497" w:type="pct"/>
            <w:shd w:val="clear" w:color="auto" w:fill="F2F2F2" w:themeFill="background1" w:themeFillShade="F2"/>
            <w:vAlign w:val="center"/>
          </w:tcPr>
          <w:p w:rsidRPr="007D62EF" w:rsidR="00364C14" w:rsidP="0086740D" w:rsidRDefault="00364C14" w14:paraId="63D662C6" w14:textId="77777777">
            <w:pPr>
              <w:spacing w:line="276" w:lineRule="auto"/>
              <w:rPr>
                <w:b/>
                <w:bCs/>
                <w:sz w:val="12"/>
                <w:szCs w:val="12"/>
              </w:rPr>
            </w:pPr>
            <w:r w:rsidRPr="007D62EF">
              <w:rPr>
                <w:b/>
                <w:bCs/>
                <w:sz w:val="12"/>
                <w:szCs w:val="12"/>
              </w:rPr>
              <w:t>7.955</w:t>
            </w:r>
          </w:p>
        </w:tc>
        <w:tc>
          <w:tcPr>
            <w:tcW w:w="809" w:type="pct"/>
            <w:shd w:val="clear" w:color="auto" w:fill="F2F2F2" w:themeFill="background1" w:themeFillShade="F2"/>
            <w:vAlign w:val="center"/>
          </w:tcPr>
          <w:p w:rsidRPr="007D62EF" w:rsidR="00364C14" w:rsidP="0086740D" w:rsidRDefault="00364C14" w14:paraId="329831FA" w14:textId="77777777">
            <w:pPr>
              <w:spacing w:line="276" w:lineRule="auto"/>
              <w:rPr>
                <w:b/>
                <w:bCs/>
                <w:sz w:val="12"/>
                <w:szCs w:val="12"/>
              </w:rPr>
            </w:pPr>
            <w:r w:rsidRPr="007D62EF">
              <w:rPr>
                <w:b/>
                <w:bCs/>
                <w:sz w:val="12"/>
                <w:szCs w:val="12"/>
              </w:rPr>
              <w:t>20.009.506</w:t>
            </w:r>
          </w:p>
        </w:tc>
        <w:tc>
          <w:tcPr>
            <w:tcW w:w="457" w:type="pct"/>
            <w:shd w:val="clear" w:color="auto" w:fill="F2F2F2" w:themeFill="background1" w:themeFillShade="F2"/>
            <w:vAlign w:val="center"/>
          </w:tcPr>
          <w:p w:rsidRPr="007D62EF" w:rsidR="00364C14" w:rsidP="0086740D" w:rsidRDefault="00364C14" w14:paraId="13C21AD1" w14:textId="77777777">
            <w:pPr>
              <w:spacing w:line="276" w:lineRule="auto"/>
              <w:rPr>
                <w:b/>
                <w:bCs/>
                <w:sz w:val="12"/>
                <w:szCs w:val="12"/>
              </w:rPr>
            </w:pPr>
            <w:r w:rsidRPr="007D62EF">
              <w:rPr>
                <w:b/>
                <w:bCs/>
                <w:sz w:val="12"/>
                <w:szCs w:val="12"/>
              </w:rPr>
              <w:t>9.597</w:t>
            </w:r>
          </w:p>
        </w:tc>
        <w:tc>
          <w:tcPr>
            <w:tcW w:w="888" w:type="pct"/>
            <w:shd w:val="clear" w:color="auto" w:fill="F2F2F2" w:themeFill="background1" w:themeFillShade="F2"/>
            <w:vAlign w:val="center"/>
          </w:tcPr>
          <w:p w:rsidRPr="007D62EF" w:rsidR="00364C14" w:rsidP="0086740D" w:rsidRDefault="00364C14" w14:paraId="188B72FC" w14:textId="77777777">
            <w:pPr>
              <w:spacing w:line="276" w:lineRule="auto"/>
              <w:rPr>
                <w:b/>
                <w:bCs/>
                <w:sz w:val="12"/>
                <w:szCs w:val="12"/>
              </w:rPr>
            </w:pPr>
            <w:r w:rsidRPr="007D62EF">
              <w:rPr>
                <w:b/>
                <w:bCs/>
                <w:sz w:val="12"/>
                <w:szCs w:val="12"/>
              </w:rPr>
              <w:t>36.837.948</w:t>
            </w:r>
          </w:p>
        </w:tc>
      </w:tr>
      <w:tr w:rsidR="00C53781" w:rsidTr="00BB540C" w14:paraId="4D8085B8" w14:textId="77777777">
        <w:trPr>
          <w:trHeight w:val="411"/>
        </w:trPr>
        <w:tc>
          <w:tcPr>
            <w:tcW w:w="578" w:type="pct"/>
            <w:vMerge w:val="restart"/>
          </w:tcPr>
          <w:p w:rsidRPr="002D291D" w:rsidR="00364C14" w:rsidP="0086740D" w:rsidRDefault="00364C14" w14:paraId="411AF032" w14:textId="77777777">
            <w:pPr>
              <w:spacing w:line="276" w:lineRule="auto"/>
              <w:rPr>
                <w:sz w:val="12"/>
                <w:szCs w:val="12"/>
              </w:rPr>
            </w:pPr>
            <w:r w:rsidRPr="002D291D">
              <w:rPr>
                <w:sz w:val="12"/>
                <w:szCs w:val="12"/>
              </w:rPr>
              <w:t>Migrerend werknemer</w:t>
            </w:r>
          </w:p>
        </w:tc>
        <w:tc>
          <w:tcPr>
            <w:tcW w:w="411" w:type="pct"/>
            <w:vAlign w:val="center"/>
          </w:tcPr>
          <w:p w:rsidRPr="007D62EF" w:rsidR="00364C14" w:rsidP="0086740D" w:rsidRDefault="00364C14" w14:paraId="417D8CA6" w14:textId="77777777">
            <w:pPr>
              <w:spacing w:line="276" w:lineRule="auto"/>
              <w:rPr>
                <w:b/>
                <w:bCs/>
                <w:sz w:val="12"/>
                <w:szCs w:val="12"/>
              </w:rPr>
            </w:pPr>
            <w:r>
              <w:rPr>
                <w:sz w:val="12"/>
                <w:szCs w:val="12"/>
              </w:rPr>
              <w:t>AB</w:t>
            </w:r>
          </w:p>
        </w:tc>
        <w:tc>
          <w:tcPr>
            <w:tcW w:w="497" w:type="pct"/>
            <w:vAlign w:val="center"/>
          </w:tcPr>
          <w:p w:rsidRPr="007D62EF" w:rsidR="00364C14" w:rsidP="0086740D" w:rsidRDefault="00364C14" w14:paraId="08899805" w14:textId="77777777">
            <w:pPr>
              <w:spacing w:line="276" w:lineRule="auto"/>
              <w:rPr>
                <w:b/>
                <w:bCs/>
                <w:sz w:val="12"/>
                <w:szCs w:val="12"/>
              </w:rPr>
            </w:pPr>
            <w:r w:rsidRPr="006B440F">
              <w:rPr>
                <w:sz w:val="12"/>
                <w:szCs w:val="12"/>
              </w:rPr>
              <w:t>6.454</w:t>
            </w:r>
          </w:p>
        </w:tc>
        <w:tc>
          <w:tcPr>
            <w:tcW w:w="864" w:type="pct"/>
            <w:vAlign w:val="center"/>
          </w:tcPr>
          <w:p w:rsidRPr="007D62EF" w:rsidR="00364C14" w:rsidP="0086740D" w:rsidRDefault="00364C14" w14:paraId="2199B7E2" w14:textId="77777777">
            <w:pPr>
              <w:spacing w:line="276" w:lineRule="auto"/>
              <w:rPr>
                <w:b/>
                <w:bCs/>
                <w:sz w:val="12"/>
                <w:szCs w:val="12"/>
              </w:rPr>
            </w:pPr>
            <w:r w:rsidRPr="006B440F">
              <w:rPr>
                <w:sz w:val="12"/>
                <w:szCs w:val="12"/>
              </w:rPr>
              <w:t>17.693.805</w:t>
            </w:r>
          </w:p>
        </w:tc>
        <w:tc>
          <w:tcPr>
            <w:tcW w:w="497" w:type="pct"/>
            <w:vAlign w:val="center"/>
          </w:tcPr>
          <w:p w:rsidRPr="007D62EF" w:rsidR="00364C14" w:rsidP="0086740D" w:rsidRDefault="00364C14" w14:paraId="21301832" w14:textId="77777777">
            <w:pPr>
              <w:spacing w:line="276" w:lineRule="auto"/>
              <w:rPr>
                <w:b/>
                <w:bCs/>
                <w:sz w:val="12"/>
                <w:szCs w:val="12"/>
              </w:rPr>
            </w:pPr>
            <w:r w:rsidRPr="006B440F">
              <w:rPr>
                <w:sz w:val="12"/>
                <w:szCs w:val="12"/>
              </w:rPr>
              <w:t>9.690</w:t>
            </w:r>
          </w:p>
        </w:tc>
        <w:tc>
          <w:tcPr>
            <w:tcW w:w="809" w:type="pct"/>
            <w:vAlign w:val="center"/>
          </w:tcPr>
          <w:p w:rsidRPr="007D62EF" w:rsidR="00364C14" w:rsidP="0086740D" w:rsidRDefault="00364C14" w14:paraId="4D1CE764" w14:textId="77777777">
            <w:pPr>
              <w:spacing w:line="276" w:lineRule="auto"/>
              <w:rPr>
                <w:b/>
                <w:bCs/>
                <w:sz w:val="12"/>
                <w:szCs w:val="12"/>
              </w:rPr>
            </w:pPr>
            <w:r w:rsidRPr="006B440F">
              <w:rPr>
                <w:sz w:val="12"/>
                <w:szCs w:val="12"/>
              </w:rPr>
              <w:t>26.543.173</w:t>
            </w:r>
          </w:p>
        </w:tc>
        <w:tc>
          <w:tcPr>
            <w:tcW w:w="457" w:type="pct"/>
            <w:vAlign w:val="center"/>
          </w:tcPr>
          <w:p w:rsidRPr="007D62EF" w:rsidR="00364C14" w:rsidP="0086740D" w:rsidRDefault="00364C14" w14:paraId="68E5CE21" w14:textId="77777777">
            <w:pPr>
              <w:spacing w:line="276" w:lineRule="auto"/>
              <w:rPr>
                <w:b/>
                <w:bCs/>
                <w:sz w:val="12"/>
                <w:szCs w:val="12"/>
              </w:rPr>
            </w:pPr>
            <w:r w:rsidRPr="006B440F">
              <w:rPr>
                <w:sz w:val="12"/>
                <w:szCs w:val="12"/>
              </w:rPr>
              <w:t>12.515</w:t>
            </w:r>
          </w:p>
        </w:tc>
        <w:tc>
          <w:tcPr>
            <w:tcW w:w="888" w:type="pct"/>
            <w:vAlign w:val="center"/>
          </w:tcPr>
          <w:p w:rsidRPr="007D62EF" w:rsidR="00364C14" w:rsidP="0086740D" w:rsidRDefault="00364C14" w14:paraId="5321A9EB" w14:textId="77777777">
            <w:pPr>
              <w:spacing w:line="276" w:lineRule="auto"/>
              <w:rPr>
                <w:b/>
                <w:bCs/>
                <w:sz w:val="12"/>
                <w:szCs w:val="12"/>
              </w:rPr>
            </w:pPr>
            <w:r w:rsidRPr="006B440F">
              <w:rPr>
                <w:sz w:val="12"/>
                <w:szCs w:val="12"/>
              </w:rPr>
              <w:t>41.469.563</w:t>
            </w:r>
          </w:p>
        </w:tc>
      </w:tr>
      <w:tr w:rsidR="00C53781" w:rsidTr="00BB540C" w14:paraId="55FAB65C" w14:textId="77777777">
        <w:trPr>
          <w:trHeight w:val="411"/>
        </w:trPr>
        <w:tc>
          <w:tcPr>
            <w:tcW w:w="578" w:type="pct"/>
            <w:vMerge/>
          </w:tcPr>
          <w:p w:rsidRPr="007D62EF" w:rsidR="00364C14" w:rsidP="0086740D" w:rsidRDefault="00364C14" w14:paraId="5696CC84" w14:textId="77777777">
            <w:pPr>
              <w:spacing w:line="276" w:lineRule="auto"/>
              <w:rPr>
                <w:b/>
                <w:bCs/>
                <w:sz w:val="12"/>
                <w:szCs w:val="12"/>
              </w:rPr>
            </w:pPr>
          </w:p>
        </w:tc>
        <w:tc>
          <w:tcPr>
            <w:tcW w:w="411" w:type="pct"/>
            <w:vAlign w:val="center"/>
          </w:tcPr>
          <w:p w:rsidRPr="007D62EF" w:rsidR="00364C14" w:rsidP="0086740D" w:rsidRDefault="00364C14" w14:paraId="7230DAA3" w14:textId="77777777">
            <w:pPr>
              <w:spacing w:line="276" w:lineRule="auto"/>
              <w:rPr>
                <w:b/>
                <w:bCs/>
                <w:sz w:val="12"/>
                <w:szCs w:val="12"/>
              </w:rPr>
            </w:pPr>
            <w:r>
              <w:rPr>
                <w:sz w:val="12"/>
                <w:szCs w:val="12"/>
              </w:rPr>
              <w:t>BB</w:t>
            </w:r>
          </w:p>
        </w:tc>
        <w:tc>
          <w:tcPr>
            <w:tcW w:w="497" w:type="pct"/>
            <w:vAlign w:val="center"/>
          </w:tcPr>
          <w:p w:rsidRPr="007D62EF" w:rsidR="00364C14" w:rsidP="0086740D" w:rsidRDefault="00364C14" w14:paraId="574094A0" w14:textId="77777777">
            <w:pPr>
              <w:spacing w:line="276" w:lineRule="auto"/>
              <w:rPr>
                <w:b/>
                <w:bCs/>
                <w:sz w:val="12"/>
                <w:szCs w:val="12"/>
              </w:rPr>
            </w:pPr>
            <w:r w:rsidRPr="006B440F">
              <w:rPr>
                <w:sz w:val="12"/>
                <w:szCs w:val="12"/>
              </w:rPr>
              <w:t>3</w:t>
            </w:r>
          </w:p>
        </w:tc>
        <w:tc>
          <w:tcPr>
            <w:tcW w:w="864" w:type="pct"/>
            <w:vAlign w:val="center"/>
          </w:tcPr>
          <w:p w:rsidRPr="007D62EF" w:rsidR="00364C14" w:rsidP="0086740D" w:rsidRDefault="00364C14" w14:paraId="6392B03D" w14:textId="77777777">
            <w:pPr>
              <w:spacing w:line="276" w:lineRule="auto"/>
              <w:rPr>
                <w:b/>
                <w:bCs/>
                <w:sz w:val="12"/>
                <w:szCs w:val="12"/>
              </w:rPr>
            </w:pPr>
            <w:r w:rsidRPr="006B440F">
              <w:rPr>
                <w:sz w:val="12"/>
                <w:szCs w:val="12"/>
              </w:rPr>
              <w:t>8.126</w:t>
            </w:r>
          </w:p>
        </w:tc>
        <w:tc>
          <w:tcPr>
            <w:tcW w:w="497" w:type="pct"/>
            <w:vAlign w:val="center"/>
          </w:tcPr>
          <w:p w:rsidRPr="007D62EF" w:rsidR="00364C14" w:rsidP="0086740D" w:rsidRDefault="00364C14" w14:paraId="0D800681" w14:textId="77777777">
            <w:pPr>
              <w:spacing w:line="276" w:lineRule="auto"/>
              <w:rPr>
                <w:b/>
                <w:bCs/>
                <w:sz w:val="12"/>
                <w:szCs w:val="12"/>
              </w:rPr>
            </w:pPr>
            <w:r w:rsidRPr="006B440F">
              <w:rPr>
                <w:sz w:val="12"/>
                <w:szCs w:val="12"/>
              </w:rPr>
              <w:t>17.124</w:t>
            </w:r>
          </w:p>
        </w:tc>
        <w:tc>
          <w:tcPr>
            <w:tcW w:w="809" w:type="pct"/>
            <w:vAlign w:val="center"/>
          </w:tcPr>
          <w:p w:rsidRPr="007D62EF" w:rsidR="00364C14" w:rsidP="0086740D" w:rsidRDefault="00364C14" w14:paraId="03863D63" w14:textId="77777777">
            <w:pPr>
              <w:spacing w:line="276" w:lineRule="auto"/>
              <w:rPr>
                <w:b/>
                <w:bCs/>
                <w:sz w:val="12"/>
                <w:szCs w:val="12"/>
              </w:rPr>
            </w:pPr>
            <w:r w:rsidRPr="006B440F">
              <w:rPr>
                <w:sz w:val="12"/>
                <w:szCs w:val="12"/>
              </w:rPr>
              <w:t>23.948.228</w:t>
            </w:r>
          </w:p>
        </w:tc>
        <w:tc>
          <w:tcPr>
            <w:tcW w:w="457" w:type="pct"/>
            <w:vAlign w:val="center"/>
          </w:tcPr>
          <w:p w:rsidRPr="007D62EF" w:rsidR="00364C14" w:rsidP="0086740D" w:rsidRDefault="00364C14" w14:paraId="4FEDAD1F" w14:textId="77777777">
            <w:pPr>
              <w:spacing w:line="276" w:lineRule="auto"/>
              <w:rPr>
                <w:b/>
                <w:bCs/>
                <w:sz w:val="12"/>
                <w:szCs w:val="12"/>
              </w:rPr>
            </w:pPr>
            <w:r w:rsidRPr="006B440F">
              <w:rPr>
                <w:sz w:val="12"/>
                <w:szCs w:val="12"/>
              </w:rPr>
              <w:t>29.566</w:t>
            </w:r>
          </w:p>
        </w:tc>
        <w:tc>
          <w:tcPr>
            <w:tcW w:w="888" w:type="pct"/>
            <w:vAlign w:val="center"/>
          </w:tcPr>
          <w:p w:rsidRPr="007D62EF" w:rsidR="00364C14" w:rsidP="0086740D" w:rsidRDefault="00364C14" w14:paraId="6C1753E7" w14:textId="77777777">
            <w:pPr>
              <w:spacing w:line="276" w:lineRule="auto"/>
              <w:rPr>
                <w:b/>
                <w:bCs/>
                <w:sz w:val="12"/>
                <w:szCs w:val="12"/>
              </w:rPr>
            </w:pPr>
            <w:r w:rsidRPr="006B440F">
              <w:rPr>
                <w:sz w:val="12"/>
                <w:szCs w:val="12"/>
              </w:rPr>
              <w:t>86.214.998</w:t>
            </w:r>
          </w:p>
        </w:tc>
      </w:tr>
      <w:tr w:rsidR="00C53781" w:rsidTr="00BB540C" w14:paraId="5DC56EC0" w14:textId="77777777">
        <w:trPr>
          <w:trHeight w:val="411"/>
        </w:trPr>
        <w:tc>
          <w:tcPr>
            <w:tcW w:w="578" w:type="pct"/>
            <w:vMerge/>
          </w:tcPr>
          <w:p w:rsidRPr="007D62EF" w:rsidR="00364C14" w:rsidP="0086740D" w:rsidRDefault="00364C14" w14:paraId="0E32C190" w14:textId="77777777">
            <w:pPr>
              <w:spacing w:line="276" w:lineRule="auto"/>
              <w:rPr>
                <w:b/>
                <w:bCs/>
                <w:sz w:val="12"/>
                <w:szCs w:val="12"/>
              </w:rPr>
            </w:pPr>
          </w:p>
        </w:tc>
        <w:tc>
          <w:tcPr>
            <w:tcW w:w="411" w:type="pct"/>
            <w:vAlign w:val="center"/>
          </w:tcPr>
          <w:p w:rsidRPr="007D62EF" w:rsidR="00364C14" w:rsidP="0086740D" w:rsidRDefault="00364C14" w14:paraId="4C38787E" w14:textId="77777777">
            <w:pPr>
              <w:spacing w:line="276" w:lineRule="auto"/>
              <w:rPr>
                <w:b/>
                <w:bCs/>
                <w:sz w:val="12"/>
                <w:szCs w:val="12"/>
              </w:rPr>
            </w:pPr>
            <w:r>
              <w:rPr>
                <w:sz w:val="12"/>
                <w:szCs w:val="12"/>
              </w:rPr>
              <w:t>RV</w:t>
            </w:r>
          </w:p>
        </w:tc>
        <w:tc>
          <w:tcPr>
            <w:tcW w:w="497" w:type="pct"/>
            <w:vAlign w:val="center"/>
          </w:tcPr>
          <w:p w:rsidRPr="007D62EF" w:rsidR="00364C14" w:rsidP="0086740D" w:rsidRDefault="00364C14" w14:paraId="2D73690B" w14:textId="77777777">
            <w:pPr>
              <w:spacing w:line="276" w:lineRule="auto"/>
              <w:rPr>
                <w:b/>
                <w:bCs/>
                <w:sz w:val="12"/>
                <w:szCs w:val="12"/>
              </w:rPr>
            </w:pPr>
            <w:r w:rsidRPr="006B440F">
              <w:rPr>
                <w:sz w:val="12"/>
                <w:szCs w:val="12"/>
              </w:rPr>
              <w:t>9.580</w:t>
            </w:r>
          </w:p>
        </w:tc>
        <w:tc>
          <w:tcPr>
            <w:tcW w:w="864" w:type="pct"/>
            <w:vAlign w:val="center"/>
          </w:tcPr>
          <w:p w:rsidRPr="007D62EF" w:rsidR="00364C14" w:rsidP="0086740D" w:rsidRDefault="00364C14" w14:paraId="3F919AB8" w14:textId="77777777">
            <w:pPr>
              <w:spacing w:line="276" w:lineRule="auto"/>
              <w:rPr>
                <w:b/>
                <w:bCs/>
                <w:sz w:val="12"/>
                <w:szCs w:val="12"/>
              </w:rPr>
            </w:pPr>
            <w:r w:rsidRPr="006B440F">
              <w:rPr>
                <w:sz w:val="12"/>
                <w:szCs w:val="12"/>
              </w:rPr>
              <w:t>6.475.606</w:t>
            </w:r>
          </w:p>
        </w:tc>
        <w:tc>
          <w:tcPr>
            <w:tcW w:w="497" w:type="pct"/>
            <w:vAlign w:val="center"/>
          </w:tcPr>
          <w:p w:rsidRPr="007D62EF" w:rsidR="00364C14" w:rsidP="0086740D" w:rsidRDefault="00364C14" w14:paraId="4FE968DF" w14:textId="77777777">
            <w:pPr>
              <w:spacing w:line="276" w:lineRule="auto"/>
              <w:rPr>
                <w:b/>
                <w:bCs/>
                <w:sz w:val="12"/>
                <w:szCs w:val="12"/>
              </w:rPr>
            </w:pPr>
            <w:r w:rsidRPr="006B440F">
              <w:rPr>
                <w:sz w:val="12"/>
                <w:szCs w:val="12"/>
              </w:rPr>
              <w:t>17.388</w:t>
            </w:r>
          </w:p>
        </w:tc>
        <w:tc>
          <w:tcPr>
            <w:tcW w:w="809" w:type="pct"/>
            <w:vAlign w:val="center"/>
          </w:tcPr>
          <w:p w:rsidRPr="007D62EF" w:rsidR="00364C14" w:rsidP="0086740D" w:rsidRDefault="00364C14" w14:paraId="48691FA8" w14:textId="77777777">
            <w:pPr>
              <w:spacing w:line="276" w:lineRule="auto"/>
              <w:rPr>
                <w:b/>
                <w:bCs/>
                <w:sz w:val="12"/>
                <w:szCs w:val="12"/>
              </w:rPr>
            </w:pPr>
            <w:r w:rsidRPr="006B440F">
              <w:rPr>
                <w:sz w:val="12"/>
                <w:szCs w:val="12"/>
              </w:rPr>
              <w:t>12.530.125</w:t>
            </w:r>
          </w:p>
        </w:tc>
        <w:tc>
          <w:tcPr>
            <w:tcW w:w="457" w:type="pct"/>
            <w:vAlign w:val="center"/>
          </w:tcPr>
          <w:p w:rsidRPr="007D62EF" w:rsidR="00364C14" w:rsidP="0086740D" w:rsidRDefault="00364C14" w14:paraId="03F05869" w14:textId="77777777">
            <w:pPr>
              <w:spacing w:line="276" w:lineRule="auto"/>
              <w:rPr>
                <w:b/>
                <w:bCs/>
                <w:sz w:val="12"/>
                <w:szCs w:val="12"/>
              </w:rPr>
            </w:pPr>
            <w:r w:rsidRPr="006B440F">
              <w:rPr>
                <w:sz w:val="12"/>
                <w:szCs w:val="12"/>
              </w:rPr>
              <w:t>26.725</w:t>
            </w:r>
          </w:p>
        </w:tc>
        <w:tc>
          <w:tcPr>
            <w:tcW w:w="888" w:type="pct"/>
            <w:vAlign w:val="center"/>
          </w:tcPr>
          <w:p w:rsidRPr="007D62EF" w:rsidR="00364C14" w:rsidP="0086740D" w:rsidRDefault="00364C14" w14:paraId="367C6898" w14:textId="77777777">
            <w:pPr>
              <w:spacing w:line="276" w:lineRule="auto"/>
              <w:rPr>
                <w:b/>
                <w:bCs/>
                <w:sz w:val="12"/>
                <w:szCs w:val="12"/>
              </w:rPr>
            </w:pPr>
            <w:r w:rsidRPr="006B440F">
              <w:rPr>
                <w:sz w:val="12"/>
                <w:szCs w:val="12"/>
              </w:rPr>
              <w:t>21.136.431</w:t>
            </w:r>
          </w:p>
        </w:tc>
      </w:tr>
      <w:tr w:rsidR="00C53781" w:rsidTr="00BB540C" w14:paraId="741DFD48" w14:textId="77777777">
        <w:trPr>
          <w:trHeight w:val="411"/>
        </w:trPr>
        <w:tc>
          <w:tcPr>
            <w:tcW w:w="578" w:type="pct"/>
            <w:vMerge/>
          </w:tcPr>
          <w:p w:rsidRPr="007D62EF" w:rsidR="00364C14" w:rsidP="0086740D" w:rsidRDefault="00364C14" w14:paraId="7A36AC4A" w14:textId="77777777">
            <w:pPr>
              <w:spacing w:line="276" w:lineRule="auto"/>
              <w:rPr>
                <w:b/>
                <w:bCs/>
                <w:sz w:val="12"/>
                <w:szCs w:val="12"/>
              </w:rPr>
            </w:pPr>
          </w:p>
        </w:tc>
        <w:tc>
          <w:tcPr>
            <w:tcW w:w="411" w:type="pct"/>
            <w:vAlign w:val="center"/>
          </w:tcPr>
          <w:p w:rsidRPr="007D62EF" w:rsidR="00364C14" w:rsidP="0086740D" w:rsidRDefault="00364C14" w14:paraId="1E7C8C58" w14:textId="77777777">
            <w:pPr>
              <w:spacing w:line="276" w:lineRule="auto"/>
              <w:rPr>
                <w:b/>
                <w:bCs/>
                <w:sz w:val="12"/>
                <w:szCs w:val="12"/>
              </w:rPr>
            </w:pPr>
            <w:r>
              <w:rPr>
                <w:sz w:val="12"/>
                <w:szCs w:val="12"/>
              </w:rPr>
              <w:t>Overig</w:t>
            </w:r>
          </w:p>
        </w:tc>
        <w:tc>
          <w:tcPr>
            <w:tcW w:w="497" w:type="pct"/>
            <w:vAlign w:val="center"/>
          </w:tcPr>
          <w:p w:rsidRPr="007D62EF" w:rsidR="00364C14" w:rsidP="0086740D" w:rsidRDefault="00364C14" w14:paraId="2B20D061" w14:textId="77777777">
            <w:pPr>
              <w:spacing w:line="276" w:lineRule="auto"/>
              <w:rPr>
                <w:b/>
                <w:bCs/>
                <w:sz w:val="12"/>
                <w:szCs w:val="12"/>
              </w:rPr>
            </w:pPr>
            <w:r w:rsidRPr="006B440F">
              <w:rPr>
                <w:sz w:val="12"/>
                <w:szCs w:val="12"/>
              </w:rPr>
              <w:t>7</w:t>
            </w:r>
          </w:p>
        </w:tc>
        <w:tc>
          <w:tcPr>
            <w:tcW w:w="864" w:type="pct"/>
            <w:vAlign w:val="center"/>
          </w:tcPr>
          <w:p w:rsidRPr="007D62EF" w:rsidR="00364C14" w:rsidP="0086740D" w:rsidRDefault="00364C14" w14:paraId="24E6ECDC" w14:textId="77777777">
            <w:pPr>
              <w:spacing w:line="276" w:lineRule="auto"/>
              <w:rPr>
                <w:b/>
                <w:bCs/>
                <w:sz w:val="12"/>
                <w:szCs w:val="12"/>
              </w:rPr>
            </w:pPr>
            <w:r w:rsidRPr="006B440F">
              <w:rPr>
                <w:sz w:val="12"/>
                <w:szCs w:val="12"/>
              </w:rPr>
              <w:t>12.146</w:t>
            </w:r>
          </w:p>
        </w:tc>
        <w:tc>
          <w:tcPr>
            <w:tcW w:w="497" w:type="pct"/>
            <w:vAlign w:val="center"/>
          </w:tcPr>
          <w:p w:rsidRPr="007D62EF" w:rsidR="00364C14" w:rsidP="0086740D" w:rsidRDefault="00364C14" w14:paraId="4A1982AC" w14:textId="77777777">
            <w:pPr>
              <w:spacing w:line="276" w:lineRule="auto"/>
              <w:rPr>
                <w:b/>
                <w:bCs/>
                <w:sz w:val="12"/>
                <w:szCs w:val="12"/>
              </w:rPr>
            </w:pPr>
            <w:r w:rsidRPr="006B440F">
              <w:rPr>
                <w:sz w:val="12"/>
                <w:szCs w:val="12"/>
              </w:rPr>
              <w:t>8</w:t>
            </w:r>
          </w:p>
        </w:tc>
        <w:tc>
          <w:tcPr>
            <w:tcW w:w="809" w:type="pct"/>
            <w:vAlign w:val="center"/>
          </w:tcPr>
          <w:p w:rsidRPr="007D62EF" w:rsidR="00364C14" w:rsidP="0086740D" w:rsidRDefault="00364C14" w14:paraId="4FB6D6A7" w14:textId="77777777">
            <w:pPr>
              <w:spacing w:line="276" w:lineRule="auto"/>
              <w:rPr>
                <w:b/>
                <w:bCs/>
                <w:sz w:val="12"/>
                <w:szCs w:val="12"/>
              </w:rPr>
            </w:pPr>
            <w:r w:rsidRPr="006B440F">
              <w:rPr>
                <w:sz w:val="12"/>
                <w:szCs w:val="12"/>
              </w:rPr>
              <w:t>14.134</w:t>
            </w:r>
          </w:p>
        </w:tc>
        <w:tc>
          <w:tcPr>
            <w:tcW w:w="457" w:type="pct"/>
            <w:vAlign w:val="center"/>
          </w:tcPr>
          <w:p w:rsidRPr="007D62EF" w:rsidR="00364C14" w:rsidP="0086740D" w:rsidRDefault="00364C14" w14:paraId="34559A2A" w14:textId="77777777">
            <w:pPr>
              <w:spacing w:line="276" w:lineRule="auto"/>
              <w:rPr>
                <w:b/>
                <w:bCs/>
                <w:sz w:val="12"/>
                <w:szCs w:val="12"/>
              </w:rPr>
            </w:pPr>
            <w:r w:rsidRPr="006B440F">
              <w:rPr>
                <w:sz w:val="12"/>
                <w:szCs w:val="12"/>
              </w:rPr>
              <w:t>10</w:t>
            </w:r>
          </w:p>
        </w:tc>
        <w:tc>
          <w:tcPr>
            <w:tcW w:w="888" w:type="pct"/>
            <w:vAlign w:val="center"/>
          </w:tcPr>
          <w:p w:rsidRPr="007D62EF" w:rsidR="00364C14" w:rsidP="0086740D" w:rsidRDefault="00364C14" w14:paraId="5307FA66" w14:textId="77777777">
            <w:pPr>
              <w:spacing w:line="276" w:lineRule="auto"/>
              <w:rPr>
                <w:b/>
                <w:bCs/>
                <w:sz w:val="12"/>
                <w:szCs w:val="12"/>
              </w:rPr>
            </w:pPr>
            <w:r w:rsidRPr="006B440F">
              <w:rPr>
                <w:sz w:val="12"/>
                <w:szCs w:val="12"/>
              </w:rPr>
              <w:t>16.691</w:t>
            </w:r>
          </w:p>
        </w:tc>
      </w:tr>
      <w:tr w:rsidR="000A46EB" w:rsidTr="00BB540C" w14:paraId="1F0C6F54" w14:textId="77777777">
        <w:trPr>
          <w:trHeight w:val="411"/>
        </w:trPr>
        <w:tc>
          <w:tcPr>
            <w:tcW w:w="578" w:type="pct"/>
            <w:vMerge/>
          </w:tcPr>
          <w:p w:rsidRPr="007D62EF" w:rsidR="00364C14" w:rsidP="0086740D" w:rsidRDefault="00364C14" w14:paraId="3D8AB861" w14:textId="77777777">
            <w:pPr>
              <w:spacing w:line="276" w:lineRule="auto"/>
              <w:rPr>
                <w:b/>
                <w:bCs/>
                <w:sz w:val="12"/>
                <w:szCs w:val="12"/>
              </w:rPr>
            </w:pPr>
          </w:p>
        </w:tc>
        <w:tc>
          <w:tcPr>
            <w:tcW w:w="411" w:type="pct"/>
            <w:shd w:val="clear" w:color="auto" w:fill="F2F2F2" w:themeFill="background1" w:themeFillShade="F2"/>
            <w:vAlign w:val="center"/>
          </w:tcPr>
          <w:p w:rsidRPr="007D62EF" w:rsidR="00364C14" w:rsidP="0086740D" w:rsidRDefault="00364C14" w14:paraId="0DD03995" w14:textId="77777777">
            <w:pPr>
              <w:spacing w:line="276" w:lineRule="auto"/>
              <w:rPr>
                <w:b/>
                <w:bCs/>
                <w:sz w:val="12"/>
                <w:szCs w:val="12"/>
              </w:rPr>
            </w:pPr>
            <w:r w:rsidRPr="007D62EF">
              <w:rPr>
                <w:b/>
                <w:bCs/>
                <w:sz w:val="12"/>
                <w:szCs w:val="12"/>
              </w:rPr>
              <w:t>Totaal</w:t>
            </w:r>
          </w:p>
        </w:tc>
        <w:tc>
          <w:tcPr>
            <w:tcW w:w="497" w:type="pct"/>
            <w:shd w:val="clear" w:color="auto" w:fill="F2F2F2" w:themeFill="background1" w:themeFillShade="F2"/>
            <w:vAlign w:val="center"/>
          </w:tcPr>
          <w:p w:rsidRPr="007D62EF" w:rsidR="00364C14" w:rsidP="0086740D" w:rsidRDefault="00364C14" w14:paraId="083DC287" w14:textId="77777777">
            <w:pPr>
              <w:spacing w:line="276" w:lineRule="auto"/>
              <w:rPr>
                <w:b/>
                <w:bCs/>
                <w:sz w:val="12"/>
                <w:szCs w:val="12"/>
              </w:rPr>
            </w:pPr>
            <w:r w:rsidRPr="007D62EF">
              <w:rPr>
                <w:b/>
                <w:bCs/>
                <w:sz w:val="12"/>
                <w:szCs w:val="12"/>
              </w:rPr>
              <w:t>10.618</w:t>
            </w:r>
          </w:p>
        </w:tc>
        <w:tc>
          <w:tcPr>
            <w:tcW w:w="864" w:type="pct"/>
            <w:shd w:val="clear" w:color="auto" w:fill="F2F2F2" w:themeFill="background1" w:themeFillShade="F2"/>
            <w:vAlign w:val="center"/>
          </w:tcPr>
          <w:p w:rsidRPr="007D62EF" w:rsidR="00364C14" w:rsidP="0086740D" w:rsidRDefault="00364C14" w14:paraId="445C6DC4" w14:textId="77777777">
            <w:pPr>
              <w:spacing w:line="276" w:lineRule="auto"/>
              <w:rPr>
                <w:b/>
                <w:bCs/>
                <w:sz w:val="12"/>
                <w:szCs w:val="12"/>
              </w:rPr>
            </w:pPr>
            <w:r w:rsidRPr="007D62EF">
              <w:rPr>
                <w:b/>
                <w:bCs/>
                <w:sz w:val="12"/>
                <w:szCs w:val="12"/>
              </w:rPr>
              <w:t>24.189.682</w:t>
            </w:r>
          </w:p>
        </w:tc>
        <w:tc>
          <w:tcPr>
            <w:tcW w:w="497" w:type="pct"/>
            <w:shd w:val="clear" w:color="auto" w:fill="F2F2F2" w:themeFill="background1" w:themeFillShade="F2"/>
            <w:vAlign w:val="center"/>
          </w:tcPr>
          <w:p w:rsidRPr="007D62EF" w:rsidR="00364C14" w:rsidP="0086740D" w:rsidRDefault="00364C14" w14:paraId="28EBBEF0" w14:textId="77777777">
            <w:pPr>
              <w:spacing w:line="276" w:lineRule="auto"/>
              <w:rPr>
                <w:b/>
                <w:bCs/>
                <w:sz w:val="12"/>
                <w:szCs w:val="12"/>
              </w:rPr>
            </w:pPr>
            <w:r w:rsidRPr="007D62EF">
              <w:rPr>
                <w:b/>
                <w:bCs/>
                <w:sz w:val="12"/>
                <w:szCs w:val="12"/>
              </w:rPr>
              <w:t>20.932</w:t>
            </w:r>
          </w:p>
        </w:tc>
        <w:tc>
          <w:tcPr>
            <w:tcW w:w="809" w:type="pct"/>
            <w:shd w:val="clear" w:color="auto" w:fill="F2F2F2" w:themeFill="background1" w:themeFillShade="F2"/>
            <w:vAlign w:val="center"/>
          </w:tcPr>
          <w:p w:rsidRPr="007D62EF" w:rsidR="00364C14" w:rsidP="0086740D" w:rsidRDefault="00364C14" w14:paraId="7708C2A5" w14:textId="77777777">
            <w:pPr>
              <w:spacing w:line="276" w:lineRule="auto"/>
              <w:rPr>
                <w:b/>
                <w:bCs/>
                <w:sz w:val="12"/>
                <w:szCs w:val="12"/>
              </w:rPr>
            </w:pPr>
            <w:r w:rsidRPr="007D62EF">
              <w:rPr>
                <w:b/>
                <w:bCs/>
                <w:sz w:val="12"/>
                <w:szCs w:val="12"/>
              </w:rPr>
              <w:t>63.035.660</w:t>
            </w:r>
          </w:p>
        </w:tc>
        <w:tc>
          <w:tcPr>
            <w:tcW w:w="457" w:type="pct"/>
            <w:shd w:val="clear" w:color="auto" w:fill="F2F2F2" w:themeFill="background1" w:themeFillShade="F2"/>
            <w:vAlign w:val="center"/>
          </w:tcPr>
          <w:p w:rsidRPr="00801AFC" w:rsidR="00364C14" w:rsidP="0086740D" w:rsidRDefault="00364C14" w14:paraId="26201C65" w14:textId="77777777">
            <w:pPr>
              <w:spacing w:line="276" w:lineRule="auto"/>
              <w:rPr>
                <w:b/>
                <w:bCs/>
                <w:sz w:val="12"/>
                <w:szCs w:val="12"/>
              </w:rPr>
            </w:pPr>
            <w:r w:rsidRPr="007D62EF">
              <w:rPr>
                <w:b/>
                <w:bCs/>
                <w:sz w:val="12"/>
                <w:szCs w:val="12"/>
              </w:rPr>
              <w:t>30.073</w:t>
            </w:r>
          </w:p>
        </w:tc>
        <w:tc>
          <w:tcPr>
            <w:tcW w:w="888" w:type="pct"/>
            <w:shd w:val="clear" w:color="auto" w:fill="F2F2F2" w:themeFill="background1" w:themeFillShade="F2"/>
            <w:vAlign w:val="center"/>
          </w:tcPr>
          <w:p w:rsidRPr="007D62EF" w:rsidR="00364C14" w:rsidP="0086740D" w:rsidRDefault="00364C14" w14:paraId="38EE0A43" w14:textId="77777777">
            <w:pPr>
              <w:spacing w:line="276" w:lineRule="auto"/>
              <w:rPr>
                <w:b/>
                <w:bCs/>
                <w:sz w:val="12"/>
                <w:szCs w:val="12"/>
              </w:rPr>
            </w:pPr>
            <w:r w:rsidRPr="007D62EF">
              <w:rPr>
                <w:b/>
                <w:bCs/>
                <w:sz w:val="12"/>
                <w:szCs w:val="12"/>
              </w:rPr>
              <w:t>148.837.683</w:t>
            </w:r>
          </w:p>
        </w:tc>
      </w:tr>
      <w:tr w:rsidR="000A46EB" w:rsidTr="00BB540C" w14:paraId="32828C23" w14:textId="77777777">
        <w:trPr>
          <w:trHeight w:val="411"/>
        </w:trPr>
        <w:tc>
          <w:tcPr>
            <w:tcW w:w="578" w:type="pct"/>
            <w:shd w:val="clear" w:color="auto" w:fill="D9D9D9" w:themeFill="background1" w:themeFillShade="D9"/>
          </w:tcPr>
          <w:p w:rsidRPr="007D62EF" w:rsidR="00364C14" w:rsidP="0086740D" w:rsidRDefault="00364C14" w14:paraId="3B17ABD4" w14:textId="77777777">
            <w:pPr>
              <w:spacing w:line="276" w:lineRule="auto"/>
              <w:rPr>
                <w:b/>
                <w:bCs/>
                <w:sz w:val="12"/>
                <w:szCs w:val="12"/>
              </w:rPr>
            </w:pPr>
            <w:r>
              <w:rPr>
                <w:b/>
                <w:bCs/>
                <w:sz w:val="12"/>
                <w:szCs w:val="12"/>
              </w:rPr>
              <w:t>Totaal</w:t>
            </w:r>
          </w:p>
        </w:tc>
        <w:tc>
          <w:tcPr>
            <w:tcW w:w="411" w:type="pct"/>
            <w:shd w:val="clear" w:color="auto" w:fill="D9D9D9" w:themeFill="background1" w:themeFillShade="D9"/>
            <w:vAlign w:val="center"/>
          </w:tcPr>
          <w:p w:rsidRPr="007D62EF" w:rsidR="00364C14" w:rsidP="0086740D" w:rsidRDefault="00364C14" w14:paraId="1627B457" w14:textId="77777777">
            <w:pPr>
              <w:spacing w:line="276" w:lineRule="auto"/>
              <w:rPr>
                <w:b/>
                <w:bCs/>
                <w:sz w:val="12"/>
                <w:szCs w:val="12"/>
              </w:rPr>
            </w:pPr>
          </w:p>
        </w:tc>
        <w:tc>
          <w:tcPr>
            <w:tcW w:w="497" w:type="pct"/>
            <w:shd w:val="clear" w:color="auto" w:fill="D9D9D9" w:themeFill="background1" w:themeFillShade="D9"/>
            <w:vAlign w:val="center"/>
          </w:tcPr>
          <w:p w:rsidRPr="007D62EF" w:rsidR="00364C14" w:rsidP="0086740D" w:rsidRDefault="00364C14" w14:paraId="0C3E3CA9" w14:textId="77777777">
            <w:pPr>
              <w:spacing w:line="276" w:lineRule="auto"/>
              <w:rPr>
                <w:b/>
                <w:bCs/>
                <w:sz w:val="12"/>
                <w:szCs w:val="12"/>
              </w:rPr>
            </w:pPr>
            <w:r w:rsidRPr="007D62EF">
              <w:rPr>
                <w:b/>
                <w:bCs/>
                <w:sz w:val="12"/>
                <w:szCs w:val="12"/>
              </w:rPr>
              <w:t>16.754</w:t>
            </w:r>
          </w:p>
        </w:tc>
        <w:tc>
          <w:tcPr>
            <w:tcW w:w="864" w:type="pct"/>
            <w:shd w:val="clear" w:color="auto" w:fill="D9D9D9" w:themeFill="background1" w:themeFillShade="D9"/>
            <w:vAlign w:val="center"/>
          </w:tcPr>
          <w:p w:rsidRPr="007D62EF" w:rsidR="00364C14" w:rsidP="0086740D" w:rsidRDefault="00364C14" w14:paraId="4AA9C4B5" w14:textId="77777777">
            <w:pPr>
              <w:spacing w:line="276" w:lineRule="auto"/>
              <w:rPr>
                <w:b/>
                <w:bCs/>
                <w:sz w:val="12"/>
                <w:szCs w:val="12"/>
              </w:rPr>
            </w:pPr>
            <w:r w:rsidRPr="007D62EF">
              <w:rPr>
                <w:b/>
                <w:bCs/>
                <w:sz w:val="12"/>
                <w:szCs w:val="12"/>
              </w:rPr>
              <w:t>36.080.292</w:t>
            </w:r>
          </w:p>
        </w:tc>
        <w:tc>
          <w:tcPr>
            <w:tcW w:w="497" w:type="pct"/>
            <w:shd w:val="clear" w:color="auto" w:fill="D9D9D9" w:themeFill="background1" w:themeFillShade="D9"/>
            <w:vAlign w:val="center"/>
          </w:tcPr>
          <w:p w:rsidRPr="007D62EF" w:rsidR="00364C14" w:rsidP="0086740D" w:rsidRDefault="00364C14" w14:paraId="6DEC3F20" w14:textId="77777777">
            <w:pPr>
              <w:spacing w:line="276" w:lineRule="auto"/>
              <w:rPr>
                <w:b/>
                <w:bCs/>
                <w:sz w:val="12"/>
                <w:szCs w:val="12"/>
              </w:rPr>
            </w:pPr>
            <w:r w:rsidRPr="007D62EF">
              <w:rPr>
                <w:b/>
                <w:bCs/>
                <w:sz w:val="12"/>
                <w:szCs w:val="12"/>
              </w:rPr>
              <w:t>28.286</w:t>
            </w:r>
          </w:p>
        </w:tc>
        <w:tc>
          <w:tcPr>
            <w:tcW w:w="809" w:type="pct"/>
            <w:shd w:val="clear" w:color="auto" w:fill="D9D9D9" w:themeFill="background1" w:themeFillShade="D9"/>
            <w:vAlign w:val="center"/>
          </w:tcPr>
          <w:p w:rsidRPr="007D62EF" w:rsidR="00364C14" w:rsidP="0086740D" w:rsidRDefault="00364C14" w14:paraId="1B3E93A2" w14:textId="77777777">
            <w:pPr>
              <w:spacing w:line="276" w:lineRule="auto"/>
              <w:rPr>
                <w:b/>
                <w:bCs/>
                <w:sz w:val="12"/>
                <w:szCs w:val="12"/>
              </w:rPr>
            </w:pPr>
            <w:r w:rsidRPr="007D62EF">
              <w:rPr>
                <w:b/>
                <w:bCs/>
                <w:sz w:val="12"/>
                <w:szCs w:val="12"/>
              </w:rPr>
              <w:t>83.045.165</w:t>
            </w:r>
          </w:p>
        </w:tc>
        <w:tc>
          <w:tcPr>
            <w:tcW w:w="457" w:type="pct"/>
            <w:shd w:val="clear" w:color="auto" w:fill="D9D9D9" w:themeFill="background1" w:themeFillShade="D9"/>
            <w:vAlign w:val="center"/>
          </w:tcPr>
          <w:p w:rsidRPr="007D62EF" w:rsidR="00364C14" w:rsidP="0086740D" w:rsidRDefault="00364C14" w14:paraId="4AB25BA2" w14:textId="77777777">
            <w:pPr>
              <w:spacing w:line="276" w:lineRule="auto"/>
              <w:rPr>
                <w:b/>
                <w:bCs/>
                <w:sz w:val="12"/>
                <w:szCs w:val="12"/>
              </w:rPr>
            </w:pPr>
            <w:r w:rsidRPr="007D62EF">
              <w:rPr>
                <w:b/>
                <w:bCs/>
                <w:sz w:val="12"/>
                <w:szCs w:val="12"/>
              </w:rPr>
              <w:t>38.661</w:t>
            </w:r>
          </w:p>
        </w:tc>
        <w:tc>
          <w:tcPr>
            <w:tcW w:w="888" w:type="pct"/>
            <w:shd w:val="clear" w:color="auto" w:fill="D9D9D9" w:themeFill="background1" w:themeFillShade="D9"/>
            <w:vAlign w:val="center"/>
          </w:tcPr>
          <w:p w:rsidRPr="007D62EF" w:rsidR="00364C14" w:rsidP="0086740D" w:rsidRDefault="00364C14" w14:paraId="37722F04" w14:textId="77777777">
            <w:pPr>
              <w:spacing w:line="276" w:lineRule="auto"/>
              <w:rPr>
                <w:b/>
                <w:bCs/>
                <w:sz w:val="12"/>
                <w:szCs w:val="12"/>
              </w:rPr>
            </w:pPr>
            <w:r w:rsidRPr="007D62EF">
              <w:rPr>
                <w:b/>
                <w:bCs/>
                <w:sz w:val="12"/>
                <w:szCs w:val="12"/>
              </w:rPr>
              <w:t>185.675.631</w:t>
            </w:r>
          </w:p>
        </w:tc>
      </w:tr>
    </w:tbl>
    <w:bookmarkEnd w:id="3"/>
    <w:p w:rsidR="00364C14" w:rsidP="00364C14" w:rsidRDefault="00364C14" w14:paraId="5546F2D4" w14:textId="77777777">
      <w:pPr>
        <w:spacing w:line="276" w:lineRule="auto"/>
        <w:rPr>
          <w:sz w:val="12"/>
          <w:szCs w:val="12"/>
        </w:rPr>
      </w:pPr>
      <w:r w:rsidRPr="00854539">
        <w:rPr>
          <w:sz w:val="12"/>
          <w:szCs w:val="12"/>
        </w:rPr>
        <w:t>NB: in deze tabel telt het aantal person</w:t>
      </w:r>
      <w:r>
        <w:rPr>
          <w:sz w:val="12"/>
          <w:szCs w:val="12"/>
        </w:rPr>
        <w:t>en</w:t>
      </w:r>
      <w:r w:rsidRPr="00854539">
        <w:rPr>
          <w:sz w:val="12"/>
          <w:szCs w:val="12"/>
        </w:rPr>
        <w:t xml:space="preserve"> niet op in de rij totaal. Een persoon kan namelijk in aanmerking komen voor verschillende producte</w:t>
      </w:r>
      <w:r>
        <w:rPr>
          <w:sz w:val="12"/>
          <w:szCs w:val="12"/>
        </w:rPr>
        <w:t xml:space="preserve">n en/of gedurende het jaar zowel studiefinanciering ontvangen op grond van duurzaam verblijf als migrerend </w:t>
      </w:r>
      <w:proofErr w:type="spellStart"/>
      <w:r>
        <w:rPr>
          <w:sz w:val="12"/>
          <w:szCs w:val="12"/>
        </w:rPr>
        <w:t>werknemerschap</w:t>
      </w:r>
      <w:proofErr w:type="spellEnd"/>
      <w:r w:rsidRPr="00854539">
        <w:rPr>
          <w:sz w:val="12"/>
          <w:szCs w:val="12"/>
        </w:rPr>
        <w:t>.</w:t>
      </w:r>
    </w:p>
    <w:p w:rsidR="00364C14" w:rsidP="00364C14" w:rsidRDefault="00364C14" w14:paraId="1DDEA03C" w14:textId="77777777">
      <w:pPr>
        <w:spacing w:line="276" w:lineRule="auto"/>
        <w:rPr>
          <w:sz w:val="12"/>
          <w:szCs w:val="12"/>
        </w:rPr>
      </w:pPr>
      <w:r>
        <w:rPr>
          <w:sz w:val="12"/>
          <w:szCs w:val="12"/>
        </w:rPr>
        <w:t>In deze (en andere tabellen) zijn ook basisbeursuitgaven in 2022 te zien. Het gaat hier om studenten die in 2022 nog recht hadden op de oude basisbeurs van voor het leenstelsel.</w:t>
      </w:r>
    </w:p>
    <w:p w:rsidR="00364C14" w:rsidP="00364C14" w:rsidRDefault="00364C14" w14:paraId="00B5E2E3" w14:textId="77777777">
      <w:pPr>
        <w:spacing w:line="276" w:lineRule="auto"/>
        <w:rPr>
          <w:sz w:val="12"/>
          <w:szCs w:val="12"/>
        </w:rPr>
      </w:pPr>
      <w:r w:rsidRPr="00854539">
        <w:rPr>
          <w:sz w:val="12"/>
          <w:szCs w:val="12"/>
        </w:rPr>
        <w:t>AB= Aanvullende beurs, BB= Basisbeurs, RV= reisvoorziening</w:t>
      </w:r>
    </w:p>
    <w:p w:rsidR="00364C14" w:rsidP="00364C14" w:rsidRDefault="00364C14" w14:paraId="5CCDBDB5" w14:textId="77777777">
      <w:pPr>
        <w:spacing w:line="276" w:lineRule="auto"/>
        <w:rPr>
          <w:sz w:val="12"/>
          <w:szCs w:val="12"/>
        </w:rPr>
      </w:pPr>
    </w:p>
    <w:p w:rsidRPr="00E812B7" w:rsidR="00364C14" w:rsidP="00364C14" w:rsidRDefault="00364C14" w14:paraId="5BF3BF24" w14:textId="77777777">
      <w:pPr>
        <w:spacing w:line="276" w:lineRule="auto"/>
        <w:rPr>
          <w:sz w:val="12"/>
          <w:szCs w:val="12"/>
        </w:rPr>
      </w:pPr>
    </w:p>
    <w:p w:rsidR="00364C14" w:rsidP="00364C14" w:rsidRDefault="00364C14" w14:paraId="30F8AD15" w14:textId="5088C32D">
      <w:pPr>
        <w:spacing w:line="276" w:lineRule="auto"/>
      </w:pPr>
      <w:r>
        <w:t xml:space="preserve">Uit de tabel blijkt dat er meer personen zijn die gebruik zijn gaan maken van studiefinanciering en dat het totaalbedrag aan uitgaven stijgt. Belangrijk om hierbij te melden is dat in deze tabel het aantal unieke personen met een </w:t>
      </w:r>
      <w:r w:rsidR="00496621">
        <w:t>studiefinancierings</w:t>
      </w:r>
      <w:r>
        <w:t xml:space="preserve">product worden genoemd. Deze personen gebruiken dikwijls niet een heel jaar het product. </w:t>
      </w:r>
    </w:p>
    <w:p w:rsidR="00364C14" w:rsidP="00364C14" w:rsidRDefault="00364C14" w14:paraId="4F14D2C6" w14:textId="77777777">
      <w:pPr>
        <w:spacing w:line="276" w:lineRule="auto"/>
      </w:pPr>
    </w:p>
    <w:p w:rsidR="00364C14" w:rsidP="00364C14" w:rsidRDefault="00364C14" w14:paraId="6CE6CF18" w14:textId="77777777">
      <w:pPr>
        <w:spacing w:line="276" w:lineRule="auto"/>
      </w:pPr>
      <w:r>
        <w:t xml:space="preserve">De herinvoering van de basisbeurs zorgt vanzelfsprekend voor hogere uitgaven. Ook de lagere urennorm voor het migrerend </w:t>
      </w:r>
      <w:proofErr w:type="spellStart"/>
      <w:r>
        <w:t>werknemerschap</w:t>
      </w:r>
      <w:proofErr w:type="spellEnd"/>
      <w:r>
        <w:t xml:space="preserve"> kan een verklaring zijn waardoor meer studenten in aanmerking komen voor studiefinanciering.</w:t>
      </w:r>
    </w:p>
    <w:p w:rsidR="00364C14" w:rsidP="00364C14" w:rsidRDefault="00364C14" w14:paraId="3AF3669C" w14:textId="0D928E27">
      <w:pPr>
        <w:spacing w:line="276" w:lineRule="auto"/>
        <w:rPr>
          <w:szCs w:val="18"/>
        </w:rPr>
      </w:pPr>
      <w:r w:rsidRPr="00FD3F7F">
        <w:rPr>
          <w:szCs w:val="18"/>
        </w:rPr>
        <w:lastRenderedPageBreak/>
        <w:t>Daarbij zijn de uitgaven aan de basisbeurs in 2023 en 2024 nog eens extra hoog</w:t>
      </w:r>
      <w:r>
        <w:rPr>
          <w:szCs w:val="18"/>
        </w:rPr>
        <w:t>,</w:t>
      </w:r>
      <w:r w:rsidRPr="00FD3F7F">
        <w:rPr>
          <w:szCs w:val="18"/>
        </w:rPr>
        <w:t xml:space="preserve"> omdat uitwonende studenten in het studiejaar 2023/2024 een extra bedrag ontv</w:t>
      </w:r>
      <w:r>
        <w:rPr>
          <w:szCs w:val="18"/>
        </w:rPr>
        <w:t>i</w:t>
      </w:r>
      <w:r w:rsidRPr="00FD3F7F">
        <w:rPr>
          <w:szCs w:val="18"/>
        </w:rPr>
        <w:t xml:space="preserve">ngen als koopkrachtmaatregel. </w:t>
      </w:r>
      <w:r>
        <w:rPr>
          <w:szCs w:val="18"/>
        </w:rPr>
        <w:t xml:space="preserve">Uit de onderliggende cijfers blijkt dat studenten die in aanmerking komen voor studiefinanciering vanwege migrerend </w:t>
      </w:r>
      <w:proofErr w:type="spellStart"/>
      <w:r>
        <w:rPr>
          <w:szCs w:val="18"/>
        </w:rPr>
        <w:t>werknemerschap</w:t>
      </w:r>
      <w:proofErr w:type="spellEnd"/>
      <w:r>
        <w:rPr>
          <w:szCs w:val="18"/>
        </w:rPr>
        <w:t xml:space="preserve"> voor circa 95% uitwonend zijn. Voor de groep duurzaam verblijf gaat het om 60%. Het overgrote deel van de EER-studenten kwam dus voor deze regeling in aanmerking. Als laatste zijn tussen 2022 en 2024 de beursbedragen met 12,7% geïndexeerd. Hierdoor valt</w:t>
      </w:r>
      <w:r w:rsidR="00496621">
        <w:rPr>
          <w:szCs w:val="18"/>
        </w:rPr>
        <w:t xml:space="preserve"> </w:t>
      </w:r>
      <w:r>
        <w:rPr>
          <w:szCs w:val="18"/>
        </w:rPr>
        <w:t>de reële stijging van de studiefinancieringsuitgaven tussen 2022 en 2024 lager uit.</w:t>
      </w:r>
    </w:p>
    <w:p w:rsidR="00364C14" w:rsidP="00364C14" w:rsidRDefault="00364C14" w14:paraId="26B44092" w14:textId="77777777">
      <w:pPr>
        <w:spacing w:line="276" w:lineRule="auto"/>
        <w:rPr>
          <w:szCs w:val="18"/>
        </w:rPr>
      </w:pPr>
    </w:p>
    <w:p w:rsidR="00364C14" w:rsidP="00364C14" w:rsidRDefault="00364C14" w14:paraId="6C1DE8F8" w14:textId="4A6419C7">
      <w:pPr>
        <w:spacing w:line="276" w:lineRule="auto"/>
        <w:rPr>
          <w:szCs w:val="18"/>
        </w:rPr>
      </w:pPr>
      <w:r w:rsidRPr="00FD3F7F">
        <w:rPr>
          <w:szCs w:val="18"/>
        </w:rPr>
        <w:t>Voor de aanvullende beurs geldt dat sinds 2024 een grotere groep studenten in aanmerking kom</w:t>
      </w:r>
      <w:r>
        <w:rPr>
          <w:szCs w:val="18"/>
        </w:rPr>
        <w:t>t</w:t>
      </w:r>
      <w:r w:rsidRPr="00FD3F7F">
        <w:rPr>
          <w:szCs w:val="18"/>
        </w:rPr>
        <w:t xml:space="preserve">, vanwege de uitbreiding van de inkomensgrenzen. </w:t>
      </w:r>
      <w:r>
        <w:rPr>
          <w:szCs w:val="18"/>
        </w:rPr>
        <w:t xml:space="preserve">Circa 47% van de EER-studenten die op basis van duurzaam verblijf of migrerend </w:t>
      </w:r>
      <w:proofErr w:type="spellStart"/>
      <w:r>
        <w:rPr>
          <w:szCs w:val="18"/>
        </w:rPr>
        <w:t>werknemerschap</w:t>
      </w:r>
      <w:proofErr w:type="spellEnd"/>
      <w:r>
        <w:rPr>
          <w:szCs w:val="18"/>
        </w:rPr>
        <w:t xml:space="preserve"> in aanmerking komen voor studiefinanciering en een basisbeurs ontvangen, </w:t>
      </w:r>
      <w:r w:rsidR="00496621">
        <w:rPr>
          <w:szCs w:val="18"/>
        </w:rPr>
        <w:t xml:space="preserve">ontvangt </w:t>
      </w:r>
      <w:r>
        <w:rPr>
          <w:szCs w:val="18"/>
        </w:rPr>
        <w:t xml:space="preserve">ook een aanvullende beurs. In vergelijking met hetzelfde percentage voor alle hbo- en wo-studenten (Nederlands en EER), ligt dit ongeveer 2 procentpunt hoger. </w:t>
      </w:r>
    </w:p>
    <w:p w:rsidR="00364C14" w:rsidP="00364C14" w:rsidRDefault="00364C14" w14:paraId="527F5A51" w14:textId="77777777">
      <w:pPr>
        <w:spacing w:line="276" w:lineRule="auto"/>
        <w:rPr>
          <w:szCs w:val="18"/>
        </w:rPr>
      </w:pPr>
    </w:p>
    <w:p w:rsidR="00364C14" w:rsidP="00364C14" w:rsidRDefault="00364C14" w14:paraId="7AB8C8BD" w14:textId="07C3A674">
      <w:pPr>
        <w:spacing w:line="276" w:lineRule="auto"/>
        <w:rPr>
          <w:szCs w:val="18"/>
        </w:rPr>
      </w:pPr>
      <w:r>
        <w:rPr>
          <w:szCs w:val="18"/>
        </w:rPr>
        <w:t xml:space="preserve">Studenten die vanwege migrerend </w:t>
      </w:r>
      <w:proofErr w:type="spellStart"/>
      <w:r>
        <w:rPr>
          <w:szCs w:val="18"/>
        </w:rPr>
        <w:t>werknemerschap</w:t>
      </w:r>
      <w:proofErr w:type="spellEnd"/>
      <w:r>
        <w:rPr>
          <w:szCs w:val="18"/>
        </w:rPr>
        <w:t xml:space="preserve"> studiefinanciering ontvangen, ontvangen gemiddeld een hoger bedrag aan aanvullende beurs dan andere groepen studenten. </w:t>
      </w:r>
      <w:r w:rsidR="00CF4123">
        <w:rPr>
          <w:szCs w:val="18"/>
        </w:rPr>
        <w:t xml:space="preserve">Bij een volledig jaar studiefinanciering ontvangen zij </w:t>
      </w:r>
      <w:r>
        <w:rPr>
          <w:szCs w:val="18"/>
        </w:rPr>
        <w:t xml:space="preserve">gemiddeld bijna € 4.800 aan aanvullende beurs. Dit is voor studenten die studiefinanciering ontvangen vanwege duurzaam verblijf gemiddeld bijna € 4.400 per jaar. </w:t>
      </w:r>
      <w:r w:rsidRPr="005A4329">
        <w:rPr>
          <w:szCs w:val="18"/>
        </w:rPr>
        <w:t>Deze bedragen zijn ruim meer dan het gemiddelde bedrag dat aan alle hbo en wo studenten (Nederland en EER) aan aanvullende beurs wordt uitgegeven. Dat is namelijk circa € 3</w:t>
      </w:r>
      <w:r>
        <w:rPr>
          <w:szCs w:val="18"/>
        </w:rPr>
        <w:t>.5</w:t>
      </w:r>
      <w:r w:rsidRPr="005A4329">
        <w:rPr>
          <w:szCs w:val="18"/>
        </w:rPr>
        <w:t>00 per jaar.</w:t>
      </w:r>
    </w:p>
    <w:p w:rsidR="00364C14" w:rsidP="00364C14" w:rsidRDefault="00364C14" w14:paraId="1DF9E968" w14:textId="77777777">
      <w:pPr>
        <w:spacing w:line="276" w:lineRule="auto"/>
      </w:pPr>
    </w:p>
    <w:p w:rsidR="00364C14" w:rsidP="00364C14" w:rsidRDefault="00364C14" w14:paraId="177C003E" w14:textId="77777777">
      <w:pPr>
        <w:spacing w:line="276" w:lineRule="auto"/>
        <w:rPr>
          <w:i/>
          <w:iCs/>
        </w:rPr>
      </w:pPr>
      <w:r>
        <w:rPr>
          <w:i/>
          <w:iCs/>
        </w:rPr>
        <w:t>Splitsing reden aanspraak studiefinanciering migrerend werknemer</w:t>
      </w:r>
    </w:p>
    <w:p w:rsidR="00364C14" w:rsidP="00364C14" w:rsidRDefault="00364C14" w14:paraId="0B220C9D" w14:textId="77777777">
      <w:pPr>
        <w:spacing w:line="276" w:lineRule="auto"/>
      </w:pPr>
      <w:r>
        <w:t xml:space="preserve">Een student kan op verschillende manieren op grond van migrerend </w:t>
      </w:r>
      <w:proofErr w:type="spellStart"/>
      <w:r>
        <w:t>werknemerschap</w:t>
      </w:r>
      <w:proofErr w:type="spellEnd"/>
      <w:r>
        <w:t xml:space="preserve"> in aanmerking komen voor studiefinanciering.</w:t>
      </w:r>
      <w:r>
        <w:rPr>
          <w:rStyle w:val="Voetnootmarkering"/>
        </w:rPr>
        <w:footnoteReference w:id="22"/>
      </w:r>
      <w:r>
        <w:t xml:space="preserve"> Tabel 4 toont voor de kalenderjaren 2022 tot en met 2024 de uitgaven en het percentage migrerend werknemers die in aanmerking kwamen voor studiefinanciering, waarbij een uitsplitsing is gemaakt naar de specifieke grond van migrerend </w:t>
      </w:r>
      <w:proofErr w:type="spellStart"/>
      <w:r>
        <w:t>werknemerschap</w:t>
      </w:r>
      <w:proofErr w:type="spellEnd"/>
      <w:r>
        <w:t>. Als de student zelf kwalificeert als migrerend werknemer wordt in onderstaande tabel ook onderscheid gemaakt naar het type dienstverband.</w:t>
      </w:r>
    </w:p>
    <w:p w:rsidR="00364C14" w:rsidP="00364C14" w:rsidRDefault="00364C14" w14:paraId="344A9E74" w14:textId="77777777">
      <w:pPr>
        <w:spacing w:line="276" w:lineRule="auto"/>
      </w:pPr>
    </w:p>
    <w:p w:rsidR="00364C14" w:rsidP="00364C14" w:rsidRDefault="00364C14" w14:paraId="2DADA38E" w14:textId="77777777">
      <w:pPr>
        <w:spacing w:line="276" w:lineRule="auto"/>
      </w:pPr>
      <w:r>
        <w:t xml:space="preserve">Tabel 4 laat zien dat de groei in studiefinancieringsuitgaven aan migrerend werknemers hoofdzakelijk plaatsvindt bij studenten met flexibele en tijdelijke contracten. Dat is logisch, omdat dit de meest voorkomende contracten onder studenten zijn. Bovendien profiteren waarschijnlijk deze groepen het meest van de lagere urennorm, omdat zij vaak minder uren per maand werken dan studenten met een vast contract. </w:t>
      </w:r>
    </w:p>
    <w:p w:rsidR="00364C14" w:rsidP="00364C14" w:rsidRDefault="00364C14" w14:paraId="79684923" w14:textId="77777777">
      <w:pPr>
        <w:spacing w:line="240" w:lineRule="auto"/>
        <w:rPr>
          <w:i/>
          <w:iCs/>
          <w:szCs w:val="18"/>
        </w:rPr>
      </w:pPr>
    </w:p>
    <w:p w:rsidR="00364C14" w:rsidP="00364C14" w:rsidRDefault="00364C14" w14:paraId="30CAB9A7" w14:textId="77777777">
      <w:pPr>
        <w:pStyle w:val="Bijschrift"/>
        <w:keepNext/>
        <w:rPr>
          <w:color w:val="auto"/>
        </w:rPr>
      </w:pPr>
      <w:r w:rsidRPr="00442FA6">
        <w:rPr>
          <w:color w:val="auto"/>
        </w:rPr>
        <w:lastRenderedPageBreak/>
        <w:t xml:space="preserve">Tabel </w:t>
      </w:r>
      <w:r>
        <w:rPr>
          <w:color w:val="auto"/>
        </w:rPr>
        <w:t>4 -</w:t>
      </w:r>
      <w:r w:rsidRPr="00442FA6">
        <w:rPr>
          <w:color w:val="auto"/>
        </w:rPr>
        <w:t xml:space="preserve"> redenen aanspraak studiefinanciering migrerend werknemer</w:t>
      </w:r>
    </w:p>
    <w:p w:rsidRPr="000A46EB" w:rsidR="000A46EB" w:rsidP="000A46EB" w:rsidRDefault="000A46EB" w14:paraId="281180E5" w14:textId="77777777"/>
    <w:tbl>
      <w:tblPr>
        <w:tblStyle w:val="Tabelraster"/>
        <w:tblW w:w="7972" w:type="dxa"/>
        <w:tblLook w:val="04A0" w:firstRow="1" w:lastRow="0" w:firstColumn="1" w:lastColumn="0" w:noHBand="0" w:noVBand="1"/>
      </w:tblPr>
      <w:tblGrid>
        <w:gridCol w:w="1148"/>
        <w:gridCol w:w="1235"/>
        <w:gridCol w:w="986"/>
        <w:gridCol w:w="1235"/>
        <w:gridCol w:w="986"/>
        <w:gridCol w:w="1311"/>
        <w:gridCol w:w="1071"/>
      </w:tblGrid>
      <w:tr w:rsidR="00364C14" w:rsidTr="0086740D" w14:paraId="70C29DE6" w14:textId="77777777">
        <w:trPr>
          <w:trHeight w:val="447"/>
        </w:trPr>
        <w:tc>
          <w:tcPr>
            <w:tcW w:w="1148" w:type="dxa"/>
            <w:shd w:val="clear" w:color="auto" w:fill="D9D9D9" w:themeFill="background1" w:themeFillShade="D9"/>
            <w:vAlign w:val="center"/>
          </w:tcPr>
          <w:p w:rsidRPr="006B1F17" w:rsidR="00364C14" w:rsidP="0086740D" w:rsidRDefault="00364C14" w14:paraId="6C4111E8" w14:textId="77777777">
            <w:pPr>
              <w:spacing w:line="276" w:lineRule="auto"/>
              <w:rPr>
                <w:sz w:val="12"/>
                <w:szCs w:val="12"/>
              </w:rPr>
            </w:pPr>
          </w:p>
        </w:tc>
        <w:tc>
          <w:tcPr>
            <w:tcW w:w="2221" w:type="dxa"/>
            <w:gridSpan w:val="2"/>
            <w:shd w:val="clear" w:color="auto" w:fill="D9D9D9" w:themeFill="background1" w:themeFillShade="D9"/>
            <w:vAlign w:val="center"/>
          </w:tcPr>
          <w:p w:rsidRPr="008C5D97" w:rsidR="00364C14" w:rsidP="0086740D" w:rsidRDefault="00364C14" w14:paraId="1758F41C" w14:textId="77777777">
            <w:pPr>
              <w:spacing w:line="276" w:lineRule="auto"/>
              <w:rPr>
                <w:sz w:val="12"/>
                <w:szCs w:val="12"/>
              </w:rPr>
            </w:pPr>
            <w:r>
              <w:rPr>
                <w:sz w:val="12"/>
                <w:szCs w:val="12"/>
              </w:rPr>
              <w:t>2022</w:t>
            </w:r>
          </w:p>
        </w:tc>
        <w:tc>
          <w:tcPr>
            <w:tcW w:w="2221" w:type="dxa"/>
            <w:gridSpan w:val="2"/>
            <w:shd w:val="clear" w:color="auto" w:fill="D9D9D9" w:themeFill="background1" w:themeFillShade="D9"/>
            <w:vAlign w:val="center"/>
          </w:tcPr>
          <w:p w:rsidRPr="008C5D97" w:rsidR="00364C14" w:rsidP="0086740D" w:rsidRDefault="00364C14" w14:paraId="4A998F58" w14:textId="77777777">
            <w:pPr>
              <w:spacing w:line="276" w:lineRule="auto"/>
              <w:rPr>
                <w:sz w:val="12"/>
                <w:szCs w:val="12"/>
              </w:rPr>
            </w:pPr>
            <w:r>
              <w:rPr>
                <w:sz w:val="12"/>
                <w:szCs w:val="12"/>
              </w:rPr>
              <w:t>2023</w:t>
            </w:r>
          </w:p>
        </w:tc>
        <w:tc>
          <w:tcPr>
            <w:tcW w:w="2382" w:type="dxa"/>
            <w:gridSpan w:val="2"/>
            <w:shd w:val="clear" w:color="auto" w:fill="D9D9D9" w:themeFill="background1" w:themeFillShade="D9"/>
            <w:vAlign w:val="center"/>
          </w:tcPr>
          <w:p w:rsidRPr="008C5D97" w:rsidR="00364C14" w:rsidP="0086740D" w:rsidRDefault="00364C14" w14:paraId="001CED27" w14:textId="77777777">
            <w:pPr>
              <w:spacing w:line="276" w:lineRule="auto"/>
              <w:rPr>
                <w:sz w:val="12"/>
                <w:szCs w:val="12"/>
              </w:rPr>
            </w:pPr>
            <w:r>
              <w:rPr>
                <w:sz w:val="12"/>
                <w:szCs w:val="12"/>
              </w:rPr>
              <w:t>2024</w:t>
            </w:r>
          </w:p>
        </w:tc>
      </w:tr>
      <w:tr w:rsidR="00364C14" w:rsidTr="0086740D" w14:paraId="530A1EF3" w14:textId="77777777">
        <w:trPr>
          <w:trHeight w:val="447"/>
        </w:trPr>
        <w:tc>
          <w:tcPr>
            <w:tcW w:w="1148" w:type="dxa"/>
            <w:vAlign w:val="center"/>
          </w:tcPr>
          <w:p w:rsidRPr="008C5D97" w:rsidR="00364C14" w:rsidP="0086740D" w:rsidRDefault="00364C14" w14:paraId="75306B40" w14:textId="77777777">
            <w:pPr>
              <w:spacing w:line="276" w:lineRule="auto"/>
              <w:rPr>
                <w:sz w:val="12"/>
                <w:szCs w:val="12"/>
              </w:rPr>
            </w:pPr>
          </w:p>
        </w:tc>
        <w:tc>
          <w:tcPr>
            <w:tcW w:w="1235" w:type="dxa"/>
            <w:vAlign w:val="center"/>
          </w:tcPr>
          <w:p w:rsidRPr="006B1F17" w:rsidR="00364C14" w:rsidP="0086740D" w:rsidRDefault="00364C14" w14:paraId="5D8F77A6" w14:textId="77777777">
            <w:pPr>
              <w:spacing w:line="276" w:lineRule="auto"/>
              <w:rPr>
                <w:sz w:val="12"/>
                <w:szCs w:val="12"/>
              </w:rPr>
            </w:pPr>
            <w:r w:rsidRPr="006B1F17">
              <w:rPr>
                <w:sz w:val="12"/>
                <w:szCs w:val="12"/>
              </w:rPr>
              <w:t>Verdeling personen over redenen aanspraak</w:t>
            </w:r>
          </w:p>
        </w:tc>
        <w:tc>
          <w:tcPr>
            <w:tcW w:w="986" w:type="dxa"/>
            <w:vAlign w:val="center"/>
          </w:tcPr>
          <w:p w:rsidRPr="008C5D97" w:rsidR="00364C14" w:rsidP="0086740D" w:rsidRDefault="00364C14" w14:paraId="63EE0FD1" w14:textId="77777777">
            <w:pPr>
              <w:spacing w:line="276" w:lineRule="auto"/>
              <w:rPr>
                <w:sz w:val="12"/>
                <w:szCs w:val="12"/>
              </w:rPr>
            </w:pPr>
            <w:r w:rsidRPr="008C5D97">
              <w:rPr>
                <w:sz w:val="12"/>
                <w:szCs w:val="12"/>
              </w:rPr>
              <w:t>Uitgaven</w:t>
            </w:r>
            <w:r>
              <w:rPr>
                <w:sz w:val="12"/>
                <w:szCs w:val="12"/>
              </w:rPr>
              <w:t xml:space="preserve"> (in €)</w:t>
            </w:r>
          </w:p>
        </w:tc>
        <w:tc>
          <w:tcPr>
            <w:tcW w:w="1235" w:type="dxa"/>
            <w:vAlign w:val="center"/>
          </w:tcPr>
          <w:p w:rsidRPr="006B1F17" w:rsidR="00364C14" w:rsidP="0086740D" w:rsidRDefault="00364C14" w14:paraId="3EE1B013" w14:textId="77777777">
            <w:pPr>
              <w:spacing w:line="276" w:lineRule="auto"/>
              <w:rPr>
                <w:sz w:val="12"/>
                <w:szCs w:val="12"/>
              </w:rPr>
            </w:pPr>
            <w:r w:rsidRPr="006B1F17">
              <w:rPr>
                <w:sz w:val="12"/>
                <w:szCs w:val="12"/>
              </w:rPr>
              <w:t>Verdeling personen over redenen aanspraak</w:t>
            </w:r>
          </w:p>
        </w:tc>
        <w:tc>
          <w:tcPr>
            <w:tcW w:w="986" w:type="dxa"/>
            <w:vAlign w:val="center"/>
          </w:tcPr>
          <w:p w:rsidRPr="008C5D97" w:rsidR="00364C14" w:rsidP="0086740D" w:rsidRDefault="00364C14" w14:paraId="732C98FF" w14:textId="77777777">
            <w:pPr>
              <w:spacing w:line="276" w:lineRule="auto"/>
              <w:rPr>
                <w:sz w:val="12"/>
                <w:szCs w:val="12"/>
              </w:rPr>
            </w:pPr>
            <w:r w:rsidRPr="008C5D97">
              <w:rPr>
                <w:sz w:val="12"/>
                <w:szCs w:val="12"/>
              </w:rPr>
              <w:t>Uitgaven</w:t>
            </w:r>
            <w:r>
              <w:rPr>
                <w:sz w:val="12"/>
                <w:szCs w:val="12"/>
              </w:rPr>
              <w:t xml:space="preserve"> (in €)</w:t>
            </w:r>
          </w:p>
        </w:tc>
        <w:tc>
          <w:tcPr>
            <w:tcW w:w="1311" w:type="dxa"/>
            <w:vAlign w:val="center"/>
          </w:tcPr>
          <w:p w:rsidRPr="006B1F17" w:rsidR="00364C14" w:rsidP="0086740D" w:rsidRDefault="00364C14" w14:paraId="10F67583" w14:textId="77777777">
            <w:pPr>
              <w:spacing w:line="276" w:lineRule="auto"/>
              <w:rPr>
                <w:sz w:val="12"/>
                <w:szCs w:val="12"/>
              </w:rPr>
            </w:pPr>
            <w:r w:rsidRPr="006B1F17">
              <w:rPr>
                <w:sz w:val="12"/>
                <w:szCs w:val="12"/>
              </w:rPr>
              <w:t>Verdeling personen over redenen aanspraak</w:t>
            </w:r>
          </w:p>
        </w:tc>
        <w:tc>
          <w:tcPr>
            <w:tcW w:w="1071" w:type="dxa"/>
            <w:vAlign w:val="center"/>
          </w:tcPr>
          <w:p w:rsidRPr="008C5D97" w:rsidR="00364C14" w:rsidP="0086740D" w:rsidRDefault="00364C14" w14:paraId="5A06D444" w14:textId="77777777">
            <w:pPr>
              <w:spacing w:line="276" w:lineRule="auto"/>
              <w:rPr>
                <w:sz w:val="12"/>
                <w:szCs w:val="12"/>
              </w:rPr>
            </w:pPr>
            <w:r w:rsidRPr="008C5D97">
              <w:rPr>
                <w:sz w:val="12"/>
                <w:szCs w:val="12"/>
              </w:rPr>
              <w:t>Uitgaven</w:t>
            </w:r>
            <w:r>
              <w:rPr>
                <w:sz w:val="12"/>
                <w:szCs w:val="12"/>
              </w:rPr>
              <w:t xml:space="preserve"> (in €)</w:t>
            </w:r>
          </w:p>
        </w:tc>
      </w:tr>
      <w:tr w:rsidR="00364C14" w:rsidTr="0086740D" w14:paraId="5E6EC791" w14:textId="77777777">
        <w:trPr>
          <w:trHeight w:val="314"/>
        </w:trPr>
        <w:tc>
          <w:tcPr>
            <w:tcW w:w="1148" w:type="dxa"/>
            <w:vAlign w:val="center"/>
          </w:tcPr>
          <w:p w:rsidRPr="008C5D97" w:rsidR="00364C14" w:rsidP="0086740D" w:rsidRDefault="00364C14" w14:paraId="46523FD8" w14:textId="77777777">
            <w:pPr>
              <w:spacing w:line="276" w:lineRule="auto"/>
              <w:rPr>
                <w:sz w:val="12"/>
                <w:szCs w:val="12"/>
              </w:rPr>
            </w:pPr>
            <w:r>
              <w:rPr>
                <w:sz w:val="12"/>
                <w:szCs w:val="12"/>
              </w:rPr>
              <w:t>Stage</w:t>
            </w:r>
          </w:p>
        </w:tc>
        <w:tc>
          <w:tcPr>
            <w:tcW w:w="1235" w:type="dxa"/>
            <w:vAlign w:val="center"/>
          </w:tcPr>
          <w:p w:rsidRPr="004D28AA" w:rsidR="00364C14" w:rsidP="0086740D" w:rsidRDefault="00364C14" w14:paraId="5C682D10" w14:textId="77777777">
            <w:pPr>
              <w:spacing w:line="276" w:lineRule="auto"/>
              <w:rPr>
                <w:sz w:val="12"/>
                <w:szCs w:val="12"/>
              </w:rPr>
            </w:pPr>
            <w:r w:rsidRPr="0036008A">
              <w:rPr>
                <w:sz w:val="12"/>
                <w:szCs w:val="12"/>
              </w:rPr>
              <w:t>0,1%</w:t>
            </w:r>
          </w:p>
        </w:tc>
        <w:tc>
          <w:tcPr>
            <w:tcW w:w="986" w:type="dxa"/>
            <w:vAlign w:val="center"/>
          </w:tcPr>
          <w:p w:rsidRPr="004D28AA" w:rsidR="00364C14" w:rsidP="0086740D" w:rsidRDefault="00364C14" w14:paraId="2395B8B9" w14:textId="77777777">
            <w:pPr>
              <w:spacing w:line="276" w:lineRule="auto"/>
              <w:rPr>
                <w:sz w:val="12"/>
                <w:szCs w:val="12"/>
              </w:rPr>
            </w:pPr>
            <w:r w:rsidRPr="004D28AA">
              <w:rPr>
                <w:sz w:val="12"/>
                <w:szCs w:val="12"/>
              </w:rPr>
              <w:t xml:space="preserve"> 15.169</w:t>
            </w:r>
          </w:p>
        </w:tc>
        <w:tc>
          <w:tcPr>
            <w:tcW w:w="1235" w:type="dxa"/>
            <w:vAlign w:val="center"/>
          </w:tcPr>
          <w:p w:rsidRPr="004D28AA" w:rsidR="00364C14" w:rsidP="0086740D" w:rsidRDefault="00364C14" w14:paraId="41DC58FD" w14:textId="77777777">
            <w:pPr>
              <w:spacing w:line="276" w:lineRule="auto"/>
              <w:rPr>
                <w:sz w:val="12"/>
                <w:szCs w:val="12"/>
              </w:rPr>
            </w:pPr>
            <w:r w:rsidRPr="0036008A">
              <w:rPr>
                <w:sz w:val="12"/>
                <w:szCs w:val="12"/>
              </w:rPr>
              <w:t>1,4%</w:t>
            </w:r>
          </w:p>
        </w:tc>
        <w:tc>
          <w:tcPr>
            <w:tcW w:w="986" w:type="dxa"/>
            <w:vAlign w:val="center"/>
          </w:tcPr>
          <w:p w:rsidRPr="004D28AA" w:rsidR="00364C14" w:rsidP="0086740D" w:rsidRDefault="00364C14" w14:paraId="3D4EBC33" w14:textId="77777777">
            <w:pPr>
              <w:spacing w:line="276" w:lineRule="auto"/>
              <w:rPr>
                <w:sz w:val="12"/>
                <w:szCs w:val="12"/>
              </w:rPr>
            </w:pPr>
            <w:r w:rsidRPr="004D28AA">
              <w:rPr>
                <w:sz w:val="12"/>
                <w:szCs w:val="12"/>
              </w:rPr>
              <w:t>1.146.465</w:t>
            </w:r>
          </w:p>
        </w:tc>
        <w:tc>
          <w:tcPr>
            <w:tcW w:w="1311" w:type="dxa"/>
            <w:vAlign w:val="center"/>
          </w:tcPr>
          <w:p w:rsidRPr="004D28AA" w:rsidR="00364C14" w:rsidP="0086740D" w:rsidRDefault="00364C14" w14:paraId="1096C5A6" w14:textId="77777777">
            <w:pPr>
              <w:spacing w:line="276" w:lineRule="auto"/>
              <w:rPr>
                <w:sz w:val="12"/>
                <w:szCs w:val="12"/>
              </w:rPr>
            </w:pPr>
            <w:r w:rsidRPr="0036008A">
              <w:rPr>
                <w:sz w:val="12"/>
                <w:szCs w:val="12"/>
              </w:rPr>
              <w:t>4,3%</w:t>
            </w:r>
          </w:p>
        </w:tc>
        <w:tc>
          <w:tcPr>
            <w:tcW w:w="1071" w:type="dxa"/>
            <w:vAlign w:val="center"/>
          </w:tcPr>
          <w:p w:rsidRPr="004D28AA" w:rsidR="00364C14" w:rsidP="0086740D" w:rsidRDefault="00364C14" w14:paraId="032931F9" w14:textId="77777777">
            <w:pPr>
              <w:spacing w:line="276" w:lineRule="auto"/>
              <w:rPr>
                <w:sz w:val="12"/>
                <w:szCs w:val="12"/>
              </w:rPr>
            </w:pPr>
            <w:r w:rsidRPr="004D28AA">
              <w:rPr>
                <w:sz w:val="12"/>
                <w:szCs w:val="12"/>
              </w:rPr>
              <w:t>6.368.597</w:t>
            </w:r>
          </w:p>
        </w:tc>
      </w:tr>
      <w:tr w:rsidR="00364C14" w:rsidTr="0086740D" w14:paraId="78258BE7" w14:textId="77777777">
        <w:trPr>
          <w:trHeight w:val="541"/>
        </w:trPr>
        <w:tc>
          <w:tcPr>
            <w:tcW w:w="1148" w:type="dxa"/>
            <w:vAlign w:val="center"/>
          </w:tcPr>
          <w:p w:rsidRPr="008C5D97" w:rsidR="00364C14" w:rsidP="0086740D" w:rsidRDefault="00364C14" w14:paraId="5AEAE2AA" w14:textId="77777777">
            <w:pPr>
              <w:spacing w:line="276" w:lineRule="auto"/>
              <w:rPr>
                <w:sz w:val="12"/>
                <w:szCs w:val="12"/>
              </w:rPr>
            </w:pPr>
            <w:r>
              <w:rPr>
                <w:sz w:val="12"/>
                <w:szCs w:val="12"/>
              </w:rPr>
              <w:t>Zelfstandig ondernemer of freelancer</w:t>
            </w:r>
          </w:p>
        </w:tc>
        <w:tc>
          <w:tcPr>
            <w:tcW w:w="1235" w:type="dxa"/>
            <w:vAlign w:val="center"/>
          </w:tcPr>
          <w:p w:rsidRPr="004D28AA" w:rsidR="00364C14" w:rsidP="0086740D" w:rsidRDefault="00364C14" w14:paraId="00066E33" w14:textId="77777777">
            <w:pPr>
              <w:spacing w:line="276" w:lineRule="auto"/>
              <w:rPr>
                <w:sz w:val="12"/>
                <w:szCs w:val="12"/>
              </w:rPr>
            </w:pPr>
            <w:r w:rsidRPr="0036008A">
              <w:rPr>
                <w:sz w:val="12"/>
                <w:szCs w:val="12"/>
              </w:rPr>
              <w:t>6,7%</w:t>
            </w:r>
          </w:p>
        </w:tc>
        <w:tc>
          <w:tcPr>
            <w:tcW w:w="986" w:type="dxa"/>
            <w:vAlign w:val="center"/>
          </w:tcPr>
          <w:p w:rsidRPr="004D28AA" w:rsidR="00364C14" w:rsidP="0086740D" w:rsidRDefault="00364C14" w14:paraId="11BE5739" w14:textId="77777777">
            <w:pPr>
              <w:spacing w:line="276" w:lineRule="auto"/>
              <w:rPr>
                <w:sz w:val="12"/>
                <w:szCs w:val="12"/>
              </w:rPr>
            </w:pPr>
            <w:r w:rsidRPr="004D28AA">
              <w:rPr>
                <w:sz w:val="12"/>
                <w:szCs w:val="12"/>
              </w:rPr>
              <w:t>1.778.781</w:t>
            </w:r>
          </w:p>
        </w:tc>
        <w:tc>
          <w:tcPr>
            <w:tcW w:w="1235" w:type="dxa"/>
            <w:vAlign w:val="center"/>
          </w:tcPr>
          <w:p w:rsidRPr="004D28AA" w:rsidR="00364C14" w:rsidP="0086740D" w:rsidRDefault="00364C14" w14:paraId="4E24DE21" w14:textId="77777777">
            <w:pPr>
              <w:spacing w:line="276" w:lineRule="auto"/>
              <w:rPr>
                <w:sz w:val="12"/>
                <w:szCs w:val="12"/>
              </w:rPr>
            </w:pPr>
            <w:r w:rsidRPr="0036008A">
              <w:rPr>
                <w:sz w:val="12"/>
                <w:szCs w:val="12"/>
              </w:rPr>
              <w:t>4,7%</w:t>
            </w:r>
          </w:p>
        </w:tc>
        <w:tc>
          <w:tcPr>
            <w:tcW w:w="986" w:type="dxa"/>
            <w:vAlign w:val="center"/>
          </w:tcPr>
          <w:p w:rsidRPr="004D28AA" w:rsidR="00364C14" w:rsidP="0086740D" w:rsidRDefault="00364C14" w14:paraId="776A76DD" w14:textId="77777777">
            <w:pPr>
              <w:spacing w:line="276" w:lineRule="auto"/>
              <w:rPr>
                <w:sz w:val="12"/>
                <w:szCs w:val="12"/>
              </w:rPr>
            </w:pPr>
            <w:r w:rsidRPr="004D28AA">
              <w:rPr>
                <w:sz w:val="12"/>
                <w:szCs w:val="12"/>
              </w:rPr>
              <w:t>3.058.966</w:t>
            </w:r>
          </w:p>
        </w:tc>
        <w:tc>
          <w:tcPr>
            <w:tcW w:w="1311" w:type="dxa"/>
            <w:vAlign w:val="center"/>
          </w:tcPr>
          <w:p w:rsidRPr="004D28AA" w:rsidR="00364C14" w:rsidP="0086740D" w:rsidRDefault="00364C14" w14:paraId="4A5EF2F9" w14:textId="77777777">
            <w:pPr>
              <w:spacing w:line="276" w:lineRule="auto"/>
              <w:rPr>
                <w:sz w:val="12"/>
                <w:szCs w:val="12"/>
              </w:rPr>
            </w:pPr>
            <w:r w:rsidRPr="0036008A">
              <w:rPr>
                <w:sz w:val="12"/>
                <w:szCs w:val="12"/>
              </w:rPr>
              <w:t>3,5%</w:t>
            </w:r>
          </w:p>
        </w:tc>
        <w:tc>
          <w:tcPr>
            <w:tcW w:w="1071" w:type="dxa"/>
            <w:vAlign w:val="center"/>
          </w:tcPr>
          <w:p w:rsidRPr="004D28AA" w:rsidR="00364C14" w:rsidP="0086740D" w:rsidRDefault="00364C14" w14:paraId="379C0982" w14:textId="77777777">
            <w:pPr>
              <w:spacing w:line="276" w:lineRule="auto"/>
              <w:rPr>
                <w:sz w:val="12"/>
                <w:szCs w:val="12"/>
              </w:rPr>
            </w:pPr>
            <w:r w:rsidRPr="004D28AA">
              <w:rPr>
                <w:sz w:val="12"/>
                <w:szCs w:val="12"/>
              </w:rPr>
              <w:t>5.412.126</w:t>
            </w:r>
          </w:p>
        </w:tc>
      </w:tr>
      <w:tr w:rsidR="00364C14" w:rsidTr="0086740D" w14:paraId="5517197B" w14:textId="77777777">
        <w:trPr>
          <w:trHeight w:val="541"/>
        </w:trPr>
        <w:tc>
          <w:tcPr>
            <w:tcW w:w="1148" w:type="dxa"/>
            <w:vAlign w:val="center"/>
          </w:tcPr>
          <w:p w:rsidRPr="008C5D97" w:rsidR="00364C14" w:rsidP="0086740D" w:rsidRDefault="00364C14" w14:paraId="5375084A" w14:textId="77777777">
            <w:pPr>
              <w:spacing w:line="276" w:lineRule="auto"/>
              <w:rPr>
                <w:sz w:val="12"/>
                <w:szCs w:val="12"/>
              </w:rPr>
            </w:pPr>
            <w:r>
              <w:rPr>
                <w:sz w:val="12"/>
                <w:szCs w:val="12"/>
              </w:rPr>
              <w:t>Oproepcontract</w:t>
            </w:r>
          </w:p>
        </w:tc>
        <w:tc>
          <w:tcPr>
            <w:tcW w:w="1235" w:type="dxa"/>
            <w:vAlign w:val="center"/>
          </w:tcPr>
          <w:p w:rsidRPr="004D28AA" w:rsidR="00364C14" w:rsidP="0086740D" w:rsidRDefault="00364C14" w14:paraId="4BCBE3F6" w14:textId="77777777">
            <w:pPr>
              <w:spacing w:line="276" w:lineRule="auto"/>
              <w:rPr>
                <w:sz w:val="12"/>
                <w:szCs w:val="12"/>
              </w:rPr>
            </w:pPr>
            <w:r w:rsidRPr="0036008A">
              <w:rPr>
                <w:sz w:val="12"/>
                <w:szCs w:val="12"/>
              </w:rPr>
              <w:t>52,7%</w:t>
            </w:r>
          </w:p>
        </w:tc>
        <w:tc>
          <w:tcPr>
            <w:tcW w:w="986" w:type="dxa"/>
            <w:vAlign w:val="center"/>
          </w:tcPr>
          <w:p w:rsidRPr="004D28AA" w:rsidR="00364C14" w:rsidP="0086740D" w:rsidRDefault="00364C14" w14:paraId="67F52F7A" w14:textId="77777777">
            <w:pPr>
              <w:spacing w:line="276" w:lineRule="auto"/>
              <w:rPr>
                <w:sz w:val="12"/>
                <w:szCs w:val="12"/>
              </w:rPr>
            </w:pPr>
            <w:r w:rsidRPr="004D28AA">
              <w:rPr>
                <w:sz w:val="12"/>
                <w:szCs w:val="12"/>
              </w:rPr>
              <w:t>13.562.950</w:t>
            </w:r>
          </w:p>
        </w:tc>
        <w:tc>
          <w:tcPr>
            <w:tcW w:w="1235" w:type="dxa"/>
            <w:vAlign w:val="center"/>
          </w:tcPr>
          <w:p w:rsidRPr="004D28AA" w:rsidR="00364C14" w:rsidP="0086740D" w:rsidRDefault="00364C14" w14:paraId="442B56BA" w14:textId="77777777">
            <w:pPr>
              <w:spacing w:line="276" w:lineRule="auto"/>
              <w:rPr>
                <w:sz w:val="12"/>
                <w:szCs w:val="12"/>
              </w:rPr>
            </w:pPr>
            <w:r w:rsidRPr="0036008A">
              <w:rPr>
                <w:sz w:val="12"/>
                <w:szCs w:val="12"/>
              </w:rPr>
              <w:t>57,7%</w:t>
            </w:r>
          </w:p>
        </w:tc>
        <w:tc>
          <w:tcPr>
            <w:tcW w:w="986" w:type="dxa"/>
            <w:vAlign w:val="center"/>
          </w:tcPr>
          <w:p w:rsidRPr="004D28AA" w:rsidR="00364C14" w:rsidP="0086740D" w:rsidRDefault="00364C14" w14:paraId="4DAAFDA1" w14:textId="77777777">
            <w:pPr>
              <w:spacing w:line="276" w:lineRule="auto"/>
              <w:rPr>
                <w:sz w:val="12"/>
                <w:szCs w:val="12"/>
              </w:rPr>
            </w:pPr>
            <w:r w:rsidRPr="004D28AA">
              <w:rPr>
                <w:sz w:val="12"/>
                <w:szCs w:val="12"/>
              </w:rPr>
              <w:t>37.637.632</w:t>
            </w:r>
          </w:p>
        </w:tc>
        <w:tc>
          <w:tcPr>
            <w:tcW w:w="1311" w:type="dxa"/>
            <w:vAlign w:val="center"/>
          </w:tcPr>
          <w:p w:rsidRPr="004D28AA" w:rsidR="00364C14" w:rsidP="0086740D" w:rsidRDefault="00364C14" w14:paraId="33D0DE15" w14:textId="77777777">
            <w:pPr>
              <w:spacing w:line="276" w:lineRule="auto"/>
              <w:rPr>
                <w:sz w:val="12"/>
                <w:szCs w:val="12"/>
              </w:rPr>
            </w:pPr>
            <w:r w:rsidRPr="0036008A">
              <w:rPr>
                <w:sz w:val="12"/>
                <w:szCs w:val="12"/>
              </w:rPr>
              <w:t>63,4%</w:t>
            </w:r>
          </w:p>
        </w:tc>
        <w:tc>
          <w:tcPr>
            <w:tcW w:w="1071" w:type="dxa"/>
            <w:vAlign w:val="center"/>
          </w:tcPr>
          <w:p w:rsidRPr="004D28AA" w:rsidR="00364C14" w:rsidP="0086740D" w:rsidRDefault="00364C14" w14:paraId="6EE4A83D" w14:textId="77777777">
            <w:pPr>
              <w:spacing w:line="276" w:lineRule="auto"/>
              <w:rPr>
                <w:sz w:val="12"/>
                <w:szCs w:val="12"/>
              </w:rPr>
            </w:pPr>
            <w:r w:rsidRPr="004D28AA">
              <w:rPr>
                <w:sz w:val="12"/>
                <w:szCs w:val="12"/>
              </w:rPr>
              <w:t>95.504.433</w:t>
            </w:r>
          </w:p>
        </w:tc>
      </w:tr>
      <w:tr w:rsidR="00364C14" w:rsidTr="0086740D" w14:paraId="0ECB2099" w14:textId="77777777">
        <w:trPr>
          <w:trHeight w:val="307"/>
        </w:trPr>
        <w:tc>
          <w:tcPr>
            <w:tcW w:w="1148" w:type="dxa"/>
            <w:vAlign w:val="center"/>
          </w:tcPr>
          <w:p w:rsidRPr="008C5D97" w:rsidR="00364C14" w:rsidP="0086740D" w:rsidRDefault="00364C14" w14:paraId="72395E1F" w14:textId="77777777">
            <w:pPr>
              <w:spacing w:line="276" w:lineRule="auto"/>
              <w:rPr>
                <w:sz w:val="12"/>
                <w:szCs w:val="12"/>
              </w:rPr>
            </w:pPr>
            <w:r>
              <w:rPr>
                <w:sz w:val="12"/>
                <w:szCs w:val="12"/>
              </w:rPr>
              <w:t xml:space="preserve">Tijdelijke </w:t>
            </w:r>
            <w:proofErr w:type="spellStart"/>
            <w:r>
              <w:rPr>
                <w:sz w:val="12"/>
                <w:szCs w:val="12"/>
              </w:rPr>
              <w:t>arbeids-overeenkomst</w:t>
            </w:r>
            <w:proofErr w:type="spellEnd"/>
          </w:p>
        </w:tc>
        <w:tc>
          <w:tcPr>
            <w:tcW w:w="1235" w:type="dxa"/>
            <w:vAlign w:val="center"/>
          </w:tcPr>
          <w:p w:rsidRPr="004D28AA" w:rsidR="00364C14" w:rsidP="0086740D" w:rsidRDefault="00364C14" w14:paraId="1DDCAE52" w14:textId="77777777">
            <w:pPr>
              <w:spacing w:line="276" w:lineRule="auto"/>
              <w:rPr>
                <w:sz w:val="12"/>
                <w:szCs w:val="12"/>
              </w:rPr>
            </w:pPr>
            <w:r w:rsidRPr="0036008A">
              <w:rPr>
                <w:sz w:val="12"/>
                <w:szCs w:val="12"/>
              </w:rPr>
              <w:t>23,9%</w:t>
            </w:r>
          </w:p>
        </w:tc>
        <w:tc>
          <w:tcPr>
            <w:tcW w:w="986" w:type="dxa"/>
            <w:vAlign w:val="center"/>
          </w:tcPr>
          <w:p w:rsidRPr="004D28AA" w:rsidR="00364C14" w:rsidP="0086740D" w:rsidRDefault="00364C14" w14:paraId="3618385C" w14:textId="77777777">
            <w:pPr>
              <w:spacing w:line="276" w:lineRule="auto"/>
              <w:rPr>
                <w:sz w:val="12"/>
                <w:szCs w:val="12"/>
              </w:rPr>
            </w:pPr>
            <w:r w:rsidRPr="004D28AA">
              <w:rPr>
                <w:sz w:val="12"/>
                <w:szCs w:val="12"/>
              </w:rPr>
              <w:t>5.796.906</w:t>
            </w:r>
          </w:p>
        </w:tc>
        <w:tc>
          <w:tcPr>
            <w:tcW w:w="1235" w:type="dxa"/>
            <w:vAlign w:val="center"/>
          </w:tcPr>
          <w:p w:rsidRPr="004D28AA" w:rsidR="00364C14" w:rsidP="0086740D" w:rsidRDefault="00364C14" w14:paraId="5A370094" w14:textId="77777777">
            <w:pPr>
              <w:spacing w:line="276" w:lineRule="auto"/>
              <w:rPr>
                <w:sz w:val="12"/>
                <w:szCs w:val="12"/>
              </w:rPr>
            </w:pPr>
            <w:r w:rsidRPr="0036008A">
              <w:rPr>
                <w:sz w:val="12"/>
                <w:szCs w:val="12"/>
              </w:rPr>
              <w:t>24,5%</w:t>
            </w:r>
          </w:p>
        </w:tc>
        <w:tc>
          <w:tcPr>
            <w:tcW w:w="986" w:type="dxa"/>
            <w:vAlign w:val="center"/>
          </w:tcPr>
          <w:p w:rsidRPr="004D28AA" w:rsidR="00364C14" w:rsidP="0086740D" w:rsidRDefault="00364C14" w14:paraId="0B1E21D5" w14:textId="77777777">
            <w:pPr>
              <w:spacing w:line="276" w:lineRule="auto"/>
              <w:rPr>
                <w:sz w:val="12"/>
                <w:szCs w:val="12"/>
              </w:rPr>
            </w:pPr>
            <w:r w:rsidRPr="004D28AA">
              <w:rPr>
                <w:sz w:val="12"/>
                <w:szCs w:val="12"/>
              </w:rPr>
              <w:t>15.506.148</w:t>
            </w:r>
          </w:p>
        </w:tc>
        <w:tc>
          <w:tcPr>
            <w:tcW w:w="1311" w:type="dxa"/>
            <w:vAlign w:val="center"/>
          </w:tcPr>
          <w:p w:rsidRPr="004D28AA" w:rsidR="00364C14" w:rsidP="0086740D" w:rsidRDefault="00364C14" w14:paraId="1E04A9B8" w14:textId="77777777">
            <w:pPr>
              <w:spacing w:line="276" w:lineRule="auto"/>
              <w:rPr>
                <w:sz w:val="12"/>
                <w:szCs w:val="12"/>
              </w:rPr>
            </w:pPr>
            <w:r w:rsidRPr="0036008A">
              <w:rPr>
                <w:sz w:val="12"/>
                <w:szCs w:val="12"/>
              </w:rPr>
              <w:t>19,7%</w:t>
            </w:r>
          </w:p>
        </w:tc>
        <w:tc>
          <w:tcPr>
            <w:tcW w:w="1071" w:type="dxa"/>
            <w:vAlign w:val="center"/>
          </w:tcPr>
          <w:p w:rsidRPr="004D28AA" w:rsidR="00364C14" w:rsidP="0086740D" w:rsidRDefault="00364C14" w14:paraId="33EFBA4E" w14:textId="77777777">
            <w:pPr>
              <w:spacing w:line="276" w:lineRule="auto"/>
              <w:rPr>
                <w:sz w:val="12"/>
                <w:szCs w:val="12"/>
              </w:rPr>
            </w:pPr>
            <w:r w:rsidRPr="004D28AA">
              <w:rPr>
                <w:sz w:val="12"/>
                <w:szCs w:val="12"/>
              </w:rPr>
              <w:t>29.910.091</w:t>
            </w:r>
          </w:p>
        </w:tc>
      </w:tr>
      <w:tr w:rsidR="00364C14" w:rsidTr="0086740D" w14:paraId="779B6ACC" w14:textId="77777777">
        <w:trPr>
          <w:trHeight w:val="541"/>
        </w:trPr>
        <w:tc>
          <w:tcPr>
            <w:tcW w:w="1148" w:type="dxa"/>
            <w:vAlign w:val="center"/>
          </w:tcPr>
          <w:p w:rsidRPr="008C5D97" w:rsidR="00364C14" w:rsidP="0086740D" w:rsidRDefault="00364C14" w14:paraId="21AE5464" w14:textId="77777777">
            <w:pPr>
              <w:spacing w:line="276" w:lineRule="auto"/>
              <w:rPr>
                <w:sz w:val="12"/>
                <w:szCs w:val="12"/>
              </w:rPr>
            </w:pPr>
            <w:r>
              <w:rPr>
                <w:sz w:val="12"/>
                <w:szCs w:val="12"/>
              </w:rPr>
              <w:t xml:space="preserve">Vaste </w:t>
            </w:r>
            <w:proofErr w:type="spellStart"/>
            <w:r>
              <w:rPr>
                <w:sz w:val="12"/>
                <w:szCs w:val="12"/>
              </w:rPr>
              <w:t>arbeids-overeenkomst</w:t>
            </w:r>
            <w:proofErr w:type="spellEnd"/>
          </w:p>
        </w:tc>
        <w:tc>
          <w:tcPr>
            <w:tcW w:w="1235" w:type="dxa"/>
            <w:vAlign w:val="center"/>
          </w:tcPr>
          <w:p w:rsidRPr="004D28AA" w:rsidR="00364C14" w:rsidP="0086740D" w:rsidRDefault="00364C14" w14:paraId="37E84CC1" w14:textId="77777777">
            <w:pPr>
              <w:spacing w:line="276" w:lineRule="auto"/>
              <w:rPr>
                <w:sz w:val="12"/>
                <w:szCs w:val="12"/>
              </w:rPr>
            </w:pPr>
            <w:r w:rsidRPr="0036008A">
              <w:rPr>
                <w:sz w:val="12"/>
                <w:szCs w:val="12"/>
              </w:rPr>
              <w:t>4,6%</w:t>
            </w:r>
          </w:p>
        </w:tc>
        <w:tc>
          <w:tcPr>
            <w:tcW w:w="986" w:type="dxa"/>
            <w:vAlign w:val="center"/>
          </w:tcPr>
          <w:p w:rsidRPr="004D28AA" w:rsidR="00364C14" w:rsidP="0086740D" w:rsidRDefault="00364C14" w14:paraId="65D56C71" w14:textId="77777777">
            <w:pPr>
              <w:spacing w:line="276" w:lineRule="auto"/>
              <w:rPr>
                <w:sz w:val="12"/>
                <w:szCs w:val="12"/>
              </w:rPr>
            </w:pPr>
            <w:r w:rsidRPr="004D28AA">
              <w:rPr>
                <w:sz w:val="12"/>
                <w:szCs w:val="12"/>
              </w:rPr>
              <w:t>1.098.099</w:t>
            </w:r>
          </w:p>
        </w:tc>
        <w:tc>
          <w:tcPr>
            <w:tcW w:w="1235" w:type="dxa"/>
            <w:vAlign w:val="center"/>
          </w:tcPr>
          <w:p w:rsidRPr="004D28AA" w:rsidR="00364C14" w:rsidP="0086740D" w:rsidRDefault="00364C14" w14:paraId="47AE0D35" w14:textId="77777777">
            <w:pPr>
              <w:spacing w:line="276" w:lineRule="auto"/>
              <w:rPr>
                <w:sz w:val="12"/>
                <w:szCs w:val="12"/>
              </w:rPr>
            </w:pPr>
            <w:r w:rsidRPr="0036008A">
              <w:rPr>
                <w:sz w:val="12"/>
                <w:szCs w:val="12"/>
              </w:rPr>
              <w:t>3,7%</w:t>
            </w:r>
          </w:p>
        </w:tc>
        <w:tc>
          <w:tcPr>
            <w:tcW w:w="986" w:type="dxa"/>
            <w:vAlign w:val="center"/>
          </w:tcPr>
          <w:p w:rsidRPr="004D28AA" w:rsidR="00364C14" w:rsidP="0086740D" w:rsidRDefault="00364C14" w14:paraId="7B3D8224" w14:textId="77777777">
            <w:pPr>
              <w:spacing w:line="276" w:lineRule="auto"/>
              <w:rPr>
                <w:sz w:val="12"/>
                <w:szCs w:val="12"/>
              </w:rPr>
            </w:pPr>
            <w:r w:rsidRPr="004D28AA">
              <w:rPr>
                <w:sz w:val="12"/>
                <w:szCs w:val="12"/>
              </w:rPr>
              <w:t>2.240.376</w:t>
            </w:r>
          </w:p>
        </w:tc>
        <w:tc>
          <w:tcPr>
            <w:tcW w:w="1311" w:type="dxa"/>
            <w:vAlign w:val="center"/>
          </w:tcPr>
          <w:p w:rsidRPr="004D28AA" w:rsidR="00364C14" w:rsidP="0086740D" w:rsidRDefault="00364C14" w14:paraId="01B6A1C2" w14:textId="77777777">
            <w:pPr>
              <w:spacing w:line="276" w:lineRule="auto"/>
              <w:rPr>
                <w:sz w:val="12"/>
                <w:szCs w:val="12"/>
              </w:rPr>
            </w:pPr>
            <w:r w:rsidRPr="0036008A">
              <w:rPr>
                <w:sz w:val="12"/>
                <w:szCs w:val="12"/>
              </w:rPr>
              <w:t>3,4%</w:t>
            </w:r>
          </w:p>
        </w:tc>
        <w:tc>
          <w:tcPr>
            <w:tcW w:w="1071" w:type="dxa"/>
            <w:vAlign w:val="center"/>
          </w:tcPr>
          <w:p w:rsidRPr="004D28AA" w:rsidR="00364C14" w:rsidP="0086740D" w:rsidRDefault="00364C14" w14:paraId="56683A8F" w14:textId="77777777">
            <w:pPr>
              <w:spacing w:line="276" w:lineRule="auto"/>
              <w:rPr>
                <w:sz w:val="12"/>
                <w:szCs w:val="12"/>
              </w:rPr>
            </w:pPr>
            <w:r w:rsidRPr="004D28AA">
              <w:rPr>
                <w:sz w:val="12"/>
                <w:szCs w:val="12"/>
              </w:rPr>
              <w:t>5.169.228</w:t>
            </w:r>
          </w:p>
        </w:tc>
      </w:tr>
      <w:tr w:rsidR="00364C14" w:rsidTr="0086740D" w14:paraId="05E6CFF8" w14:textId="77777777">
        <w:trPr>
          <w:trHeight w:val="432"/>
        </w:trPr>
        <w:tc>
          <w:tcPr>
            <w:tcW w:w="1148" w:type="dxa"/>
            <w:vAlign w:val="center"/>
          </w:tcPr>
          <w:p w:rsidRPr="008C5D97" w:rsidR="00364C14" w:rsidP="0086740D" w:rsidRDefault="00364C14" w14:paraId="205D05B4" w14:textId="77777777">
            <w:pPr>
              <w:spacing w:line="276" w:lineRule="auto"/>
              <w:rPr>
                <w:sz w:val="12"/>
                <w:szCs w:val="12"/>
              </w:rPr>
            </w:pPr>
            <w:r>
              <w:rPr>
                <w:color w:val="000000"/>
                <w:sz w:val="12"/>
                <w:szCs w:val="12"/>
              </w:rPr>
              <w:t>Kind van migrerend werknemer</w:t>
            </w:r>
          </w:p>
        </w:tc>
        <w:tc>
          <w:tcPr>
            <w:tcW w:w="1235" w:type="dxa"/>
            <w:vAlign w:val="center"/>
          </w:tcPr>
          <w:p w:rsidRPr="004D28AA" w:rsidR="00364C14" w:rsidP="0086740D" w:rsidRDefault="00364C14" w14:paraId="2BB08BF4" w14:textId="77777777">
            <w:pPr>
              <w:spacing w:line="276" w:lineRule="auto"/>
              <w:rPr>
                <w:sz w:val="12"/>
                <w:szCs w:val="12"/>
              </w:rPr>
            </w:pPr>
            <w:r w:rsidRPr="0036008A">
              <w:rPr>
                <w:sz w:val="12"/>
                <w:szCs w:val="12"/>
              </w:rPr>
              <w:t>10,4%</w:t>
            </w:r>
          </w:p>
        </w:tc>
        <w:tc>
          <w:tcPr>
            <w:tcW w:w="986" w:type="dxa"/>
            <w:vAlign w:val="center"/>
          </w:tcPr>
          <w:p w:rsidRPr="004D28AA" w:rsidR="00364C14" w:rsidP="0086740D" w:rsidRDefault="00364C14" w14:paraId="2EF5E702" w14:textId="77777777">
            <w:pPr>
              <w:spacing w:line="276" w:lineRule="auto"/>
              <w:rPr>
                <w:sz w:val="12"/>
                <w:szCs w:val="12"/>
              </w:rPr>
            </w:pPr>
            <w:r w:rsidRPr="0036008A">
              <w:rPr>
                <w:sz w:val="12"/>
                <w:szCs w:val="12"/>
              </w:rPr>
              <w:t>1.544.253</w:t>
            </w:r>
          </w:p>
        </w:tc>
        <w:tc>
          <w:tcPr>
            <w:tcW w:w="1235" w:type="dxa"/>
            <w:vAlign w:val="center"/>
          </w:tcPr>
          <w:p w:rsidRPr="004D28AA" w:rsidR="00364C14" w:rsidP="0086740D" w:rsidRDefault="00364C14" w14:paraId="2AAC09A0" w14:textId="77777777">
            <w:pPr>
              <w:spacing w:line="276" w:lineRule="auto"/>
              <w:rPr>
                <w:sz w:val="12"/>
                <w:szCs w:val="12"/>
              </w:rPr>
            </w:pPr>
            <w:r w:rsidRPr="0036008A">
              <w:rPr>
                <w:sz w:val="12"/>
                <w:szCs w:val="12"/>
              </w:rPr>
              <w:t>6,9%</w:t>
            </w:r>
          </w:p>
        </w:tc>
        <w:tc>
          <w:tcPr>
            <w:tcW w:w="986" w:type="dxa"/>
            <w:vAlign w:val="center"/>
          </w:tcPr>
          <w:p w:rsidRPr="004D28AA" w:rsidR="00364C14" w:rsidP="0086740D" w:rsidRDefault="00364C14" w14:paraId="24FA070F" w14:textId="77777777">
            <w:pPr>
              <w:spacing w:line="276" w:lineRule="auto"/>
              <w:rPr>
                <w:sz w:val="12"/>
                <w:szCs w:val="12"/>
              </w:rPr>
            </w:pPr>
            <w:r w:rsidRPr="0036008A">
              <w:rPr>
                <w:sz w:val="12"/>
                <w:szCs w:val="12"/>
              </w:rPr>
              <w:t>2.783.271</w:t>
            </w:r>
          </w:p>
        </w:tc>
        <w:tc>
          <w:tcPr>
            <w:tcW w:w="1311" w:type="dxa"/>
            <w:vAlign w:val="center"/>
          </w:tcPr>
          <w:p w:rsidRPr="004D28AA" w:rsidR="00364C14" w:rsidP="0086740D" w:rsidRDefault="00364C14" w14:paraId="26ED8C50" w14:textId="77777777">
            <w:pPr>
              <w:spacing w:line="276" w:lineRule="auto"/>
              <w:rPr>
                <w:sz w:val="12"/>
                <w:szCs w:val="12"/>
              </w:rPr>
            </w:pPr>
            <w:r w:rsidRPr="0036008A">
              <w:rPr>
                <w:sz w:val="12"/>
                <w:szCs w:val="12"/>
              </w:rPr>
              <w:t>5,0%</w:t>
            </w:r>
          </w:p>
        </w:tc>
        <w:tc>
          <w:tcPr>
            <w:tcW w:w="1071" w:type="dxa"/>
            <w:vAlign w:val="center"/>
          </w:tcPr>
          <w:p w:rsidRPr="004D28AA" w:rsidR="00364C14" w:rsidP="0086740D" w:rsidRDefault="00364C14" w14:paraId="022CA5F1" w14:textId="77777777">
            <w:pPr>
              <w:spacing w:line="276" w:lineRule="auto"/>
              <w:rPr>
                <w:sz w:val="12"/>
                <w:szCs w:val="12"/>
              </w:rPr>
            </w:pPr>
            <w:r w:rsidRPr="0036008A">
              <w:rPr>
                <w:sz w:val="12"/>
                <w:szCs w:val="12"/>
              </w:rPr>
              <w:t>5.287.158</w:t>
            </w:r>
          </w:p>
        </w:tc>
      </w:tr>
      <w:tr w:rsidR="00364C14" w:rsidTr="0086740D" w14:paraId="7704E1D2" w14:textId="77777777">
        <w:trPr>
          <w:trHeight w:val="541"/>
        </w:trPr>
        <w:tc>
          <w:tcPr>
            <w:tcW w:w="1148" w:type="dxa"/>
            <w:vAlign w:val="center"/>
          </w:tcPr>
          <w:p w:rsidRPr="008C5D97" w:rsidR="00364C14" w:rsidP="0086740D" w:rsidRDefault="00364C14" w14:paraId="02C5002B" w14:textId="77777777">
            <w:pPr>
              <w:spacing w:line="276" w:lineRule="auto"/>
              <w:rPr>
                <w:sz w:val="12"/>
                <w:szCs w:val="12"/>
              </w:rPr>
            </w:pPr>
            <w:r>
              <w:rPr>
                <w:sz w:val="12"/>
                <w:szCs w:val="12"/>
              </w:rPr>
              <w:t>Partner van migrerend werknemer</w:t>
            </w:r>
          </w:p>
        </w:tc>
        <w:tc>
          <w:tcPr>
            <w:tcW w:w="1235" w:type="dxa"/>
            <w:vAlign w:val="center"/>
          </w:tcPr>
          <w:p w:rsidRPr="004D28AA" w:rsidR="00364C14" w:rsidP="0086740D" w:rsidRDefault="00364C14" w14:paraId="5AA41607" w14:textId="77777777">
            <w:pPr>
              <w:spacing w:line="276" w:lineRule="auto"/>
              <w:rPr>
                <w:sz w:val="12"/>
                <w:szCs w:val="12"/>
              </w:rPr>
            </w:pPr>
            <w:r w:rsidRPr="0036008A">
              <w:rPr>
                <w:sz w:val="12"/>
                <w:szCs w:val="12"/>
              </w:rPr>
              <w:t>1,7%</w:t>
            </w:r>
          </w:p>
        </w:tc>
        <w:tc>
          <w:tcPr>
            <w:tcW w:w="986" w:type="dxa"/>
            <w:vAlign w:val="center"/>
          </w:tcPr>
          <w:p w:rsidRPr="004D28AA" w:rsidR="00364C14" w:rsidP="0086740D" w:rsidRDefault="00364C14" w14:paraId="63EDDFC4" w14:textId="77777777">
            <w:pPr>
              <w:spacing w:line="276" w:lineRule="auto"/>
              <w:rPr>
                <w:sz w:val="12"/>
                <w:szCs w:val="12"/>
              </w:rPr>
            </w:pPr>
            <w:r w:rsidRPr="004D28AA">
              <w:rPr>
                <w:sz w:val="12"/>
                <w:szCs w:val="12"/>
              </w:rPr>
              <w:t>393.525</w:t>
            </w:r>
          </w:p>
        </w:tc>
        <w:tc>
          <w:tcPr>
            <w:tcW w:w="1235" w:type="dxa"/>
            <w:vAlign w:val="center"/>
          </w:tcPr>
          <w:p w:rsidRPr="004D28AA" w:rsidR="00364C14" w:rsidP="0086740D" w:rsidRDefault="00364C14" w14:paraId="37AE4842" w14:textId="77777777">
            <w:pPr>
              <w:spacing w:line="276" w:lineRule="auto"/>
              <w:rPr>
                <w:sz w:val="12"/>
                <w:szCs w:val="12"/>
              </w:rPr>
            </w:pPr>
            <w:r w:rsidRPr="0036008A">
              <w:rPr>
                <w:sz w:val="12"/>
                <w:szCs w:val="12"/>
              </w:rPr>
              <w:t>1,1%</w:t>
            </w:r>
          </w:p>
        </w:tc>
        <w:tc>
          <w:tcPr>
            <w:tcW w:w="986" w:type="dxa"/>
            <w:vAlign w:val="center"/>
          </w:tcPr>
          <w:p w:rsidRPr="004D28AA" w:rsidR="00364C14" w:rsidP="0086740D" w:rsidRDefault="00364C14" w14:paraId="3416CE97" w14:textId="77777777">
            <w:pPr>
              <w:spacing w:line="276" w:lineRule="auto"/>
              <w:rPr>
                <w:sz w:val="12"/>
                <w:szCs w:val="12"/>
              </w:rPr>
            </w:pPr>
            <w:r w:rsidRPr="004D28AA">
              <w:rPr>
                <w:sz w:val="12"/>
                <w:szCs w:val="12"/>
              </w:rPr>
              <w:t>662.800</w:t>
            </w:r>
          </w:p>
        </w:tc>
        <w:tc>
          <w:tcPr>
            <w:tcW w:w="1311" w:type="dxa"/>
            <w:vAlign w:val="center"/>
          </w:tcPr>
          <w:p w:rsidRPr="004D28AA" w:rsidR="00364C14" w:rsidP="0086740D" w:rsidRDefault="00364C14" w14:paraId="6A003CB0" w14:textId="77777777">
            <w:pPr>
              <w:spacing w:line="276" w:lineRule="auto"/>
              <w:rPr>
                <w:sz w:val="12"/>
                <w:szCs w:val="12"/>
              </w:rPr>
            </w:pPr>
            <w:r w:rsidRPr="0036008A">
              <w:rPr>
                <w:sz w:val="12"/>
                <w:szCs w:val="12"/>
              </w:rPr>
              <w:t>0,8%</w:t>
            </w:r>
          </w:p>
        </w:tc>
        <w:tc>
          <w:tcPr>
            <w:tcW w:w="1071" w:type="dxa"/>
            <w:vAlign w:val="center"/>
          </w:tcPr>
          <w:p w:rsidRPr="004D28AA" w:rsidR="00364C14" w:rsidP="0086740D" w:rsidRDefault="00364C14" w14:paraId="262510DE" w14:textId="77777777">
            <w:pPr>
              <w:spacing w:line="276" w:lineRule="auto"/>
              <w:rPr>
                <w:sz w:val="12"/>
                <w:szCs w:val="12"/>
              </w:rPr>
            </w:pPr>
            <w:r w:rsidRPr="004D28AA">
              <w:rPr>
                <w:sz w:val="12"/>
                <w:szCs w:val="12"/>
              </w:rPr>
              <w:t>1.186.051</w:t>
            </w:r>
          </w:p>
        </w:tc>
      </w:tr>
      <w:tr w:rsidR="00364C14" w:rsidTr="0086740D" w14:paraId="5C303461" w14:textId="77777777">
        <w:trPr>
          <w:trHeight w:val="541"/>
        </w:trPr>
        <w:tc>
          <w:tcPr>
            <w:tcW w:w="1148" w:type="dxa"/>
            <w:shd w:val="clear" w:color="auto" w:fill="D9D9D9" w:themeFill="background1" w:themeFillShade="D9"/>
            <w:vAlign w:val="center"/>
          </w:tcPr>
          <w:p w:rsidRPr="007D62EF" w:rsidR="00364C14" w:rsidP="0086740D" w:rsidRDefault="00364C14" w14:paraId="115838F1" w14:textId="77777777">
            <w:pPr>
              <w:spacing w:line="276" w:lineRule="auto"/>
              <w:rPr>
                <w:b/>
                <w:bCs/>
                <w:sz w:val="12"/>
                <w:szCs w:val="12"/>
              </w:rPr>
            </w:pPr>
            <w:r w:rsidRPr="007D62EF">
              <w:rPr>
                <w:b/>
                <w:bCs/>
                <w:sz w:val="12"/>
                <w:szCs w:val="12"/>
              </w:rPr>
              <w:t>Totaal</w:t>
            </w:r>
          </w:p>
        </w:tc>
        <w:tc>
          <w:tcPr>
            <w:tcW w:w="1235" w:type="dxa"/>
            <w:shd w:val="clear" w:color="auto" w:fill="D9D9D9" w:themeFill="background1" w:themeFillShade="D9"/>
            <w:vAlign w:val="center"/>
          </w:tcPr>
          <w:p w:rsidRPr="007D62EF" w:rsidR="00364C14" w:rsidP="0086740D" w:rsidRDefault="00364C14" w14:paraId="008D2E93" w14:textId="77777777">
            <w:pPr>
              <w:spacing w:line="276" w:lineRule="auto"/>
              <w:rPr>
                <w:b/>
                <w:bCs/>
                <w:sz w:val="12"/>
                <w:szCs w:val="12"/>
              </w:rPr>
            </w:pPr>
            <w:r>
              <w:rPr>
                <w:b/>
                <w:bCs/>
                <w:sz w:val="12"/>
                <w:szCs w:val="12"/>
              </w:rPr>
              <w:t>100%</w:t>
            </w:r>
          </w:p>
        </w:tc>
        <w:tc>
          <w:tcPr>
            <w:tcW w:w="986" w:type="dxa"/>
            <w:shd w:val="clear" w:color="auto" w:fill="D9D9D9" w:themeFill="background1" w:themeFillShade="D9"/>
            <w:vAlign w:val="center"/>
          </w:tcPr>
          <w:p w:rsidRPr="007D62EF" w:rsidR="00364C14" w:rsidP="0086740D" w:rsidRDefault="00364C14" w14:paraId="434079A5" w14:textId="77777777">
            <w:pPr>
              <w:spacing w:line="276" w:lineRule="auto"/>
              <w:rPr>
                <w:b/>
                <w:bCs/>
                <w:sz w:val="12"/>
                <w:szCs w:val="12"/>
              </w:rPr>
            </w:pPr>
            <w:r w:rsidRPr="007D62EF">
              <w:rPr>
                <w:b/>
                <w:bCs/>
                <w:sz w:val="12"/>
                <w:szCs w:val="12"/>
              </w:rPr>
              <w:t>24.189.682</w:t>
            </w:r>
          </w:p>
        </w:tc>
        <w:tc>
          <w:tcPr>
            <w:tcW w:w="1235" w:type="dxa"/>
            <w:shd w:val="clear" w:color="auto" w:fill="D9D9D9" w:themeFill="background1" w:themeFillShade="D9"/>
            <w:vAlign w:val="center"/>
          </w:tcPr>
          <w:p w:rsidRPr="007D62EF" w:rsidR="00364C14" w:rsidP="0086740D" w:rsidRDefault="00364C14" w14:paraId="1B878A48" w14:textId="77777777">
            <w:pPr>
              <w:spacing w:line="276" w:lineRule="auto"/>
              <w:rPr>
                <w:b/>
                <w:bCs/>
                <w:sz w:val="12"/>
                <w:szCs w:val="12"/>
              </w:rPr>
            </w:pPr>
            <w:r>
              <w:rPr>
                <w:b/>
                <w:bCs/>
                <w:sz w:val="12"/>
                <w:szCs w:val="12"/>
              </w:rPr>
              <w:t>100%</w:t>
            </w:r>
          </w:p>
        </w:tc>
        <w:tc>
          <w:tcPr>
            <w:tcW w:w="986" w:type="dxa"/>
            <w:shd w:val="clear" w:color="auto" w:fill="D9D9D9" w:themeFill="background1" w:themeFillShade="D9"/>
            <w:vAlign w:val="center"/>
          </w:tcPr>
          <w:p w:rsidRPr="007D62EF" w:rsidR="00364C14" w:rsidP="0086740D" w:rsidRDefault="00364C14" w14:paraId="39D0BB35" w14:textId="77777777">
            <w:pPr>
              <w:spacing w:line="276" w:lineRule="auto"/>
              <w:rPr>
                <w:b/>
                <w:bCs/>
                <w:sz w:val="12"/>
                <w:szCs w:val="12"/>
              </w:rPr>
            </w:pPr>
            <w:r w:rsidRPr="007D62EF">
              <w:rPr>
                <w:b/>
                <w:bCs/>
                <w:sz w:val="12"/>
                <w:szCs w:val="12"/>
              </w:rPr>
              <w:t>63.035.660</w:t>
            </w:r>
          </w:p>
        </w:tc>
        <w:tc>
          <w:tcPr>
            <w:tcW w:w="1311" w:type="dxa"/>
            <w:shd w:val="clear" w:color="auto" w:fill="D9D9D9" w:themeFill="background1" w:themeFillShade="D9"/>
            <w:vAlign w:val="center"/>
          </w:tcPr>
          <w:p w:rsidRPr="007D62EF" w:rsidR="00364C14" w:rsidP="0086740D" w:rsidRDefault="00364C14" w14:paraId="17AAABEF" w14:textId="77777777">
            <w:pPr>
              <w:spacing w:line="276" w:lineRule="auto"/>
              <w:rPr>
                <w:b/>
                <w:bCs/>
                <w:sz w:val="12"/>
                <w:szCs w:val="12"/>
              </w:rPr>
            </w:pPr>
            <w:r>
              <w:rPr>
                <w:b/>
                <w:bCs/>
                <w:sz w:val="12"/>
                <w:szCs w:val="12"/>
              </w:rPr>
              <w:t>100%</w:t>
            </w:r>
          </w:p>
        </w:tc>
        <w:tc>
          <w:tcPr>
            <w:tcW w:w="1071" w:type="dxa"/>
            <w:shd w:val="clear" w:color="auto" w:fill="D9D9D9" w:themeFill="background1" w:themeFillShade="D9"/>
            <w:vAlign w:val="center"/>
          </w:tcPr>
          <w:p w:rsidRPr="007D62EF" w:rsidR="00364C14" w:rsidP="0086740D" w:rsidRDefault="00364C14" w14:paraId="0992B4D6" w14:textId="77777777">
            <w:pPr>
              <w:spacing w:line="276" w:lineRule="auto"/>
              <w:rPr>
                <w:b/>
                <w:bCs/>
                <w:sz w:val="12"/>
                <w:szCs w:val="12"/>
              </w:rPr>
            </w:pPr>
            <w:r w:rsidRPr="007D62EF">
              <w:rPr>
                <w:b/>
                <w:bCs/>
                <w:sz w:val="12"/>
                <w:szCs w:val="12"/>
              </w:rPr>
              <w:t>148.837.683</w:t>
            </w:r>
          </w:p>
        </w:tc>
      </w:tr>
    </w:tbl>
    <w:p w:rsidR="00364C14" w:rsidP="00364C14" w:rsidRDefault="00364C14" w14:paraId="405667BF" w14:textId="77777777"/>
    <w:p w:rsidR="00364C14" w:rsidP="00364C14" w:rsidRDefault="00364C14" w14:paraId="4DD6E38D" w14:textId="77777777">
      <w:pPr>
        <w:spacing w:line="276" w:lineRule="auto"/>
      </w:pPr>
    </w:p>
    <w:p w:rsidR="00364C14" w:rsidP="00364C14" w:rsidRDefault="00364C14" w14:paraId="47E477E8" w14:textId="77777777">
      <w:pPr>
        <w:spacing w:line="276" w:lineRule="auto"/>
      </w:pPr>
      <w:r>
        <w:t xml:space="preserve">Dezelfde lagere urennorm heeft minder effect gehad op de groepen studenten die aanspraak maken op studiefinanciering omdat zij kind of partner zijn van een migrerend werknemer. Deze ouders of partners voldeden waarschijnlijk in veel gevallen ook al aan de oude urennorm voor migrerend </w:t>
      </w:r>
      <w:proofErr w:type="spellStart"/>
      <w:r>
        <w:t>werknemerschap</w:t>
      </w:r>
      <w:proofErr w:type="spellEnd"/>
      <w:r>
        <w:t xml:space="preserve">. </w:t>
      </w:r>
    </w:p>
    <w:p w:rsidR="00364C14" w:rsidP="00364C14" w:rsidRDefault="00364C14" w14:paraId="22D8D766" w14:textId="77777777">
      <w:pPr>
        <w:spacing w:line="276" w:lineRule="auto"/>
      </w:pPr>
    </w:p>
    <w:p w:rsidR="00364C14" w:rsidP="00364C14" w:rsidRDefault="00364C14" w14:paraId="73CC2EE8" w14:textId="77777777">
      <w:pPr>
        <w:spacing w:line="276" w:lineRule="auto"/>
        <w:rPr>
          <w:i/>
          <w:iCs/>
          <w:szCs w:val="18"/>
        </w:rPr>
      </w:pPr>
      <w:r>
        <w:rPr>
          <w:i/>
          <w:iCs/>
          <w:szCs w:val="18"/>
        </w:rPr>
        <w:t>Meest voorkomende nationaliteiten</w:t>
      </w:r>
    </w:p>
    <w:p w:rsidR="00364C14" w:rsidP="00364C14" w:rsidRDefault="00364C14" w14:paraId="7B3065BA" w14:textId="77777777">
      <w:pPr>
        <w:spacing w:line="276" w:lineRule="auto"/>
        <w:rPr>
          <w:i/>
          <w:iCs/>
        </w:rPr>
      </w:pPr>
      <w:r w:rsidRPr="00467AFD">
        <w:t xml:space="preserve">Op 25 oktober 2024 </w:t>
      </w:r>
      <w:r>
        <w:t xml:space="preserve">heeft het toenmalig lid Hertzberger schriftelijke vragen gesteld over internationale studenten en studiefinanciering. Zij heeft hierbij specifiek gevraagd wat </w:t>
      </w:r>
      <w:r w:rsidRPr="00467AFD">
        <w:rPr>
          <w:i/>
          <w:iCs/>
        </w:rPr>
        <w:t>“de meest voorkomende nationaliteiten zijn in de groep internationale studenten die nu een aanvullende beurs ontvangen, en of specifieke lidstaten oververtegenwoordigd zijn vergeleken met het totale aantal internationale studenten?”</w:t>
      </w:r>
    </w:p>
    <w:p w:rsidR="00364C14" w:rsidP="00364C14" w:rsidRDefault="00364C14" w14:paraId="0ABB7CB2" w14:textId="77777777">
      <w:pPr>
        <w:spacing w:line="276" w:lineRule="auto"/>
        <w:rPr>
          <w:highlight w:val="yellow"/>
        </w:rPr>
      </w:pPr>
    </w:p>
    <w:p w:rsidRPr="00C03F80" w:rsidR="00364C14" w:rsidP="00364C14" w:rsidRDefault="00364C14" w14:paraId="55AB7056" w14:textId="77777777">
      <w:pPr>
        <w:spacing w:line="276" w:lineRule="auto"/>
        <w:rPr>
          <w:highlight w:val="yellow"/>
        </w:rPr>
      </w:pPr>
      <w:r w:rsidRPr="00467AFD">
        <w:t>In mijn antwoord op deze schriftelijk</w:t>
      </w:r>
      <w:r>
        <w:t>e</w:t>
      </w:r>
      <w:r w:rsidRPr="00467AFD">
        <w:t xml:space="preserve"> vraag heb</w:t>
      </w:r>
      <w:r>
        <w:t xml:space="preserve"> ik toegezegd te onderzoeken of deze informatie geleverd kan worden en u bij deze monitor over de voortgang te informeren.</w:t>
      </w:r>
      <w:r>
        <w:rPr>
          <w:rStyle w:val="Voetnootmarkering"/>
        </w:rPr>
        <w:footnoteReference w:id="23"/>
      </w:r>
      <w:r>
        <w:t xml:space="preserve"> Tot mijn spijt kan ik bij deze Kamerbrief nog niet de gevraagde informatie leveren. Voor dit informatieverzoek moeten studiefinancieringsgegevens gekoppeld worden met andere gegevensbestanden bij de Rijksoverheid. Het kost mij meer tijd om te onderzoeken of deze koppeling tot stand kan én mag worden gebracht. De benodigde koppeling dient zorgvuldig te worden uitgewerkt met zowel oog voor de uitvoerbaarheid als de wet- en regelgeving ten aanzien van het gebruik van persoonsgegevens. Ik informeer u zo spoedig mogelijk over de verdere voortgang van dit informatieverzoek.</w:t>
      </w:r>
    </w:p>
    <w:p w:rsidR="00E40269" w:rsidP="00034348" w:rsidRDefault="00E40269" w14:paraId="435D9A47" w14:textId="77777777">
      <w:pPr>
        <w:spacing w:line="276" w:lineRule="auto"/>
        <w:rPr>
          <w:b/>
          <w:bCs/>
          <w:szCs w:val="18"/>
        </w:rPr>
      </w:pPr>
    </w:p>
    <w:p w:rsidRPr="00C03F80" w:rsidR="00034348" w:rsidP="00034348" w:rsidRDefault="00034348" w14:paraId="503CF4EB" w14:textId="27109CD7">
      <w:pPr>
        <w:spacing w:line="276" w:lineRule="auto"/>
        <w:rPr>
          <w:b/>
          <w:bCs/>
          <w:szCs w:val="18"/>
        </w:rPr>
      </w:pPr>
      <w:r w:rsidRPr="008C3373">
        <w:rPr>
          <w:b/>
          <w:bCs/>
          <w:szCs w:val="18"/>
        </w:rPr>
        <w:t>Motie Soepboer</w:t>
      </w:r>
      <w:r w:rsidR="00C03F80">
        <w:rPr>
          <w:rStyle w:val="Voetnootmarkering"/>
          <w:b/>
          <w:bCs/>
          <w:szCs w:val="18"/>
        </w:rPr>
        <w:footnoteReference w:id="24"/>
      </w:r>
      <w:r>
        <w:rPr>
          <w:b/>
          <w:bCs/>
          <w:szCs w:val="18"/>
        </w:rPr>
        <w:t xml:space="preserve"> over </w:t>
      </w:r>
      <w:r w:rsidRPr="008C3373">
        <w:rPr>
          <w:b/>
          <w:bCs/>
          <w:szCs w:val="18"/>
        </w:rPr>
        <w:t>gegevensuitwisselingen over studiefinanciering en andere ondersteuning met andere landen te realiseren</w:t>
      </w:r>
    </w:p>
    <w:p w:rsidRPr="00C03F80" w:rsidR="00034348" w:rsidP="00034348" w:rsidRDefault="00034348" w14:paraId="4D8CADCB" w14:textId="77777777">
      <w:pPr>
        <w:spacing w:line="276" w:lineRule="auto"/>
        <w:rPr>
          <w:b/>
          <w:bCs/>
          <w:szCs w:val="18"/>
        </w:rPr>
      </w:pPr>
      <w:r>
        <w:rPr>
          <w:szCs w:val="18"/>
        </w:rPr>
        <w:t xml:space="preserve">In de Wet Studiefinanciering 2000 is bepaald dat een student geen aanspraak heeft op Nederlandse studiefinanciering, </w:t>
      </w:r>
      <w:r w:rsidRPr="003225CB">
        <w:rPr>
          <w:szCs w:val="18"/>
        </w:rPr>
        <w:t xml:space="preserve">wanneer een student </w:t>
      </w:r>
      <w:r>
        <w:rPr>
          <w:szCs w:val="18"/>
        </w:rPr>
        <w:t xml:space="preserve">in hetzelfde studiefinancieringstijdsvlak </w:t>
      </w:r>
      <w:r w:rsidRPr="003225CB">
        <w:rPr>
          <w:szCs w:val="18"/>
        </w:rPr>
        <w:t>ook buitenlandse studiefinanciering ontvangt.</w:t>
      </w:r>
      <w:r>
        <w:rPr>
          <w:rStyle w:val="Voetnootmarkering"/>
          <w:szCs w:val="18"/>
        </w:rPr>
        <w:footnoteReference w:id="25"/>
      </w:r>
      <w:r w:rsidRPr="003225CB">
        <w:rPr>
          <w:szCs w:val="18"/>
        </w:rPr>
        <w:t xml:space="preserve"> Op het moment dat wordt vastgesteld dat de student dubbele studiefinanciering ontvangt, kan DUO de toegekende Nederlandse studiefinanciering terugvorderen</w:t>
      </w:r>
      <w:r>
        <w:rPr>
          <w:b/>
          <w:bCs/>
          <w:szCs w:val="18"/>
        </w:rPr>
        <w:t xml:space="preserve">. </w:t>
      </w:r>
      <w:r>
        <w:rPr>
          <w:szCs w:val="18"/>
        </w:rPr>
        <w:t xml:space="preserve">Het is goed om te vermelden dat het verbod op cumulatie zowel gaat om internationale hbo- en wo-studenten die in Nederland studeren, als om Nederlandse hbo- en wo-studenten die in het </w:t>
      </w:r>
      <w:r w:rsidRPr="00C03F80">
        <w:rPr>
          <w:szCs w:val="18"/>
        </w:rPr>
        <w:t>buitenland studeren.</w:t>
      </w:r>
    </w:p>
    <w:p w:rsidRPr="00C03F80" w:rsidR="00034348" w:rsidP="00034348" w:rsidRDefault="00034348" w14:paraId="28F41718" w14:textId="469F8433">
      <w:pPr>
        <w:spacing w:line="276" w:lineRule="auto"/>
        <w:rPr>
          <w:szCs w:val="18"/>
        </w:rPr>
      </w:pPr>
      <w:r w:rsidRPr="00C03F80">
        <w:rPr>
          <w:szCs w:val="18"/>
        </w:rPr>
        <w:t xml:space="preserve">Hierna </w:t>
      </w:r>
      <w:r w:rsidRPr="00C03F80" w:rsidR="00C03F80">
        <w:rPr>
          <w:szCs w:val="18"/>
        </w:rPr>
        <w:t>wordt</w:t>
      </w:r>
      <w:r w:rsidRPr="00C03F80">
        <w:rPr>
          <w:szCs w:val="18"/>
        </w:rPr>
        <w:t xml:space="preserve"> achtereenvolgens ing</w:t>
      </w:r>
      <w:r w:rsidRPr="00C03F80" w:rsidR="00C03F80">
        <w:rPr>
          <w:szCs w:val="18"/>
        </w:rPr>
        <w:t>eg</w:t>
      </w:r>
      <w:r w:rsidRPr="00C03F80">
        <w:rPr>
          <w:szCs w:val="18"/>
        </w:rPr>
        <w:t xml:space="preserve">aan op hoe DUO kan komen </w:t>
      </w:r>
      <w:r w:rsidRPr="00C03F80" w:rsidR="00C03F80">
        <w:rPr>
          <w:szCs w:val="18"/>
        </w:rPr>
        <w:t xml:space="preserve">als publieke dienstverlener </w:t>
      </w:r>
      <w:r w:rsidRPr="00C03F80">
        <w:rPr>
          <w:szCs w:val="18"/>
        </w:rPr>
        <w:t xml:space="preserve">tot gegevensuitwisseling met deze landen en welke uitdagingen daarmee gepaard gaan. </w:t>
      </w:r>
    </w:p>
    <w:p w:rsidRPr="00C03F80" w:rsidR="00034348" w:rsidP="00034348" w:rsidRDefault="00034348" w14:paraId="3726BF19" w14:textId="77777777">
      <w:pPr>
        <w:spacing w:line="276" w:lineRule="auto"/>
        <w:rPr>
          <w:szCs w:val="18"/>
        </w:rPr>
      </w:pPr>
    </w:p>
    <w:p w:rsidRPr="008C3373" w:rsidR="00034348" w:rsidP="00034348" w:rsidRDefault="00C03F80" w14:paraId="647DF194" w14:textId="51A51378">
      <w:pPr>
        <w:spacing w:line="276" w:lineRule="auto"/>
        <w:rPr>
          <w:i/>
          <w:iCs/>
          <w:szCs w:val="18"/>
        </w:rPr>
      </w:pPr>
      <w:r w:rsidRPr="00C03F80">
        <w:rPr>
          <w:i/>
          <w:iCs/>
          <w:szCs w:val="18"/>
        </w:rPr>
        <w:t>Hoe</w:t>
      </w:r>
      <w:r w:rsidRPr="00C03F80" w:rsidR="00034348">
        <w:rPr>
          <w:i/>
          <w:iCs/>
          <w:szCs w:val="18"/>
        </w:rPr>
        <w:t xml:space="preserve"> </w:t>
      </w:r>
      <w:r w:rsidR="000A1C3A">
        <w:rPr>
          <w:i/>
          <w:iCs/>
          <w:szCs w:val="18"/>
        </w:rPr>
        <w:t>te</w:t>
      </w:r>
      <w:r w:rsidRPr="00C03F80">
        <w:rPr>
          <w:i/>
          <w:iCs/>
          <w:szCs w:val="18"/>
        </w:rPr>
        <w:t xml:space="preserve"> komen tot </w:t>
      </w:r>
      <w:r w:rsidRPr="00C03F80" w:rsidR="00034348">
        <w:rPr>
          <w:i/>
          <w:iCs/>
          <w:szCs w:val="18"/>
        </w:rPr>
        <w:t>gegevensuitwisseling met andere landen</w:t>
      </w:r>
    </w:p>
    <w:p w:rsidRPr="008C3373" w:rsidR="00034348" w:rsidP="00034348" w:rsidRDefault="000A1C3A" w14:paraId="4EA9B041" w14:textId="55438A7C">
      <w:pPr>
        <w:spacing w:line="276" w:lineRule="auto"/>
        <w:rPr>
          <w:szCs w:val="18"/>
        </w:rPr>
      </w:pPr>
      <w:r>
        <w:rPr>
          <w:szCs w:val="18"/>
        </w:rPr>
        <w:t>O</w:t>
      </w:r>
      <w:r w:rsidRPr="008C3373" w:rsidR="00034348">
        <w:rPr>
          <w:szCs w:val="18"/>
        </w:rPr>
        <w:t xml:space="preserve">ndanks dat </w:t>
      </w:r>
      <w:r>
        <w:rPr>
          <w:szCs w:val="18"/>
        </w:rPr>
        <w:t xml:space="preserve">er </w:t>
      </w:r>
      <w:r w:rsidRPr="008C3373" w:rsidR="00034348">
        <w:rPr>
          <w:szCs w:val="18"/>
        </w:rPr>
        <w:t>op Europees niveau gecoördineerde anti-cumulatieregels voor studiefinanciering ontbreken,</w:t>
      </w:r>
      <w:r>
        <w:rPr>
          <w:szCs w:val="18"/>
        </w:rPr>
        <w:t xml:space="preserve"> kunnen</w:t>
      </w:r>
      <w:r w:rsidRPr="008C3373" w:rsidR="00034348">
        <w:rPr>
          <w:szCs w:val="18"/>
        </w:rPr>
        <w:t xml:space="preserve"> bilaterale overeenkomsten</w:t>
      </w:r>
      <w:r>
        <w:rPr>
          <w:szCs w:val="18"/>
        </w:rPr>
        <w:t xml:space="preserve"> worden gesloten</w:t>
      </w:r>
      <w:r w:rsidRPr="008C3373" w:rsidR="00034348">
        <w:rPr>
          <w:szCs w:val="18"/>
        </w:rPr>
        <w:t xml:space="preserve"> met andere landen om gegevens uit te wisselen ter controle op cumulatieve studiefinanciering. </w:t>
      </w:r>
      <w:r>
        <w:rPr>
          <w:szCs w:val="18"/>
        </w:rPr>
        <w:t>Er zijn echter</w:t>
      </w:r>
      <w:r w:rsidRPr="008C3373" w:rsidR="00034348">
        <w:rPr>
          <w:szCs w:val="18"/>
        </w:rPr>
        <w:t xml:space="preserve"> geen (overkoepelende) internationale verdragen om op terug te vallen in het contact met die landen. Het komen tot gegevenswisseling met die landen is</w:t>
      </w:r>
      <w:r w:rsidR="00034348">
        <w:rPr>
          <w:szCs w:val="18"/>
        </w:rPr>
        <w:t xml:space="preserve"> daarmee</w:t>
      </w:r>
      <w:r w:rsidRPr="008C3373" w:rsidR="00034348">
        <w:rPr>
          <w:szCs w:val="18"/>
        </w:rPr>
        <w:t xml:space="preserve"> </w:t>
      </w:r>
      <w:r w:rsidR="00034348">
        <w:rPr>
          <w:szCs w:val="18"/>
        </w:rPr>
        <w:t xml:space="preserve">altijd </w:t>
      </w:r>
      <w:r w:rsidRPr="008C3373" w:rsidR="00034348">
        <w:rPr>
          <w:szCs w:val="18"/>
        </w:rPr>
        <w:t xml:space="preserve">afhankelijk van de vrijwillige medewerking van </w:t>
      </w:r>
      <w:r w:rsidR="00034348">
        <w:rPr>
          <w:szCs w:val="18"/>
        </w:rPr>
        <w:t>de desbetreffende</w:t>
      </w:r>
      <w:r w:rsidRPr="008C3373" w:rsidR="00034348">
        <w:rPr>
          <w:szCs w:val="18"/>
        </w:rPr>
        <w:t xml:space="preserve"> overheden. In de WSF2000 is de benodigde juridische grondslag aanwezig om de gegevens voor dit doel aan andere landen te verstrekken, te ontvangen en te verwerken. </w:t>
      </w:r>
    </w:p>
    <w:p w:rsidR="00034348" w:rsidP="00034348" w:rsidRDefault="00034348" w14:paraId="5EDB8042" w14:textId="77777777">
      <w:pPr>
        <w:spacing w:line="276" w:lineRule="auto"/>
        <w:rPr>
          <w:szCs w:val="18"/>
        </w:rPr>
      </w:pPr>
    </w:p>
    <w:p w:rsidR="00034348" w:rsidP="00034348" w:rsidRDefault="00034348" w14:paraId="25D44B3B" w14:textId="77777777">
      <w:pPr>
        <w:spacing w:line="276" w:lineRule="auto"/>
        <w:rPr>
          <w:szCs w:val="18"/>
        </w:rPr>
      </w:pPr>
      <w:r w:rsidRPr="008C3373">
        <w:rPr>
          <w:szCs w:val="18"/>
        </w:rPr>
        <w:t>De motie roept op om te beginnen met die landen (deelstaten) waar veel studenten vandaan komen. Uit het jaarlijkse rapport van Nuffic</w:t>
      </w:r>
      <w:r w:rsidRPr="008C3373">
        <w:rPr>
          <w:rStyle w:val="Voetnootmarkering"/>
          <w:szCs w:val="18"/>
        </w:rPr>
        <w:footnoteReference w:id="26"/>
      </w:r>
      <w:r w:rsidRPr="008C3373">
        <w:rPr>
          <w:szCs w:val="18"/>
        </w:rPr>
        <w:t xml:space="preserve"> met gegevens over internationale diplomastudenten in het studiejaar 2023-2024 in Nederland</w:t>
      </w:r>
      <w:r w:rsidRPr="008C3373">
        <w:rPr>
          <w:rStyle w:val="Voetnootmarkering"/>
          <w:szCs w:val="18"/>
        </w:rPr>
        <w:footnoteReference w:id="27"/>
      </w:r>
      <w:r w:rsidRPr="008C3373">
        <w:rPr>
          <w:szCs w:val="18"/>
        </w:rPr>
        <w:t xml:space="preserve"> komen de volgende negen EER-landen naar voren die in de top tien staan: Duitsland (nummer 1)</w:t>
      </w:r>
      <w:r w:rsidRPr="008C3373">
        <w:rPr>
          <w:rStyle w:val="Voetnootmarkering"/>
          <w:szCs w:val="18"/>
        </w:rPr>
        <w:footnoteReference w:id="28"/>
      </w:r>
      <w:r w:rsidRPr="008C3373">
        <w:rPr>
          <w:szCs w:val="18"/>
        </w:rPr>
        <w:t>, Italië (nummer 2), Roemenië (nummer 3), Spanje (nummer 5), Polen (nummer 6), Bulgarije (nummer 7), België (nummer 8), Frankrijk (nummer 9) en Griekenland (nummer 10).</w:t>
      </w:r>
    </w:p>
    <w:p w:rsidR="00034348" w:rsidP="00034348" w:rsidRDefault="00034348" w14:paraId="5C56D572" w14:textId="77777777">
      <w:pPr>
        <w:spacing w:line="276" w:lineRule="auto"/>
        <w:rPr>
          <w:szCs w:val="18"/>
        </w:rPr>
      </w:pPr>
    </w:p>
    <w:p w:rsidR="00034348" w:rsidP="00034348" w:rsidRDefault="00034348" w14:paraId="0A476D67" w14:textId="72C05C03">
      <w:pPr>
        <w:spacing w:line="276" w:lineRule="auto"/>
        <w:rPr>
          <w:szCs w:val="18"/>
        </w:rPr>
      </w:pPr>
      <w:r>
        <w:rPr>
          <w:szCs w:val="18"/>
        </w:rPr>
        <w:t>Gezien het verbod op cumulatie ook Nederlandse hbo- en wo-studenten betreft die in het buitenland studeren, is het ook goed om de landen in ogenschouw te nemen waar Nederlandse studenten gaan studeren met meeneembare studiefinanciering. Uit de top tien bestemmingslanden van Nederlandse studenten met meeneembare studiefinanciering</w:t>
      </w:r>
      <w:r>
        <w:rPr>
          <w:rStyle w:val="Voetnootmarkering"/>
          <w:szCs w:val="18"/>
        </w:rPr>
        <w:footnoteReference w:id="29"/>
      </w:r>
      <w:r>
        <w:rPr>
          <w:szCs w:val="18"/>
        </w:rPr>
        <w:t xml:space="preserve"> blijkt dat naast een aantal landen die in de vorige alinea worden genoemd ook met Zweden veel uitgaande diplomamobiliteit plaatsvindt. Om die reden </w:t>
      </w:r>
      <w:r w:rsidR="00C03F80">
        <w:rPr>
          <w:szCs w:val="18"/>
        </w:rPr>
        <w:t xml:space="preserve">is Zweden toegevoegd aan de lijst. </w:t>
      </w:r>
      <w:r>
        <w:rPr>
          <w:szCs w:val="18"/>
        </w:rPr>
        <w:t xml:space="preserve"> </w:t>
      </w:r>
    </w:p>
    <w:p w:rsidR="00034348" w:rsidP="00034348" w:rsidRDefault="00034348" w14:paraId="713CCCFA" w14:textId="77777777">
      <w:pPr>
        <w:spacing w:line="276" w:lineRule="auto"/>
        <w:rPr>
          <w:szCs w:val="18"/>
        </w:rPr>
      </w:pPr>
    </w:p>
    <w:p w:rsidR="006C7993" w:rsidP="00034348" w:rsidRDefault="006C7993" w14:paraId="0265F65B" w14:textId="77777777">
      <w:pPr>
        <w:spacing w:line="276" w:lineRule="auto"/>
        <w:rPr>
          <w:b/>
          <w:bCs/>
          <w:szCs w:val="18"/>
        </w:rPr>
      </w:pPr>
    </w:p>
    <w:p w:rsidRPr="0032341B" w:rsidR="00034348" w:rsidP="00034348" w:rsidRDefault="00034348" w14:paraId="44907461" w14:textId="3F06C951">
      <w:pPr>
        <w:spacing w:line="276" w:lineRule="auto"/>
        <w:rPr>
          <w:b/>
          <w:bCs/>
          <w:szCs w:val="18"/>
        </w:rPr>
      </w:pPr>
      <w:r w:rsidRPr="0032341B">
        <w:rPr>
          <w:b/>
          <w:bCs/>
          <w:szCs w:val="18"/>
        </w:rPr>
        <w:t>Voorgesteld plan</w:t>
      </w:r>
    </w:p>
    <w:p w:rsidR="00034348" w:rsidP="00034348" w:rsidRDefault="00C03F80" w14:paraId="74CD73E5" w14:textId="259DB84A">
      <w:pPr>
        <w:spacing w:line="276" w:lineRule="auto"/>
        <w:rPr>
          <w:szCs w:val="18"/>
        </w:rPr>
      </w:pPr>
      <w:r>
        <w:rPr>
          <w:szCs w:val="18"/>
        </w:rPr>
        <w:t xml:space="preserve">Het </w:t>
      </w:r>
      <w:r w:rsidRPr="008C3373" w:rsidR="00034348">
        <w:rPr>
          <w:szCs w:val="18"/>
        </w:rPr>
        <w:t>voorstel is dat</w:t>
      </w:r>
      <w:r>
        <w:rPr>
          <w:szCs w:val="18"/>
        </w:rPr>
        <w:t xml:space="preserve"> in samenspraak met</w:t>
      </w:r>
      <w:r w:rsidRPr="008C3373" w:rsidR="00034348">
        <w:rPr>
          <w:szCs w:val="18"/>
        </w:rPr>
        <w:t xml:space="preserve"> DUO</w:t>
      </w:r>
      <w:r>
        <w:rPr>
          <w:szCs w:val="18"/>
        </w:rPr>
        <w:t xml:space="preserve"> </w:t>
      </w:r>
      <w:r w:rsidR="000A1C3A">
        <w:rPr>
          <w:szCs w:val="18"/>
        </w:rPr>
        <w:t>onderzocht</w:t>
      </w:r>
      <w:r>
        <w:rPr>
          <w:szCs w:val="18"/>
        </w:rPr>
        <w:t xml:space="preserve"> wordt </w:t>
      </w:r>
      <w:r w:rsidR="000A1C3A">
        <w:rPr>
          <w:szCs w:val="18"/>
        </w:rPr>
        <w:t>of</w:t>
      </w:r>
      <w:r w:rsidRPr="008C3373" w:rsidR="00034348">
        <w:rPr>
          <w:szCs w:val="18"/>
        </w:rPr>
        <w:t xml:space="preserve"> bilaterale overeenkomsten </w:t>
      </w:r>
      <w:r w:rsidR="00034348">
        <w:rPr>
          <w:szCs w:val="18"/>
        </w:rPr>
        <w:t xml:space="preserve">ten behoeve van gegevensuitwisseling ter controle op cumulatie van studiefinanciering </w:t>
      </w:r>
      <w:r w:rsidRPr="008C3373" w:rsidR="00034348">
        <w:rPr>
          <w:szCs w:val="18"/>
        </w:rPr>
        <w:t xml:space="preserve">mogelijk en opportuun zijn met </w:t>
      </w:r>
      <w:r w:rsidR="00034348">
        <w:rPr>
          <w:szCs w:val="18"/>
        </w:rPr>
        <w:t>bovenstaande tien afzonderlijke EER-</w:t>
      </w:r>
      <w:r w:rsidRPr="008C3373" w:rsidR="00034348">
        <w:rPr>
          <w:szCs w:val="18"/>
        </w:rPr>
        <w:t>landen.</w:t>
      </w:r>
      <w:r w:rsidR="00034348">
        <w:rPr>
          <w:rStyle w:val="Voetnootmarkering"/>
          <w:szCs w:val="18"/>
        </w:rPr>
        <w:footnoteReference w:id="30"/>
      </w:r>
      <w:r w:rsidRPr="008C3373" w:rsidR="00034348">
        <w:rPr>
          <w:szCs w:val="18"/>
        </w:rPr>
        <w:t xml:space="preserve"> Hierbij </w:t>
      </w:r>
      <w:r>
        <w:rPr>
          <w:szCs w:val="18"/>
        </w:rPr>
        <w:t>is er bewust gekozen</w:t>
      </w:r>
      <w:r w:rsidRPr="008C3373" w:rsidR="00034348">
        <w:rPr>
          <w:szCs w:val="18"/>
        </w:rPr>
        <w:t xml:space="preserve"> te focussen op EER-landen</w:t>
      </w:r>
      <w:r w:rsidR="00034348">
        <w:rPr>
          <w:szCs w:val="18"/>
        </w:rPr>
        <w:t>,</w:t>
      </w:r>
      <w:r w:rsidRPr="008C3373" w:rsidR="00034348">
        <w:rPr>
          <w:szCs w:val="18"/>
        </w:rPr>
        <w:t xml:space="preserve"> omdat deze studenten op basis van EU-recht makkelijker aanspraak kunnen maken op studiefinanciering in vergelijking met niet-EER-studenten. </w:t>
      </w:r>
    </w:p>
    <w:p w:rsidR="00034348" w:rsidP="00034348" w:rsidRDefault="00034348" w14:paraId="08E3FD0C" w14:textId="77777777">
      <w:pPr>
        <w:spacing w:line="276" w:lineRule="auto"/>
        <w:rPr>
          <w:szCs w:val="18"/>
        </w:rPr>
      </w:pPr>
    </w:p>
    <w:p w:rsidRPr="008C3373" w:rsidR="00034348" w:rsidP="00034348" w:rsidRDefault="00034348" w14:paraId="2D6F7BB8" w14:textId="2D1EE598">
      <w:pPr>
        <w:pStyle w:val="Normaalweb"/>
        <w:shd w:val="clear" w:color="auto" w:fill="FFFFFF"/>
        <w:spacing w:before="0" w:beforeAutospacing="0" w:after="240" w:afterAutospacing="0" w:line="276" w:lineRule="auto"/>
        <w:rPr>
          <w:rFonts w:ascii="Verdana" w:hAnsi="Verdana" w:eastAsiaTheme="minorHAnsi" w:cstheme="minorBidi"/>
          <w:sz w:val="18"/>
          <w:szCs w:val="18"/>
          <w:lang w:eastAsia="en-US"/>
        </w:rPr>
      </w:pPr>
      <w:r w:rsidRPr="008C3373">
        <w:rPr>
          <w:rFonts w:ascii="Verdana" w:hAnsi="Verdana" w:eastAsiaTheme="minorHAnsi" w:cstheme="minorBidi"/>
          <w:sz w:val="18"/>
          <w:szCs w:val="18"/>
          <w:lang w:eastAsia="en-US"/>
        </w:rPr>
        <w:t>De motie roept ook om het uitwisselen van gegevens met andere landen over ‘andere ondersteuning’ naast studiefinanciering. Het is voor studenten juridisch niet verboden studiefinanciering te cumuleren met andere ondersteuning zoals kinderbijslag.</w:t>
      </w:r>
      <w:r w:rsidRPr="008C3373">
        <w:rPr>
          <w:rStyle w:val="Voetnootmarkering"/>
          <w:rFonts w:ascii="Verdana" w:hAnsi="Verdana" w:eastAsiaTheme="minorHAnsi" w:cstheme="minorBidi"/>
          <w:sz w:val="18"/>
          <w:szCs w:val="18"/>
          <w:lang w:eastAsia="en-US"/>
        </w:rPr>
        <w:footnoteReference w:id="31"/>
      </w:r>
      <w:r w:rsidRPr="008C3373">
        <w:rPr>
          <w:rFonts w:ascii="Verdana" w:hAnsi="Verdana" w:eastAsiaTheme="minorHAnsi" w:cstheme="minorBidi"/>
          <w:sz w:val="18"/>
          <w:szCs w:val="18"/>
          <w:lang w:eastAsia="en-US"/>
        </w:rPr>
        <w:t xml:space="preserve"> Ook in Nederland kunnen hbo- en wo-studenten tot 18 jaar tegelijkertijd recht hebben op studiefinanciering en hun ouder op kinderbijslag (en </w:t>
      </w:r>
      <w:proofErr w:type="spellStart"/>
      <w:r w:rsidRPr="008C3373">
        <w:rPr>
          <w:rFonts w:ascii="Verdana" w:hAnsi="Verdana" w:eastAsiaTheme="minorHAnsi" w:cstheme="minorBidi"/>
          <w:sz w:val="18"/>
          <w:szCs w:val="18"/>
          <w:lang w:eastAsia="en-US"/>
        </w:rPr>
        <w:t>kindgebonden</w:t>
      </w:r>
      <w:proofErr w:type="spellEnd"/>
      <w:r w:rsidRPr="008C3373">
        <w:rPr>
          <w:rFonts w:ascii="Verdana" w:hAnsi="Verdana" w:eastAsiaTheme="minorHAnsi" w:cstheme="minorBidi"/>
          <w:sz w:val="18"/>
          <w:szCs w:val="18"/>
          <w:lang w:eastAsia="en-US"/>
        </w:rPr>
        <w:t xml:space="preserve"> budget). Aangezien het niet juridisch verboden is te cumuleren met andere ondersteuning, ziet </w:t>
      </w:r>
      <w:r w:rsidR="00C03F80">
        <w:rPr>
          <w:rFonts w:ascii="Verdana" w:hAnsi="Verdana" w:eastAsiaTheme="minorHAnsi" w:cstheme="minorBidi"/>
          <w:sz w:val="18"/>
          <w:szCs w:val="18"/>
          <w:lang w:eastAsia="en-US"/>
        </w:rPr>
        <w:t>dit</w:t>
      </w:r>
      <w:r w:rsidRPr="008C3373">
        <w:rPr>
          <w:rFonts w:ascii="Verdana" w:hAnsi="Verdana" w:eastAsiaTheme="minorHAnsi" w:cstheme="minorBidi"/>
          <w:sz w:val="18"/>
          <w:szCs w:val="18"/>
          <w:lang w:eastAsia="en-US"/>
        </w:rPr>
        <w:t xml:space="preserve"> plan enkel op het cumuleren van studiefinanciering.</w:t>
      </w:r>
    </w:p>
    <w:p w:rsidRPr="008C3373" w:rsidR="00034348" w:rsidP="00034348" w:rsidRDefault="00034348" w14:paraId="28EA0AD3" w14:textId="77777777">
      <w:pPr>
        <w:spacing w:line="276" w:lineRule="auto"/>
        <w:rPr>
          <w:szCs w:val="18"/>
        </w:rPr>
      </w:pPr>
      <w:r w:rsidRPr="008C3373">
        <w:rPr>
          <w:i/>
          <w:iCs/>
          <w:szCs w:val="18"/>
        </w:rPr>
        <w:t>Uitdagingen bij het komen tot gegevensuitwisseling</w:t>
      </w:r>
    </w:p>
    <w:p w:rsidRPr="008C3373" w:rsidR="00034348" w:rsidP="00034348" w:rsidRDefault="00034348" w14:paraId="35AE1758" w14:textId="7D3DB630">
      <w:pPr>
        <w:spacing w:line="276" w:lineRule="auto"/>
        <w:rPr>
          <w:szCs w:val="18"/>
        </w:rPr>
      </w:pPr>
      <w:r w:rsidRPr="008C3373">
        <w:rPr>
          <w:szCs w:val="18"/>
        </w:rPr>
        <w:t>Uit eerdere contacten met EER-landen kwam naar voren</w:t>
      </w:r>
      <w:r w:rsidRPr="008C3373">
        <w:rPr>
          <w:rStyle w:val="Voetnootmarkering"/>
          <w:szCs w:val="18"/>
        </w:rPr>
        <w:footnoteReference w:id="32"/>
      </w:r>
      <w:r w:rsidRPr="008C3373">
        <w:rPr>
          <w:szCs w:val="18"/>
        </w:rPr>
        <w:t xml:space="preserve"> dat een aantal landen in eerste instantie welwillend tegenover het idee staa</w:t>
      </w:r>
      <w:r>
        <w:rPr>
          <w:szCs w:val="18"/>
        </w:rPr>
        <w:t>t</w:t>
      </w:r>
      <w:r w:rsidRPr="008C3373">
        <w:rPr>
          <w:szCs w:val="18"/>
        </w:rPr>
        <w:t xml:space="preserve"> om </w:t>
      </w:r>
      <w:r>
        <w:rPr>
          <w:szCs w:val="18"/>
        </w:rPr>
        <w:t xml:space="preserve">gegevensuitwisseling </w:t>
      </w:r>
      <w:r w:rsidRPr="008C3373">
        <w:rPr>
          <w:szCs w:val="18"/>
        </w:rPr>
        <w:t>met Nederland te onderzoeken. Echter z</w:t>
      </w:r>
      <w:r>
        <w:rPr>
          <w:szCs w:val="18"/>
        </w:rPr>
        <w:t>al</w:t>
      </w:r>
      <w:r w:rsidRPr="008C3373">
        <w:rPr>
          <w:szCs w:val="18"/>
        </w:rPr>
        <w:t xml:space="preserve"> een aantal landen van de tien geselecteerde landen naar verwachting minder behoefte óf mogelijkheden hebben om samen te werken op dit gebied. De belangrijkste voorwaarden en uitdagingen voor het sluiten van bilaterale overeenkomsten </w:t>
      </w:r>
      <w:r w:rsidR="00C03F80">
        <w:rPr>
          <w:szCs w:val="18"/>
        </w:rPr>
        <w:t>z</w:t>
      </w:r>
      <w:r w:rsidR="00CF4123">
        <w:rPr>
          <w:szCs w:val="18"/>
        </w:rPr>
        <w:t>u</w:t>
      </w:r>
      <w:r w:rsidR="00C03F80">
        <w:rPr>
          <w:szCs w:val="18"/>
        </w:rPr>
        <w:t>l</w:t>
      </w:r>
      <w:r w:rsidR="00CF4123">
        <w:rPr>
          <w:szCs w:val="18"/>
        </w:rPr>
        <w:t>len</w:t>
      </w:r>
      <w:r w:rsidR="00C03F80">
        <w:rPr>
          <w:szCs w:val="18"/>
        </w:rPr>
        <w:t xml:space="preserve"> hieronder worden toegelicht.</w:t>
      </w:r>
      <w:r w:rsidRPr="008C3373">
        <w:rPr>
          <w:szCs w:val="18"/>
        </w:rPr>
        <w:t xml:space="preserve"> </w:t>
      </w:r>
    </w:p>
    <w:p w:rsidRPr="008C3373" w:rsidR="00034348" w:rsidP="00034348" w:rsidRDefault="00034348" w14:paraId="72C26AE0" w14:textId="77777777">
      <w:pPr>
        <w:spacing w:line="276" w:lineRule="auto"/>
        <w:rPr>
          <w:szCs w:val="18"/>
        </w:rPr>
      </w:pPr>
    </w:p>
    <w:p w:rsidRPr="008C3373" w:rsidR="00034348" w:rsidP="00034348" w:rsidRDefault="00034348" w14:paraId="278B0066" w14:textId="77777777">
      <w:pPr>
        <w:spacing w:line="276" w:lineRule="auto"/>
        <w:rPr>
          <w:szCs w:val="18"/>
        </w:rPr>
      </w:pPr>
      <w:r w:rsidRPr="008C3373">
        <w:rPr>
          <w:szCs w:val="18"/>
        </w:rPr>
        <w:t xml:space="preserve">Een belangrijke voorwaarde om een bilaterale overeenkomst te kunnen sluiten is dat er in de andere landen (net zoals in de WFS 2000) een juridische grondslag aanwezig </w:t>
      </w:r>
      <w:r>
        <w:rPr>
          <w:szCs w:val="18"/>
        </w:rPr>
        <w:t>is</w:t>
      </w:r>
      <w:r w:rsidRPr="008C3373">
        <w:rPr>
          <w:szCs w:val="18"/>
        </w:rPr>
        <w:t xml:space="preserve"> om studiefinancieringsgegevens met andere landen te mogen delen. Niet alle landen hebben deze grondslag opgenomen in hun wetgeving. Zolang de</w:t>
      </w:r>
      <w:r>
        <w:rPr>
          <w:szCs w:val="18"/>
        </w:rPr>
        <w:t xml:space="preserve"> betreffende</w:t>
      </w:r>
      <w:r w:rsidRPr="008C3373">
        <w:rPr>
          <w:szCs w:val="18"/>
        </w:rPr>
        <w:t xml:space="preserve"> landen niet bereid zijn deze grondslag alsnog te creëren, is het niet mogelijk voor DUO om gegevensuitwisseling met deze landen tot stand te brengen.</w:t>
      </w:r>
    </w:p>
    <w:p w:rsidRPr="008C3373" w:rsidR="00034348" w:rsidP="00034348" w:rsidRDefault="00034348" w14:paraId="1A9B079F" w14:textId="77777777">
      <w:pPr>
        <w:spacing w:line="276" w:lineRule="auto"/>
        <w:rPr>
          <w:szCs w:val="18"/>
        </w:rPr>
      </w:pPr>
    </w:p>
    <w:p w:rsidRPr="008C3373" w:rsidR="00034348" w:rsidP="00034348" w:rsidRDefault="00034348" w14:paraId="48802BF0" w14:textId="77777777">
      <w:pPr>
        <w:spacing w:line="276" w:lineRule="auto"/>
        <w:rPr>
          <w:szCs w:val="18"/>
        </w:rPr>
      </w:pPr>
      <w:r w:rsidRPr="008C3373">
        <w:rPr>
          <w:szCs w:val="18"/>
        </w:rPr>
        <w:t xml:space="preserve">Een andere belangrijke factor bij het sluiten van een bilaterale overeenkomst is </w:t>
      </w:r>
      <w:r>
        <w:rPr>
          <w:szCs w:val="18"/>
        </w:rPr>
        <w:t>de vraag in hoeverre er een</w:t>
      </w:r>
      <w:r w:rsidRPr="008C3373">
        <w:rPr>
          <w:szCs w:val="18"/>
        </w:rPr>
        <w:t xml:space="preserve"> risico </w:t>
      </w:r>
      <w:r>
        <w:rPr>
          <w:szCs w:val="18"/>
        </w:rPr>
        <w:t xml:space="preserve">is </w:t>
      </w:r>
      <w:r w:rsidRPr="008C3373">
        <w:rPr>
          <w:szCs w:val="18"/>
        </w:rPr>
        <w:t xml:space="preserve">op het cumuleren van studiefinanciering. Waar in Nederland gekozen is om een basisbeurs aan een groot deel van de studenten beschikbaar te stellen, is dat internationaal gezien een uitzondering. In andere landen is studiefinanciering vaker afhankelijk gemaakt van de onderwijsprestaties van de student of de financiële situatie van de student (of </w:t>
      </w:r>
      <w:r>
        <w:rPr>
          <w:szCs w:val="18"/>
        </w:rPr>
        <w:t>diens</w:t>
      </w:r>
      <w:r w:rsidRPr="008C3373">
        <w:rPr>
          <w:szCs w:val="18"/>
        </w:rPr>
        <w:t xml:space="preserve"> ouders). Daarnaast bieden niet alle landen de mogelijkheid om studiefinanciering mee te nemen naar het buitenland. Dit maakt dat in sommige landen slechts een relatief kleine groep (of zelfs geen groep) aanspraak maakt op studiefinanciering</w:t>
      </w:r>
      <w:r>
        <w:rPr>
          <w:szCs w:val="18"/>
        </w:rPr>
        <w:t xml:space="preserve"> voor een opleiding in Nederland</w:t>
      </w:r>
      <w:r w:rsidRPr="008C3373">
        <w:rPr>
          <w:szCs w:val="18"/>
        </w:rPr>
        <w:t xml:space="preserve">. Hierdoor kan de situatie </w:t>
      </w:r>
      <w:r w:rsidRPr="008C3373">
        <w:rPr>
          <w:szCs w:val="18"/>
        </w:rPr>
        <w:lastRenderedPageBreak/>
        <w:t xml:space="preserve">ontstaan dat het niet meer doelmatig is om gegevensuitwisseling met een land tot stand te brengen.  </w:t>
      </w:r>
    </w:p>
    <w:p w:rsidRPr="008C3373" w:rsidR="00034348" w:rsidP="00034348" w:rsidRDefault="00034348" w14:paraId="78227378" w14:textId="77777777">
      <w:pPr>
        <w:spacing w:line="276" w:lineRule="auto"/>
        <w:rPr>
          <w:szCs w:val="18"/>
        </w:rPr>
      </w:pPr>
    </w:p>
    <w:p w:rsidR="00034348" w:rsidP="00034348" w:rsidRDefault="00034348" w14:paraId="5CB4C844" w14:textId="77777777">
      <w:pPr>
        <w:spacing w:line="276" w:lineRule="auto"/>
        <w:rPr>
          <w:szCs w:val="18"/>
        </w:rPr>
      </w:pPr>
      <w:r w:rsidRPr="008C3373">
        <w:rPr>
          <w:szCs w:val="18"/>
        </w:rPr>
        <w:t>Daarnaast moeten gegevens die Nederland van andere landen ontvangt in goede overeenstemming zijn met de Nederlandse gegevens. Zo moet duidelijk worden dat een specifieke student op een specifiek moment studiefinanciering cumuleert. We kunnen er niet zonder meer vanuit gaan dat in alle landen de administratie van de studiefinanciering volledig actueel is en continu goed uit te wisselen valt. Er kan bijvoorbeeld in bepaalde landen nog sprake zijn van een deels papieren administratie. Dit maakt het lastiger om continu gegevens uit te wisselen op basis van de actuele situatie van studenten die studiefinanciering ontvangen.</w:t>
      </w:r>
    </w:p>
    <w:p w:rsidR="00034348" w:rsidP="00034348" w:rsidRDefault="00034348" w14:paraId="1E73B458" w14:textId="77777777">
      <w:pPr>
        <w:spacing w:line="276" w:lineRule="auto"/>
        <w:rPr>
          <w:szCs w:val="18"/>
        </w:rPr>
      </w:pPr>
    </w:p>
    <w:p w:rsidRPr="008C3373" w:rsidR="00034348" w:rsidP="00034348" w:rsidRDefault="00034348" w14:paraId="57DA4D10" w14:textId="77777777">
      <w:pPr>
        <w:spacing w:line="276" w:lineRule="auto"/>
        <w:rPr>
          <w:szCs w:val="18"/>
        </w:rPr>
      </w:pPr>
      <w:r w:rsidRPr="008C3373">
        <w:rPr>
          <w:szCs w:val="18"/>
        </w:rPr>
        <w:t xml:space="preserve">Om het cumuleren van studiefinanciering adequaat vast te stellen, moet Nederland met </w:t>
      </w:r>
      <w:r>
        <w:rPr>
          <w:szCs w:val="18"/>
        </w:rPr>
        <w:t xml:space="preserve">de betreffende </w:t>
      </w:r>
      <w:r w:rsidRPr="008C3373">
        <w:rPr>
          <w:szCs w:val="18"/>
        </w:rPr>
        <w:t xml:space="preserve">landen continu actuele gegevens uitwisselen. Dan kan steeds opnieuw worden vastgesteld of en welke studenten studiefinanciering cumuleren. </w:t>
      </w:r>
      <w:r>
        <w:rPr>
          <w:szCs w:val="18"/>
        </w:rPr>
        <w:t>D</w:t>
      </w:r>
      <w:r w:rsidRPr="008C3373">
        <w:rPr>
          <w:szCs w:val="18"/>
        </w:rPr>
        <w:t xml:space="preserve">e </w:t>
      </w:r>
      <w:r>
        <w:rPr>
          <w:szCs w:val="18"/>
        </w:rPr>
        <w:t xml:space="preserve">grote </w:t>
      </w:r>
      <w:r w:rsidRPr="008C3373">
        <w:rPr>
          <w:szCs w:val="18"/>
        </w:rPr>
        <w:t xml:space="preserve">inzet die dit vraagt kan een forse uitdaging vormen </w:t>
      </w:r>
      <w:r>
        <w:rPr>
          <w:szCs w:val="18"/>
        </w:rPr>
        <w:t>voor</w:t>
      </w:r>
      <w:r w:rsidRPr="008C3373">
        <w:rPr>
          <w:szCs w:val="18"/>
        </w:rPr>
        <w:t xml:space="preserve"> </w:t>
      </w:r>
      <w:r>
        <w:rPr>
          <w:szCs w:val="18"/>
        </w:rPr>
        <w:t xml:space="preserve">Nederland en </w:t>
      </w:r>
      <w:r w:rsidRPr="008C3373">
        <w:rPr>
          <w:szCs w:val="18"/>
        </w:rPr>
        <w:t xml:space="preserve">andere landen. </w:t>
      </w:r>
      <w:r>
        <w:rPr>
          <w:szCs w:val="18"/>
        </w:rPr>
        <w:t>Bovendien</w:t>
      </w:r>
      <w:r w:rsidRPr="008C3373">
        <w:rPr>
          <w:szCs w:val="18"/>
        </w:rPr>
        <w:t xml:space="preserve"> heeft</w:t>
      </w:r>
      <w:r>
        <w:rPr>
          <w:szCs w:val="18"/>
        </w:rPr>
        <w:t xml:space="preserve"> dit</w:t>
      </w:r>
      <w:r w:rsidRPr="008C3373">
        <w:rPr>
          <w:szCs w:val="18"/>
        </w:rPr>
        <w:t xml:space="preserve"> forse impact op de ICT van DUO.  </w:t>
      </w:r>
    </w:p>
    <w:p w:rsidRPr="008C3373" w:rsidR="00034348" w:rsidP="00034348" w:rsidRDefault="00034348" w14:paraId="6CCB4862" w14:textId="77777777">
      <w:pPr>
        <w:spacing w:line="276" w:lineRule="auto"/>
        <w:rPr>
          <w:szCs w:val="18"/>
        </w:rPr>
      </w:pPr>
    </w:p>
    <w:p w:rsidRPr="008C3373" w:rsidR="00034348" w:rsidP="00034348" w:rsidRDefault="00034348" w14:paraId="4DA4D52E" w14:textId="77777777">
      <w:pPr>
        <w:spacing w:line="276" w:lineRule="auto"/>
        <w:rPr>
          <w:szCs w:val="18"/>
        </w:rPr>
      </w:pPr>
      <w:r w:rsidRPr="008C3373">
        <w:rPr>
          <w:szCs w:val="18"/>
        </w:rPr>
        <w:t xml:space="preserve">Tot slot is er nog geen eenduidige definitie </w:t>
      </w:r>
      <w:r>
        <w:rPr>
          <w:szCs w:val="18"/>
        </w:rPr>
        <w:t xml:space="preserve">van </w:t>
      </w:r>
      <w:r w:rsidRPr="008C3373">
        <w:rPr>
          <w:szCs w:val="18"/>
        </w:rPr>
        <w:t xml:space="preserve">studiefinanciering. Bij de controles moet DUO op basis van heldere richtlijnen van OCW kunnen beoordelen welke bijdragen van buitenlandse overheden onder studiefinanciering vallen en welke bijdragen niet. </w:t>
      </w:r>
      <w:r>
        <w:rPr>
          <w:szCs w:val="18"/>
        </w:rPr>
        <w:t xml:space="preserve">De definitie is tevens van belang om te kunnen beoordelen of studenten </w:t>
      </w:r>
      <w:r w:rsidRPr="008C3373">
        <w:rPr>
          <w:szCs w:val="18"/>
        </w:rPr>
        <w:t xml:space="preserve">studiefinanciering cumuleren. OCW is in samenwerking met DUO aan het uitwerken welke bijdragen wel en niet onder studiefinanciering vallen. </w:t>
      </w:r>
      <w:r>
        <w:rPr>
          <w:szCs w:val="18"/>
        </w:rPr>
        <w:t>D</w:t>
      </w:r>
      <w:r w:rsidRPr="008C3373">
        <w:rPr>
          <w:szCs w:val="18"/>
        </w:rPr>
        <w:t xml:space="preserve">e verwachting </w:t>
      </w:r>
      <w:r>
        <w:rPr>
          <w:szCs w:val="18"/>
        </w:rPr>
        <w:t xml:space="preserve">is </w:t>
      </w:r>
      <w:r w:rsidRPr="008C3373">
        <w:rPr>
          <w:szCs w:val="18"/>
        </w:rPr>
        <w:t>dat er tijdig een definitie beschikbaar is, op basis waarvan controles mogelijk zijn.</w:t>
      </w:r>
    </w:p>
    <w:p w:rsidRPr="008C3373" w:rsidR="00034348" w:rsidP="00034348" w:rsidRDefault="00034348" w14:paraId="47933009" w14:textId="77777777">
      <w:pPr>
        <w:spacing w:line="276" w:lineRule="auto"/>
        <w:rPr>
          <w:szCs w:val="18"/>
        </w:rPr>
      </w:pPr>
    </w:p>
    <w:p w:rsidRPr="00820DDA" w:rsidR="00820DDA" w:rsidP="00C03F80" w:rsidRDefault="00C03F80" w14:paraId="5A80B9DA" w14:textId="23FC2784">
      <w:pPr>
        <w:spacing w:line="276" w:lineRule="auto"/>
      </w:pPr>
      <w:r w:rsidRPr="00E61ACA">
        <w:rPr>
          <w:szCs w:val="18"/>
        </w:rPr>
        <w:t xml:space="preserve">Alles overwegende, lijkt het er op dit moment op dat de controles door middel van gegevensuitwisseling met EER-landen het meeste kans van slagen heeft in EER-landen waar de meeste diplomamobiliteit mee plaatsvindt, waar sprake is van een uitgebreid studiefinancieringsstelsel én waar relatief de minste van bovengenoemde uitvoeringsuitdagingen spelen. </w:t>
      </w:r>
      <w:r w:rsidRPr="00E61ACA" w:rsidR="00E61ACA">
        <w:rPr>
          <w:szCs w:val="18"/>
        </w:rPr>
        <w:t xml:space="preserve">Zoals eerder in de brief staat beschreven, wordt er over dit plan verder in gesprek met DUO gegaan en </w:t>
      </w:r>
      <w:r w:rsidR="00E61ACA">
        <w:rPr>
          <w:szCs w:val="18"/>
        </w:rPr>
        <w:t>verzocht om een</w:t>
      </w:r>
      <w:r w:rsidRPr="00E61ACA" w:rsidR="00E61ACA">
        <w:rPr>
          <w:szCs w:val="18"/>
        </w:rPr>
        <w:t xml:space="preserve"> uitvoeringstoets </w:t>
      </w:r>
      <w:r w:rsidR="00E61ACA">
        <w:rPr>
          <w:szCs w:val="18"/>
        </w:rPr>
        <w:t>uit te brengen</w:t>
      </w:r>
      <w:r w:rsidRPr="00E61ACA" w:rsidR="00E61ACA">
        <w:rPr>
          <w:szCs w:val="18"/>
        </w:rPr>
        <w:t xml:space="preserve">, waarna een definitieve afweging wordt gemaakt of dit plan </w:t>
      </w:r>
      <w:r w:rsidR="0067362D">
        <w:rPr>
          <w:szCs w:val="18"/>
        </w:rPr>
        <w:t>zal worden</w:t>
      </w:r>
      <w:r w:rsidRPr="00E61ACA" w:rsidR="00E61ACA">
        <w:rPr>
          <w:szCs w:val="18"/>
        </w:rPr>
        <w:t xml:space="preserve"> uitgevoerd. </w:t>
      </w:r>
      <w:r w:rsidRPr="00E61ACA">
        <w:rPr>
          <w:szCs w:val="18"/>
        </w:rPr>
        <w:t>Aan de voorkant is er</w:t>
      </w:r>
      <w:r w:rsidR="00E61ACA">
        <w:rPr>
          <w:szCs w:val="18"/>
        </w:rPr>
        <w:t xml:space="preserve"> daarbij</w:t>
      </w:r>
      <w:r w:rsidRPr="00E61ACA">
        <w:rPr>
          <w:szCs w:val="18"/>
        </w:rPr>
        <w:t xml:space="preserve"> geen enkele garantie of een overeenkomst voor gegevensuitwisseling</w:t>
      </w:r>
      <w:r w:rsidRPr="008C3373">
        <w:rPr>
          <w:szCs w:val="18"/>
        </w:rPr>
        <w:t xml:space="preserve"> gaat lukken en hoeveel cumulatie uiteindelijk wordt geconstateerd en teruggevorderd.</w:t>
      </w:r>
      <w:r w:rsidRPr="004354B2">
        <w:t xml:space="preserve"> </w:t>
      </w:r>
      <w:r>
        <w:t>DUO kan zich alleen inspannen om met andere landen te komen tot gegevensuitwisselingsovereenkomsten over studiefinanciering, maar er kan daarbij vooraf geen resultaat worden gegarandeerd.</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5658" w14:textId="77777777" w:rsidR="005E795E" w:rsidRDefault="005E795E">
      <w:r>
        <w:separator/>
      </w:r>
    </w:p>
    <w:p w14:paraId="32EB6747" w14:textId="77777777" w:rsidR="005E795E" w:rsidRDefault="005E795E"/>
  </w:endnote>
  <w:endnote w:type="continuationSeparator" w:id="0">
    <w:p w14:paraId="0E8D5B5B" w14:textId="77777777" w:rsidR="005E795E" w:rsidRDefault="005E795E">
      <w:r>
        <w:continuationSeparator/>
      </w:r>
    </w:p>
    <w:p w14:paraId="5FF659B2" w14:textId="77777777" w:rsidR="005E795E" w:rsidRDefault="005E7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53DA" w14:textId="77777777" w:rsidR="00626DE5" w:rsidRDefault="00626D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2A6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C04C8" w14:paraId="0A6AF98A" w14:textId="77777777" w:rsidTr="004C7E1D">
      <w:trPr>
        <w:trHeight w:hRule="exact" w:val="357"/>
      </w:trPr>
      <w:tc>
        <w:tcPr>
          <w:tcW w:w="7603" w:type="dxa"/>
          <w:shd w:val="clear" w:color="auto" w:fill="auto"/>
        </w:tcPr>
        <w:p w14:paraId="58B5A568" w14:textId="77777777" w:rsidR="002F71BB" w:rsidRPr="004C7E1D" w:rsidRDefault="002F71BB" w:rsidP="004C7E1D">
          <w:pPr>
            <w:spacing w:line="180" w:lineRule="exact"/>
            <w:rPr>
              <w:sz w:val="13"/>
              <w:szCs w:val="13"/>
            </w:rPr>
          </w:pPr>
        </w:p>
      </w:tc>
      <w:tc>
        <w:tcPr>
          <w:tcW w:w="2172" w:type="dxa"/>
          <w:shd w:val="clear" w:color="auto" w:fill="auto"/>
        </w:tcPr>
        <w:p w14:paraId="4B976783" w14:textId="0AA8D7E8" w:rsidR="002F71BB" w:rsidRPr="004C7E1D" w:rsidRDefault="00F4081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1283">
            <w:rPr>
              <w:szCs w:val="13"/>
            </w:rPr>
            <w:t>14</w:t>
          </w:r>
          <w:r w:rsidRPr="004C7E1D">
            <w:rPr>
              <w:szCs w:val="13"/>
            </w:rPr>
            <w:fldChar w:fldCharType="end"/>
          </w:r>
        </w:p>
      </w:tc>
    </w:tr>
  </w:tbl>
  <w:p w14:paraId="44F3DAA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C04C8" w14:paraId="7B69BBA2" w14:textId="77777777" w:rsidTr="004C7E1D">
      <w:trPr>
        <w:trHeight w:hRule="exact" w:val="357"/>
      </w:trPr>
      <w:tc>
        <w:tcPr>
          <w:tcW w:w="7709" w:type="dxa"/>
          <w:shd w:val="clear" w:color="auto" w:fill="auto"/>
        </w:tcPr>
        <w:p w14:paraId="6C18B7DD" w14:textId="77777777" w:rsidR="00D17084" w:rsidRPr="004C7E1D" w:rsidRDefault="00D17084" w:rsidP="004C7E1D">
          <w:pPr>
            <w:spacing w:line="180" w:lineRule="exact"/>
            <w:rPr>
              <w:sz w:val="13"/>
              <w:szCs w:val="13"/>
            </w:rPr>
          </w:pPr>
        </w:p>
      </w:tc>
      <w:tc>
        <w:tcPr>
          <w:tcW w:w="2060" w:type="dxa"/>
          <w:shd w:val="clear" w:color="auto" w:fill="auto"/>
        </w:tcPr>
        <w:p w14:paraId="0B529D50" w14:textId="768ED30A" w:rsidR="00D17084" w:rsidRPr="004C7E1D" w:rsidRDefault="00F4081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1283">
            <w:rPr>
              <w:szCs w:val="13"/>
            </w:rPr>
            <w:t>14</w:t>
          </w:r>
          <w:r w:rsidRPr="004C7E1D">
            <w:rPr>
              <w:szCs w:val="13"/>
            </w:rPr>
            <w:fldChar w:fldCharType="end"/>
          </w:r>
        </w:p>
      </w:tc>
    </w:tr>
  </w:tbl>
  <w:p w14:paraId="2250313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FF7E" w14:textId="77777777" w:rsidR="005E795E" w:rsidRDefault="005E795E">
      <w:r>
        <w:separator/>
      </w:r>
    </w:p>
    <w:p w14:paraId="7CAA5086" w14:textId="77777777" w:rsidR="005E795E" w:rsidRDefault="005E795E"/>
  </w:footnote>
  <w:footnote w:type="continuationSeparator" w:id="0">
    <w:p w14:paraId="2BDFFBDA" w14:textId="77777777" w:rsidR="005E795E" w:rsidRDefault="005E795E">
      <w:r>
        <w:continuationSeparator/>
      </w:r>
    </w:p>
    <w:p w14:paraId="4ACD964A" w14:textId="77777777" w:rsidR="005E795E" w:rsidRDefault="005E795E"/>
  </w:footnote>
  <w:footnote w:id="1">
    <w:p w14:paraId="34C5A79C" w14:textId="211CE689" w:rsidR="00944F1E" w:rsidRDefault="00944F1E" w:rsidP="00885E18">
      <w:pPr>
        <w:pStyle w:val="Voetnoottekst"/>
        <w:spacing w:line="240" w:lineRule="auto"/>
      </w:pPr>
      <w:r>
        <w:rPr>
          <w:rStyle w:val="Voetnootmarkering"/>
        </w:rPr>
        <w:footnoteRef/>
      </w:r>
      <w:r>
        <w:t xml:space="preserve"> </w:t>
      </w:r>
      <w:r w:rsidR="00E06622">
        <w:t>Kamerstukken II</w:t>
      </w:r>
      <w:r w:rsidR="004306E6" w:rsidRPr="004306E6">
        <w:t xml:space="preserve"> 2024–2025, 31 288, nr. 1190</w:t>
      </w:r>
      <w:r w:rsidR="00C76942">
        <w:t>.</w:t>
      </w:r>
      <w:r w:rsidR="004306E6" w:rsidRPr="004306E6">
        <w:t xml:space="preserve"> </w:t>
      </w:r>
    </w:p>
  </w:footnote>
  <w:footnote w:id="2">
    <w:p w14:paraId="28B1B95B" w14:textId="6CC4D3A8" w:rsidR="00885E18" w:rsidRDefault="00885E18" w:rsidP="00885E18">
      <w:pPr>
        <w:pStyle w:val="Voetnoottekst"/>
        <w:spacing w:line="240" w:lineRule="auto"/>
      </w:pPr>
      <w:r>
        <w:rPr>
          <w:rStyle w:val="Voetnootmarkering"/>
        </w:rPr>
        <w:footnoteRef/>
      </w:r>
      <w:r>
        <w:t xml:space="preserve"> </w:t>
      </w:r>
      <w:r w:rsidR="00C76942">
        <w:t>Kamerstukken II</w:t>
      </w:r>
      <w:r w:rsidR="004306E6" w:rsidRPr="004306E6">
        <w:t xml:space="preserve"> 2024–2025, 31 288, nr. 1195</w:t>
      </w:r>
      <w:r w:rsidR="00C76942">
        <w:t>.</w:t>
      </w:r>
      <w:r w:rsidR="004306E6" w:rsidRPr="004306E6">
        <w:t xml:space="preserve"> </w:t>
      </w:r>
    </w:p>
  </w:footnote>
  <w:footnote w:id="3">
    <w:p w14:paraId="0C7982ED" w14:textId="55F8D595" w:rsidR="00202D4F" w:rsidRDefault="00202D4F" w:rsidP="00202D4F">
      <w:pPr>
        <w:pStyle w:val="Voetnoottekst"/>
        <w:spacing w:line="240" w:lineRule="auto"/>
      </w:pPr>
      <w:r>
        <w:rPr>
          <w:rStyle w:val="Voetnootmarkering"/>
        </w:rPr>
        <w:footnoteRef/>
      </w:r>
      <w:r>
        <w:t xml:space="preserve"> Kamerstukken II 2022-2023, 36 229, nr. 29</w:t>
      </w:r>
      <w:r w:rsidR="00C76942">
        <w:t>.</w:t>
      </w:r>
    </w:p>
  </w:footnote>
  <w:footnote w:id="4">
    <w:p w14:paraId="2CA062BD" w14:textId="46269137" w:rsidR="00202D4F" w:rsidRDefault="00202D4F" w:rsidP="00202D4F">
      <w:pPr>
        <w:pStyle w:val="Voetnoottekst"/>
        <w:spacing w:line="240" w:lineRule="auto"/>
      </w:pPr>
      <w:r>
        <w:rPr>
          <w:rStyle w:val="Voetnootmarkering"/>
        </w:rPr>
        <w:footnoteRef/>
      </w:r>
      <w:r>
        <w:t xml:space="preserve"> Kamerstukken II 2024-2025, 31 228, nr. 1169</w:t>
      </w:r>
      <w:r w:rsidR="00C76942">
        <w:t>.</w:t>
      </w:r>
    </w:p>
  </w:footnote>
  <w:footnote w:id="5">
    <w:p w14:paraId="1FF8BFAF" w14:textId="509DCDE3" w:rsidR="00202D4F" w:rsidRDefault="00202D4F" w:rsidP="006F6CE8">
      <w:pPr>
        <w:pStyle w:val="Voetnoottekst"/>
        <w:spacing w:line="240" w:lineRule="auto"/>
      </w:pPr>
      <w:r>
        <w:rPr>
          <w:rStyle w:val="Voetnootmarkering"/>
        </w:rPr>
        <w:footnoteRef/>
      </w:r>
      <w:r>
        <w:t xml:space="preserve"> Kamerstukken II 2024-</w:t>
      </w:r>
      <w:r w:rsidRPr="00D14DC0">
        <w:t>2025,</w:t>
      </w:r>
      <w:r w:rsidRPr="00D14DC0">
        <w:rPr>
          <w:rFonts w:ascii="Arial" w:hAnsi="Arial" w:cs="Arial"/>
          <w:color w:val="132439"/>
          <w:sz w:val="18"/>
          <w:szCs w:val="24"/>
          <w:shd w:val="clear" w:color="auto" w:fill="E0E7EA"/>
        </w:rPr>
        <w:t xml:space="preserve"> </w:t>
      </w:r>
      <w:r w:rsidRPr="00D14DC0">
        <w:t>2024Z16990</w:t>
      </w:r>
    </w:p>
  </w:footnote>
  <w:footnote w:id="6">
    <w:p w14:paraId="6AF109B8" w14:textId="2BCAADD8" w:rsidR="000F18F2" w:rsidRDefault="000F18F2" w:rsidP="006F6CE8">
      <w:pPr>
        <w:pStyle w:val="Voetnoottekst"/>
        <w:spacing w:line="240" w:lineRule="auto"/>
      </w:pPr>
      <w:r>
        <w:rPr>
          <w:rStyle w:val="Voetnootmarkering"/>
        </w:rPr>
        <w:footnoteRef/>
      </w:r>
      <w:r>
        <w:t xml:space="preserve"> </w:t>
      </w:r>
      <w:r w:rsidRPr="000F18F2">
        <w:t xml:space="preserve">Kamerstukken II 2024-2025, 36725, </w:t>
      </w:r>
      <w:proofErr w:type="spellStart"/>
      <w:r w:rsidRPr="000F18F2">
        <w:t>nr</w:t>
      </w:r>
      <w:proofErr w:type="spellEnd"/>
      <w:r w:rsidRPr="000F18F2">
        <w:t xml:space="preserve"> 1, p. 103.</w:t>
      </w:r>
    </w:p>
  </w:footnote>
  <w:footnote w:id="7">
    <w:p w14:paraId="64A3FE52" w14:textId="23197B87" w:rsidR="000124F9" w:rsidRDefault="000124F9" w:rsidP="000124F9">
      <w:pPr>
        <w:pStyle w:val="Voetnoottekst"/>
        <w:spacing w:line="240" w:lineRule="auto"/>
      </w:pPr>
      <w:r>
        <w:rPr>
          <w:rStyle w:val="Voetnootmarkering"/>
        </w:rPr>
        <w:footnoteRef/>
      </w:r>
      <w:r>
        <w:t xml:space="preserve"> </w:t>
      </w:r>
      <w:hyperlink r:id="rId1" w:history="1">
        <w:r w:rsidRPr="005D2F58">
          <w:rPr>
            <w:rStyle w:val="Hyperlink"/>
          </w:rPr>
          <w:t>https://www.universiteitenvannederland.nl/actueel/nieuws/universiteiten-gaan-zelf-internationalisering-verder-in-balans-brengen</w:t>
        </w:r>
      </w:hyperlink>
      <w:r>
        <w:t xml:space="preserve"> </w:t>
      </w:r>
    </w:p>
  </w:footnote>
  <w:footnote w:id="8">
    <w:p w14:paraId="6B93FA8C" w14:textId="50F04E50" w:rsidR="009D4741" w:rsidRDefault="009D4741">
      <w:pPr>
        <w:pStyle w:val="Voetnoottekst"/>
      </w:pPr>
      <w:r>
        <w:rPr>
          <w:rStyle w:val="Voetnootmarkering"/>
        </w:rPr>
        <w:footnoteRef/>
      </w:r>
      <w:r>
        <w:t xml:space="preserve"> </w:t>
      </w:r>
      <w:r w:rsidR="00F373E4">
        <w:t>Kamerstukken II 2023-2024, 22 452, nr. 89</w:t>
      </w:r>
      <w:r w:rsidR="00C76942">
        <w:t>.</w:t>
      </w:r>
    </w:p>
  </w:footnote>
  <w:footnote w:id="9">
    <w:p w14:paraId="0E239695" w14:textId="6D64C2DA" w:rsidR="0076501D" w:rsidRDefault="0076501D" w:rsidP="000124F9">
      <w:pPr>
        <w:pStyle w:val="Voetnoottekst"/>
        <w:spacing w:line="240" w:lineRule="auto"/>
      </w:pPr>
      <w:r>
        <w:rPr>
          <w:rStyle w:val="Voetnootmarkering"/>
        </w:rPr>
        <w:footnoteRef/>
      </w:r>
      <w:r>
        <w:t xml:space="preserve"> Registratie Instellingen en Opleidingen</w:t>
      </w:r>
    </w:p>
  </w:footnote>
  <w:footnote w:id="10">
    <w:p w14:paraId="276C17DB" w14:textId="2DF92C87" w:rsidR="00A80BEF" w:rsidRDefault="00A80BEF" w:rsidP="000124F9">
      <w:pPr>
        <w:pStyle w:val="Voetnoottekst"/>
        <w:spacing w:line="240" w:lineRule="auto"/>
      </w:pPr>
      <w:r w:rsidRPr="001717C7">
        <w:rPr>
          <w:rStyle w:val="Voetnootmarkering"/>
        </w:rPr>
        <w:footnoteRef/>
      </w:r>
      <w:r w:rsidRPr="001717C7">
        <w:t xml:space="preserve"> Kamerstukken II 2024</w:t>
      </w:r>
      <w:r w:rsidR="00E06622">
        <w:t>-20</w:t>
      </w:r>
      <w:r w:rsidRPr="001717C7">
        <w:t>25, 31</w:t>
      </w:r>
      <w:r w:rsidR="00C76942">
        <w:t xml:space="preserve"> </w:t>
      </w:r>
      <w:r w:rsidRPr="001717C7">
        <w:t>288, nr. 1195.</w:t>
      </w:r>
    </w:p>
  </w:footnote>
  <w:footnote w:id="11">
    <w:p w14:paraId="1EE08B0E" w14:textId="409847CB" w:rsidR="007152E0" w:rsidRDefault="007152E0" w:rsidP="00D14DC0">
      <w:pPr>
        <w:pStyle w:val="Voetnoottekst"/>
        <w:spacing w:line="240" w:lineRule="auto"/>
      </w:pPr>
      <w:r>
        <w:rPr>
          <w:rStyle w:val="Voetnootmarkering"/>
        </w:rPr>
        <w:footnoteRef/>
      </w:r>
      <w:r>
        <w:t xml:space="preserve"> Kamerstukken II 2022</w:t>
      </w:r>
      <w:r w:rsidR="00E06622">
        <w:t>-20</w:t>
      </w:r>
      <w:r>
        <w:t xml:space="preserve">23, 36 229, nr. 29. </w:t>
      </w:r>
    </w:p>
  </w:footnote>
  <w:footnote w:id="12">
    <w:p w14:paraId="3861323A" w14:textId="77777777" w:rsidR="00364C14" w:rsidRDefault="00364C14" w:rsidP="00D14DC0">
      <w:pPr>
        <w:pStyle w:val="Voetnoottekst"/>
        <w:spacing w:line="240" w:lineRule="auto"/>
      </w:pPr>
      <w:r>
        <w:rPr>
          <w:rStyle w:val="Voetnootmarkering"/>
        </w:rPr>
        <w:footnoteRef/>
      </w:r>
      <w:r>
        <w:t xml:space="preserve"> </w:t>
      </w:r>
      <w:r w:rsidRPr="00D539B6">
        <w:t xml:space="preserve">Van EER-studenten die gemiddeld minder dan 32 uur per maand werken wordt in beginsel aangenomen dat geen sprake is van migrerend </w:t>
      </w:r>
      <w:proofErr w:type="spellStart"/>
      <w:r w:rsidRPr="00D539B6">
        <w:t>werknemerschap</w:t>
      </w:r>
      <w:proofErr w:type="spellEnd"/>
      <w:r w:rsidRPr="00D539B6">
        <w:t>, tenzij zij gemiddeld tussen de 24 en 32 uur per maand werken én aantonen dat zij dit bestendig doen (6 maanden of langer).</w:t>
      </w:r>
      <w:r>
        <w:t xml:space="preserve"> Deze aanpassing is naar aanleiding van jurisprudentie van de Centrale Raad van Beroep over deze norm (</w:t>
      </w:r>
      <w:r w:rsidRPr="00FC2FFA">
        <w:t>Centrale Raad van Beroep 14 april 2023, ECLI:NL:CRVB:2023:700</w:t>
      </w:r>
      <w:r>
        <w:t>).</w:t>
      </w:r>
    </w:p>
  </w:footnote>
  <w:footnote w:id="13">
    <w:p w14:paraId="03D0BD75" w14:textId="77777777" w:rsidR="00364C14" w:rsidRDefault="00364C14" w:rsidP="00D14DC0">
      <w:pPr>
        <w:pStyle w:val="Voetnoottekst"/>
        <w:spacing w:line="240" w:lineRule="auto"/>
      </w:pPr>
      <w:r>
        <w:rPr>
          <w:rStyle w:val="Voetnootmarkering"/>
        </w:rPr>
        <w:footnoteRef/>
      </w:r>
      <w:r>
        <w:t xml:space="preserve"> </w:t>
      </w:r>
      <w:r w:rsidRPr="00BE5267">
        <w:t>Tweede Kamer, vergaderjaar 2024–2025, 22 452, nr. 91</w:t>
      </w:r>
      <w:r>
        <w:t xml:space="preserve">, p. 6. </w:t>
      </w:r>
    </w:p>
  </w:footnote>
  <w:footnote w:id="14">
    <w:p w14:paraId="3FE30DF0" w14:textId="2D070319" w:rsidR="00C03F80" w:rsidRDefault="00C03F80" w:rsidP="00D14DC0">
      <w:pPr>
        <w:pStyle w:val="Voetnoottekst"/>
        <w:spacing w:line="240" w:lineRule="auto"/>
      </w:pPr>
      <w:r>
        <w:rPr>
          <w:rStyle w:val="Voetnootmarkering"/>
        </w:rPr>
        <w:footnoteRef/>
      </w:r>
      <w:r>
        <w:t xml:space="preserve"> Kamerstukken II 2024</w:t>
      </w:r>
      <w:r w:rsidR="00E06622">
        <w:t>-20</w:t>
      </w:r>
      <w:r>
        <w:t>25, 31 288, nr. 1169.</w:t>
      </w:r>
    </w:p>
  </w:footnote>
  <w:footnote w:id="15">
    <w:p w14:paraId="049A7C78" w14:textId="010EB372" w:rsidR="00C03F80" w:rsidRDefault="00C03F80" w:rsidP="00D14DC0">
      <w:pPr>
        <w:pStyle w:val="Voetnoottekst"/>
        <w:spacing w:line="240" w:lineRule="auto"/>
      </w:pPr>
      <w:r>
        <w:rPr>
          <w:rStyle w:val="Voetnootmarkering"/>
        </w:rPr>
        <w:footnoteRef/>
      </w:r>
      <w:r>
        <w:t xml:space="preserve"> Kamerstukken II 2024</w:t>
      </w:r>
      <w:r w:rsidR="00E06622">
        <w:t>-20</w:t>
      </w:r>
      <w:r>
        <w:t>25, 31 288, nr. 1169.</w:t>
      </w:r>
    </w:p>
  </w:footnote>
  <w:footnote w:id="16">
    <w:p w14:paraId="2D9A119F" w14:textId="0533C076" w:rsidR="001F4935" w:rsidRDefault="001F4935" w:rsidP="00D14DC0">
      <w:pPr>
        <w:pStyle w:val="Voetnoottekst"/>
        <w:spacing w:line="240" w:lineRule="auto"/>
      </w:pPr>
      <w:r>
        <w:rPr>
          <w:rStyle w:val="Voetnootmarkering"/>
        </w:rPr>
        <w:footnoteRef/>
      </w:r>
      <w:r>
        <w:t xml:space="preserve"> </w:t>
      </w:r>
      <w:r w:rsidR="00497B34">
        <w:t xml:space="preserve">Feitelijke vragen bij </w:t>
      </w:r>
      <w:r w:rsidR="00E06622">
        <w:t>Kamerstukken II 2024-2025, 36 555, nr. 11</w:t>
      </w:r>
      <w:r w:rsidR="00497B34">
        <w:t xml:space="preserve"> (</w:t>
      </w:r>
      <w:r w:rsidR="00497B34" w:rsidRPr="00497B34">
        <w:t>2025D10243</w:t>
      </w:r>
      <w:r w:rsidR="00497B34">
        <w:t>)</w:t>
      </w:r>
      <w:r w:rsidR="00E06622">
        <w:t>.</w:t>
      </w:r>
    </w:p>
  </w:footnote>
  <w:footnote w:id="17">
    <w:p w14:paraId="62197BA7" w14:textId="2C06DC54" w:rsidR="00F224AE" w:rsidRDefault="00F224AE" w:rsidP="00D14DC0">
      <w:pPr>
        <w:pStyle w:val="Voetnoottekst"/>
        <w:spacing w:line="240" w:lineRule="auto"/>
      </w:pPr>
      <w:r>
        <w:rPr>
          <w:rStyle w:val="Voetnootmarkering"/>
        </w:rPr>
        <w:footnoteRef/>
      </w:r>
      <w:r>
        <w:t xml:space="preserve"> </w:t>
      </w:r>
      <w:r w:rsidR="00E06622">
        <w:t>Kamerstukken II 2024-2025, 36 555, nr. 8.</w:t>
      </w:r>
    </w:p>
  </w:footnote>
  <w:footnote w:id="18">
    <w:p w14:paraId="2A863305" w14:textId="77777777" w:rsidR="00364C14" w:rsidRDefault="00364C14" w:rsidP="00364C14">
      <w:pPr>
        <w:pStyle w:val="Voetnoottekst"/>
      </w:pPr>
      <w:r>
        <w:rPr>
          <w:rStyle w:val="Voetnootmarkering"/>
        </w:rPr>
        <w:footnoteRef/>
      </w:r>
      <w:r>
        <w:t xml:space="preserve"> </w:t>
      </w:r>
      <w:hyperlink r:id="rId2" w:history="1">
        <w:r w:rsidRPr="00DD3443">
          <w:rPr>
            <w:rStyle w:val="Hyperlink"/>
          </w:rPr>
          <w:t>De invloed van macro-factoren op diplomamobiliteit</w:t>
        </w:r>
      </w:hyperlink>
      <w:r>
        <w:t xml:space="preserve"> (Nuffic, maart 2024)</w:t>
      </w:r>
    </w:p>
  </w:footnote>
  <w:footnote w:id="19">
    <w:p w14:paraId="796003A8" w14:textId="77777777" w:rsidR="00364C14" w:rsidRDefault="00364C14" w:rsidP="00364C14">
      <w:pPr>
        <w:pStyle w:val="Voetnoottekst"/>
        <w:spacing w:line="240" w:lineRule="auto"/>
      </w:pPr>
      <w:r>
        <w:rPr>
          <w:rStyle w:val="Voetnootmarkering"/>
        </w:rPr>
        <w:footnoteRef/>
      </w:r>
      <w:r>
        <w:t xml:space="preserve"> </w:t>
      </w:r>
      <w:r w:rsidRPr="00371644">
        <w:t>Studenten uit de EER en Zwitserland komen in aanmerking voor volledige studiefinanciering wanneer zij (of hun ouder(s) of partner) kwalificeren als migrerend werknemer.</w:t>
      </w:r>
      <w:r>
        <w:t xml:space="preserve"> Als iemand </w:t>
      </w:r>
      <w:r w:rsidRPr="00371644">
        <w:t xml:space="preserve">gemiddeld 32 uur of meer per maand werkt, wordt van migrerend </w:t>
      </w:r>
      <w:proofErr w:type="spellStart"/>
      <w:r w:rsidRPr="00371644">
        <w:t>werknemer</w:t>
      </w:r>
      <w:r>
        <w:t>schap</w:t>
      </w:r>
      <w:proofErr w:type="spellEnd"/>
      <w:r>
        <w:t xml:space="preserve"> uitgegaan</w:t>
      </w:r>
      <w:r w:rsidRPr="00371644">
        <w:t>.</w:t>
      </w:r>
      <w:r w:rsidRPr="00423562">
        <w:t xml:space="preserve"> </w:t>
      </w:r>
      <w:r>
        <w:t xml:space="preserve">Als de student minder werkt, wordt een aanvraag voor studiefinanciering afgewezen. Tenzij de student bestendig gemiddeld 24 uur per maand werkt. Met bestendig wordt bedoeld dat dit voor een periode van ten minste 6 maanden gebeurt. Als de student gemiddeld minder dan 24 uur per maand werkt, wordt ervan uitgegaan dat geen sprake is van migrerend </w:t>
      </w:r>
      <w:proofErr w:type="spellStart"/>
      <w:r>
        <w:t>werknemerschap</w:t>
      </w:r>
      <w:proofErr w:type="spellEnd"/>
      <w:r>
        <w:t>.</w:t>
      </w:r>
    </w:p>
  </w:footnote>
  <w:footnote w:id="20">
    <w:p w14:paraId="737930C0" w14:textId="77777777" w:rsidR="00364C14" w:rsidRDefault="00364C14" w:rsidP="00364C14">
      <w:pPr>
        <w:pStyle w:val="Voetnoottekst"/>
        <w:spacing w:line="240" w:lineRule="auto"/>
      </w:pPr>
      <w:r>
        <w:rPr>
          <w:rStyle w:val="Voetnootmarkering"/>
        </w:rPr>
        <w:footnoteRef/>
      </w:r>
      <w:r>
        <w:t xml:space="preserve"> In het hbo en wo wordt de studiefinanciering doorgaans uitbetaald als prestatiebeurs. De basisbeurs, aanvullende beurs en reisvoorziening is in principe een lening die moet worden terugbetaald. Indien binnen de diplomatermijn van 10 jaar het diploma wordt gehaald, wordt deze lening omgezet in een gift. In sommige gevallen krijgt een student een deel van de studiefinanciering als gift, bijvoorbeeld als de student in het eerste studiejaar voor 1 februari stopt met studeren (de eerstejaarsregeling). Ook zijn de eerste vijf maanden aanvullende beurs in het hbo en wo altijd een gift.</w:t>
      </w:r>
    </w:p>
  </w:footnote>
  <w:footnote w:id="21">
    <w:p w14:paraId="0B50252C" w14:textId="77777777" w:rsidR="00364C14" w:rsidRDefault="00364C14" w:rsidP="00364C14">
      <w:pPr>
        <w:pStyle w:val="Voetnoottekst"/>
        <w:spacing w:line="240" w:lineRule="auto"/>
      </w:pPr>
      <w:r>
        <w:rPr>
          <w:rStyle w:val="Voetnootmarkering"/>
        </w:rPr>
        <w:footnoteRef/>
      </w:r>
      <w:r>
        <w:t xml:space="preserve"> Verhouding tussen het aantal EER-studenten (niet ouder dan 30) dat ingeschreven staat bij een Nederlandse hbo of wo instelling en het aantal EER-studenten dat gebruik maakt van studiefinanciering (gift- of prestatiebeurzen).</w:t>
      </w:r>
    </w:p>
  </w:footnote>
  <w:footnote w:id="22">
    <w:p w14:paraId="1CAEC05C" w14:textId="77777777" w:rsidR="00364C14" w:rsidRDefault="00364C14" w:rsidP="00364C14">
      <w:pPr>
        <w:pStyle w:val="Voetnoottekst"/>
        <w:spacing w:line="240" w:lineRule="auto"/>
      </w:pPr>
      <w:r>
        <w:rPr>
          <w:rStyle w:val="Voetnootmarkering"/>
        </w:rPr>
        <w:footnoteRef/>
      </w:r>
      <w:r>
        <w:t xml:space="preserve"> </w:t>
      </w:r>
      <w:r w:rsidRPr="00371644">
        <w:t>Studenten uit de EER en Zwitserland komen in aanmerking voor volledige studiefinanciering wanneer zij (of hun ouder(s) of partner) kwalificeren als migrerend werknemer.</w:t>
      </w:r>
      <w:r>
        <w:t xml:space="preserve"> Als iemand </w:t>
      </w:r>
      <w:r w:rsidRPr="00371644">
        <w:t xml:space="preserve">gemiddeld 32 uur of meer per maand werkt, wordt van migrerend </w:t>
      </w:r>
      <w:proofErr w:type="spellStart"/>
      <w:r w:rsidRPr="00371644">
        <w:t>werknemer</w:t>
      </w:r>
      <w:r>
        <w:t>schap</w:t>
      </w:r>
      <w:proofErr w:type="spellEnd"/>
      <w:r>
        <w:t xml:space="preserve"> uitgegaan</w:t>
      </w:r>
      <w:r w:rsidRPr="00371644">
        <w:t>.</w:t>
      </w:r>
      <w:r w:rsidRPr="00423562">
        <w:t xml:space="preserve"> </w:t>
      </w:r>
      <w:r>
        <w:t xml:space="preserve">Als de student minder werkt, wordt een aanvraag voor studiefinanciering afgewezen. Tenzij de student bestendig gemiddeld 24 uur per maand werkt. Met bestendig wordt bedoeld dat dit voor een periode van ten minste 6 maanden gebeurt. Als de student gemiddeld minder dan 24 uur per maand werkt, wordt ervan uitgegaan dat geen sprake is van migrerend </w:t>
      </w:r>
      <w:proofErr w:type="spellStart"/>
      <w:r>
        <w:t>werknemerschap</w:t>
      </w:r>
      <w:proofErr w:type="spellEnd"/>
      <w:r>
        <w:t>.</w:t>
      </w:r>
    </w:p>
    <w:p w14:paraId="771645D0" w14:textId="77777777" w:rsidR="00364C14" w:rsidRDefault="00364C14" w:rsidP="00364C14">
      <w:pPr>
        <w:pStyle w:val="Voetnoottekst"/>
        <w:spacing w:line="240" w:lineRule="auto"/>
      </w:pPr>
    </w:p>
  </w:footnote>
  <w:footnote w:id="23">
    <w:p w14:paraId="2C8125D7" w14:textId="77777777" w:rsidR="00364C14" w:rsidRDefault="00364C14" w:rsidP="00364C14">
      <w:pPr>
        <w:pStyle w:val="Voetnoottekst"/>
        <w:spacing w:line="240" w:lineRule="auto"/>
      </w:pPr>
      <w:r>
        <w:rPr>
          <w:rStyle w:val="Voetnootmarkering"/>
        </w:rPr>
        <w:footnoteRef/>
      </w:r>
      <w:r>
        <w:t xml:space="preserve"> Aanhangsel Handelingen, vergaderjaar 2024/2025, nr. 580</w:t>
      </w:r>
    </w:p>
  </w:footnote>
  <w:footnote w:id="24">
    <w:p w14:paraId="03A43ACC" w14:textId="1E3F5A09" w:rsidR="00C03F80" w:rsidRDefault="00C03F80" w:rsidP="000124F9">
      <w:pPr>
        <w:pStyle w:val="Voetnoottekst"/>
        <w:spacing w:line="240" w:lineRule="auto"/>
      </w:pPr>
      <w:r>
        <w:rPr>
          <w:rStyle w:val="Voetnootmarkering"/>
        </w:rPr>
        <w:footnoteRef/>
      </w:r>
      <w:r>
        <w:t xml:space="preserve"> Kamerstukken II 2024</w:t>
      </w:r>
      <w:r w:rsidR="00C76942">
        <w:t>-20</w:t>
      </w:r>
      <w:r>
        <w:t>25, 31 288, nr. 1169.</w:t>
      </w:r>
    </w:p>
  </w:footnote>
  <w:footnote w:id="25">
    <w:p w14:paraId="189989F9" w14:textId="77777777" w:rsidR="00034348" w:rsidRDefault="00034348" w:rsidP="000124F9">
      <w:pPr>
        <w:pStyle w:val="Voetnoottekst"/>
        <w:spacing w:line="240" w:lineRule="auto"/>
      </w:pPr>
      <w:r>
        <w:rPr>
          <w:rStyle w:val="Voetnootmarkering"/>
        </w:rPr>
        <w:footnoteRef/>
      </w:r>
      <w:r>
        <w:t xml:space="preserve"> Artikel 2.13, eerste lid, onder d. </w:t>
      </w:r>
      <w:r w:rsidRPr="003225CB">
        <w:t>Op dit moment</w:t>
      </w:r>
      <w:r>
        <w:t xml:space="preserve"> </w:t>
      </w:r>
      <w:r w:rsidRPr="003225CB">
        <w:t>in de wet geen bepaling opgenomen die de cumulatie van studiefinanciering in het mbo verbiedt. Ik ben</w:t>
      </w:r>
      <w:r>
        <w:t xml:space="preserve"> net als mijn ambtsvoorganger</w:t>
      </w:r>
      <w:r w:rsidRPr="003225CB">
        <w:t xml:space="preserve"> voornemens om de wet, conform het artikel bij hoger onderwijs, hierop aan te passen</w:t>
      </w:r>
      <w:r>
        <w:t>.</w:t>
      </w:r>
    </w:p>
  </w:footnote>
  <w:footnote w:id="26">
    <w:p w14:paraId="554EE52E" w14:textId="77777777" w:rsidR="00034348" w:rsidRDefault="00034348" w:rsidP="000124F9">
      <w:pPr>
        <w:pStyle w:val="Voetnoottekst"/>
        <w:spacing w:line="240" w:lineRule="auto"/>
      </w:pPr>
      <w:r>
        <w:rPr>
          <w:rStyle w:val="Voetnootmarkering"/>
        </w:rPr>
        <w:footnoteRef/>
      </w:r>
      <w:r>
        <w:t xml:space="preserve"> </w:t>
      </w:r>
      <w:hyperlink r:id="rId3" w:history="1">
        <w:r w:rsidRPr="00D16CF2">
          <w:rPr>
            <w:rStyle w:val="Hyperlink"/>
          </w:rPr>
          <w:t>Inkomende diplomamobiliteit (Nuffic). In het hbo en wo 2023-24</w:t>
        </w:r>
      </w:hyperlink>
      <w:r>
        <w:t xml:space="preserve">. </w:t>
      </w:r>
    </w:p>
  </w:footnote>
  <w:footnote w:id="27">
    <w:p w14:paraId="4EBAF9BD" w14:textId="77777777" w:rsidR="00034348" w:rsidRDefault="00034348" w:rsidP="000124F9">
      <w:pPr>
        <w:pStyle w:val="Voetnoottekst"/>
        <w:spacing w:line="240" w:lineRule="auto"/>
      </w:pPr>
      <w:r>
        <w:rPr>
          <w:rStyle w:val="Voetnootmarkering"/>
        </w:rPr>
        <w:footnoteRef/>
      </w:r>
      <w:r>
        <w:t xml:space="preserve"> Dit zijn enkel internationale studenten in het hbo en wo die een volledige diploma in Nederland proberen te halen.</w:t>
      </w:r>
    </w:p>
  </w:footnote>
  <w:footnote w:id="28">
    <w:p w14:paraId="760BB44E" w14:textId="77777777" w:rsidR="00034348" w:rsidRDefault="00034348" w:rsidP="000124F9">
      <w:pPr>
        <w:pStyle w:val="Voetnoottekst"/>
        <w:spacing w:line="240" w:lineRule="auto"/>
      </w:pPr>
      <w:r>
        <w:rPr>
          <w:rStyle w:val="Voetnootmarkering"/>
        </w:rPr>
        <w:footnoteRef/>
      </w:r>
      <w:r>
        <w:t xml:space="preserve"> De motie noemt naast landen ook deelstaten, refererend aan de deelstaten in Duitsland. </w:t>
      </w:r>
      <w:r w:rsidRPr="00BD524D">
        <w:t xml:space="preserve">Gezien de centrale overheid de </w:t>
      </w:r>
      <w:proofErr w:type="spellStart"/>
      <w:r w:rsidRPr="00BD524D">
        <w:t>BAföG</w:t>
      </w:r>
      <w:proofErr w:type="spellEnd"/>
      <w:r w:rsidRPr="00BD524D">
        <w:t>, een belangrijke component van het Duitse studiefinanciering uitvoert, lijkt het ons logisch ons tot de centrale overheid te richten wat betreft gegevensuitwisseling omtrent cumulatieve studiefinanciering.</w:t>
      </w:r>
    </w:p>
  </w:footnote>
  <w:footnote w:id="29">
    <w:p w14:paraId="3A10FCB6" w14:textId="77777777" w:rsidR="00034348" w:rsidRDefault="00034348" w:rsidP="000124F9">
      <w:pPr>
        <w:pStyle w:val="Voetnoottekst"/>
        <w:spacing w:line="240" w:lineRule="auto"/>
      </w:pPr>
      <w:r>
        <w:rPr>
          <w:rStyle w:val="Voetnootmarkering"/>
        </w:rPr>
        <w:footnoteRef/>
      </w:r>
      <w:r>
        <w:t xml:space="preserve"> </w:t>
      </w:r>
      <w:hyperlink r:id="rId4" w:history="1">
        <w:r w:rsidRPr="000F7F6B">
          <w:rPr>
            <w:rStyle w:val="Hyperlink"/>
          </w:rPr>
          <w:t>Nederlandse studenten in het buitenland (Nuffic).</w:t>
        </w:r>
      </w:hyperlink>
    </w:p>
  </w:footnote>
  <w:footnote w:id="30">
    <w:p w14:paraId="38BBAD02" w14:textId="77777777" w:rsidR="00034348" w:rsidRDefault="00034348" w:rsidP="000124F9">
      <w:pPr>
        <w:pStyle w:val="Voetnoottekst"/>
        <w:spacing w:line="240" w:lineRule="auto"/>
      </w:pPr>
      <w:r>
        <w:rPr>
          <w:rStyle w:val="Voetnootmarkering"/>
        </w:rPr>
        <w:footnoteRef/>
      </w:r>
      <w:r>
        <w:t xml:space="preserve"> Duitsland, Italië, Roemenië,</w:t>
      </w:r>
      <w:r w:rsidRPr="008C3373">
        <w:rPr>
          <w:szCs w:val="18"/>
        </w:rPr>
        <w:t xml:space="preserve"> Spanje, Polen</w:t>
      </w:r>
      <w:r>
        <w:rPr>
          <w:szCs w:val="18"/>
        </w:rPr>
        <w:t xml:space="preserve">, </w:t>
      </w:r>
      <w:r w:rsidRPr="008C3373">
        <w:rPr>
          <w:szCs w:val="18"/>
        </w:rPr>
        <w:t>Bulgarije</w:t>
      </w:r>
      <w:r>
        <w:rPr>
          <w:szCs w:val="18"/>
        </w:rPr>
        <w:t xml:space="preserve">, </w:t>
      </w:r>
      <w:r w:rsidRPr="008C3373">
        <w:rPr>
          <w:szCs w:val="18"/>
        </w:rPr>
        <w:t>België</w:t>
      </w:r>
      <w:r>
        <w:rPr>
          <w:szCs w:val="18"/>
        </w:rPr>
        <w:t xml:space="preserve">, </w:t>
      </w:r>
      <w:r w:rsidRPr="008C3373">
        <w:rPr>
          <w:szCs w:val="18"/>
        </w:rPr>
        <w:t>Frankrijk</w:t>
      </w:r>
      <w:r>
        <w:rPr>
          <w:szCs w:val="18"/>
        </w:rPr>
        <w:t xml:space="preserve">, </w:t>
      </w:r>
      <w:r w:rsidRPr="008C3373">
        <w:rPr>
          <w:szCs w:val="18"/>
        </w:rPr>
        <w:t xml:space="preserve">Griekenland </w:t>
      </w:r>
      <w:r>
        <w:rPr>
          <w:szCs w:val="18"/>
        </w:rPr>
        <w:t xml:space="preserve">en Zweden. </w:t>
      </w:r>
    </w:p>
  </w:footnote>
  <w:footnote w:id="31">
    <w:p w14:paraId="12E8E5DE" w14:textId="77777777" w:rsidR="00034348" w:rsidRDefault="00034348" w:rsidP="000124F9">
      <w:pPr>
        <w:pStyle w:val="Voetnoottekst"/>
        <w:spacing w:line="240" w:lineRule="auto"/>
      </w:pPr>
      <w:r>
        <w:rPr>
          <w:rStyle w:val="Voetnootmarkering"/>
        </w:rPr>
        <w:footnoteRef/>
      </w:r>
      <w:r>
        <w:t xml:space="preserve"> Een uitzondering vormt de tegemoetkoming meerderjarige scholieren. Conform artikel 2.21 van de Wet tegemoetkoming onderwijsbijdrage en schoolkosten kan er geen sprake zijn dat een persoon aanspraak maakt op een tegemoetkoming onderwijsbijdrage en schoolkosten wanneer die persoon aanspraak maakt op studiefinanciering op grond van de Wet studiefinanciering 2000. </w:t>
      </w:r>
    </w:p>
  </w:footnote>
  <w:footnote w:id="32">
    <w:p w14:paraId="138EAA67" w14:textId="4AB83E10" w:rsidR="00FD6CF9" w:rsidRDefault="00624E6E">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BEF" w14:textId="77777777" w:rsidR="00626DE5" w:rsidRDefault="00626D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967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C04C8" w14:paraId="56C504C0" w14:textId="77777777" w:rsidTr="003B528D">
      <w:tc>
        <w:tcPr>
          <w:tcW w:w="2160" w:type="dxa"/>
          <w:shd w:val="clear" w:color="auto" w:fill="auto"/>
        </w:tcPr>
        <w:p w14:paraId="5BDD6052" w14:textId="77777777" w:rsidR="002F71BB" w:rsidRPr="000407BB" w:rsidRDefault="00F4081F" w:rsidP="005D283A">
          <w:pPr>
            <w:pStyle w:val="Colofonkop"/>
            <w:framePr w:hSpace="0" w:wrap="auto" w:vAnchor="margin" w:hAnchor="text" w:xAlign="left" w:yAlign="inline"/>
          </w:pPr>
          <w:r>
            <w:t>Onze referentie</w:t>
          </w:r>
        </w:p>
      </w:tc>
    </w:tr>
    <w:tr w:rsidR="002C04C8" w14:paraId="3A7177A5" w14:textId="77777777" w:rsidTr="002F71BB">
      <w:trPr>
        <w:trHeight w:val="259"/>
      </w:trPr>
      <w:tc>
        <w:tcPr>
          <w:tcW w:w="2160" w:type="dxa"/>
          <w:shd w:val="clear" w:color="auto" w:fill="auto"/>
        </w:tcPr>
        <w:p w14:paraId="5F542738" w14:textId="42A24E2F" w:rsidR="00E35CF4" w:rsidRPr="005D283A" w:rsidRDefault="00626DE5" w:rsidP="0049501A">
          <w:pPr>
            <w:spacing w:line="180" w:lineRule="exact"/>
            <w:rPr>
              <w:sz w:val="13"/>
              <w:szCs w:val="13"/>
            </w:rPr>
          </w:pPr>
          <w:r w:rsidRPr="00626DE5">
            <w:rPr>
              <w:sz w:val="13"/>
              <w:szCs w:val="13"/>
            </w:rPr>
            <w:t>53043972</w:t>
          </w:r>
        </w:p>
      </w:tc>
    </w:tr>
  </w:tbl>
  <w:p w14:paraId="2E07C8C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C04C8" w14:paraId="0454101F" w14:textId="77777777" w:rsidTr="001377D4">
      <w:trPr>
        <w:trHeight w:val="2636"/>
      </w:trPr>
      <w:tc>
        <w:tcPr>
          <w:tcW w:w="737" w:type="dxa"/>
          <w:shd w:val="clear" w:color="auto" w:fill="auto"/>
        </w:tcPr>
        <w:p w14:paraId="6BF78F7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3473799" w14:textId="77777777" w:rsidR="00704845" w:rsidRDefault="00F4081F" w:rsidP="0047126E">
          <w:pPr>
            <w:framePr w:w="3873" w:h="2625" w:hRule="exact" w:wrap="around" w:vAnchor="page" w:hAnchor="page" w:x="6323" w:y="1"/>
          </w:pPr>
          <w:r>
            <w:rPr>
              <w:noProof/>
              <w:lang w:val="en-US" w:eastAsia="en-US"/>
            </w:rPr>
            <w:drawing>
              <wp:inline distT="0" distB="0" distL="0" distR="0" wp14:anchorId="67AFB09F" wp14:editId="5A17C34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2CB622" w14:textId="77777777" w:rsidR="00483ECA" w:rsidRDefault="00483ECA" w:rsidP="00D037A9"/>
      </w:tc>
    </w:tr>
  </w:tbl>
  <w:p w14:paraId="27FB199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C04C8" w14:paraId="398E845B" w14:textId="77777777" w:rsidTr="0008539E">
      <w:trPr>
        <w:trHeight w:hRule="exact" w:val="572"/>
      </w:trPr>
      <w:tc>
        <w:tcPr>
          <w:tcW w:w="7520" w:type="dxa"/>
          <w:shd w:val="clear" w:color="auto" w:fill="auto"/>
        </w:tcPr>
        <w:p w14:paraId="67120674" w14:textId="77777777" w:rsidR="00527BD4" w:rsidRPr="00963440" w:rsidRDefault="00F4081F" w:rsidP="00210BA3">
          <w:pPr>
            <w:pStyle w:val="Huisstijl-Adres"/>
            <w:spacing w:after="0"/>
          </w:pPr>
          <w:r w:rsidRPr="009E3B07">
            <w:t>&gt;Retouradres </w:t>
          </w:r>
          <w:r>
            <w:t>Postbus 16375 2500 BJ Den Haag</w:t>
          </w:r>
          <w:r w:rsidRPr="009E3B07">
            <w:t xml:space="preserve"> </w:t>
          </w:r>
        </w:p>
      </w:tc>
    </w:tr>
    <w:tr w:rsidR="002C04C8" w14:paraId="44FAAB76" w14:textId="77777777" w:rsidTr="00E776C6">
      <w:trPr>
        <w:cantSplit/>
        <w:trHeight w:hRule="exact" w:val="238"/>
      </w:trPr>
      <w:tc>
        <w:tcPr>
          <w:tcW w:w="7520" w:type="dxa"/>
          <w:shd w:val="clear" w:color="auto" w:fill="auto"/>
        </w:tcPr>
        <w:p w14:paraId="2B786656" w14:textId="77777777" w:rsidR="00093ABC" w:rsidRPr="00963440" w:rsidRDefault="00093ABC" w:rsidP="00963440"/>
      </w:tc>
    </w:tr>
    <w:tr w:rsidR="002C04C8" w14:paraId="4C44F380" w14:textId="77777777" w:rsidTr="00E776C6">
      <w:trPr>
        <w:cantSplit/>
        <w:trHeight w:hRule="exact" w:val="1520"/>
      </w:trPr>
      <w:tc>
        <w:tcPr>
          <w:tcW w:w="7520" w:type="dxa"/>
          <w:shd w:val="clear" w:color="auto" w:fill="auto"/>
        </w:tcPr>
        <w:p w14:paraId="5F90ACE0" w14:textId="77777777" w:rsidR="00A604D3" w:rsidRPr="00963440" w:rsidRDefault="00A604D3" w:rsidP="00963440"/>
      </w:tc>
    </w:tr>
    <w:tr w:rsidR="002C04C8" w14:paraId="50C68820" w14:textId="77777777" w:rsidTr="00E776C6">
      <w:trPr>
        <w:trHeight w:hRule="exact" w:val="1077"/>
      </w:trPr>
      <w:tc>
        <w:tcPr>
          <w:tcW w:w="7520" w:type="dxa"/>
          <w:shd w:val="clear" w:color="auto" w:fill="auto"/>
        </w:tcPr>
        <w:p w14:paraId="0C3E6572" w14:textId="77777777" w:rsidR="00892BA5" w:rsidRPr="00035E67" w:rsidRDefault="00892BA5" w:rsidP="00892BA5">
          <w:pPr>
            <w:tabs>
              <w:tab w:val="left" w:pos="740"/>
            </w:tabs>
            <w:autoSpaceDE w:val="0"/>
            <w:autoSpaceDN w:val="0"/>
            <w:adjustRightInd w:val="0"/>
            <w:rPr>
              <w:rFonts w:cs="Verdana"/>
              <w:szCs w:val="18"/>
            </w:rPr>
          </w:pPr>
        </w:p>
      </w:tc>
    </w:tr>
  </w:tbl>
  <w:p w14:paraId="6B6118ED" w14:textId="77777777" w:rsidR="006F273B" w:rsidRDefault="006F273B" w:rsidP="00BC4AE3">
    <w:pPr>
      <w:pStyle w:val="Koptekst"/>
    </w:pPr>
  </w:p>
  <w:p w14:paraId="07062C1F" w14:textId="77777777" w:rsidR="00153BD0" w:rsidRDefault="00153BD0" w:rsidP="00BC4AE3">
    <w:pPr>
      <w:pStyle w:val="Koptekst"/>
    </w:pPr>
  </w:p>
  <w:p w14:paraId="12D743A8" w14:textId="77777777" w:rsidR="0044605E" w:rsidRDefault="0044605E" w:rsidP="00BC4AE3">
    <w:pPr>
      <w:pStyle w:val="Koptekst"/>
    </w:pPr>
  </w:p>
  <w:p w14:paraId="674B45D1" w14:textId="77777777" w:rsidR="0044605E" w:rsidRDefault="0044605E" w:rsidP="00BC4AE3">
    <w:pPr>
      <w:pStyle w:val="Koptekst"/>
    </w:pPr>
  </w:p>
  <w:p w14:paraId="4DC24F3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60EC16">
      <w:start w:val="1"/>
      <w:numFmt w:val="bullet"/>
      <w:pStyle w:val="Lijstopsomteken"/>
      <w:lvlText w:val="•"/>
      <w:lvlJc w:val="left"/>
      <w:pPr>
        <w:tabs>
          <w:tab w:val="num" w:pos="227"/>
        </w:tabs>
        <w:ind w:left="227" w:hanging="227"/>
      </w:pPr>
      <w:rPr>
        <w:rFonts w:ascii="Verdana" w:hAnsi="Verdana" w:hint="default"/>
        <w:sz w:val="18"/>
        <w:szCs w:val="18"/>
      </w:rPr>
    </w:lvl>
    <w:lvl w:ilvl="1" w:tplc="BF78DCB4" w:tentative="1">
      <w:start w:val="1"/>
      <w:numFmt w:val="bullet"/>
      <w:lvlText w:val="o"/>
      <w:lvlJc w:val="left"/>
      <w:pPr>
        <w:tabs>
          <w:tab w:val="num" w:pos="1440"/>
        </w:tabs>
        <w:ind w:left="1440" w:hanging="360"/>
      </w:pPr>
      <w:rPr>
        <w:rFonts w:ascii="Courier New" w:hAnsi="Courier New" w:cs="Courier New" w:hint="default"/>
      </w:rPr>
    </w:lvl>
    <w:lvl w:ilvl="2" w:tplc="7C36B4DE" w:tentative="1">
      <w:start w:val="1"/>
      <w:numFmt w:val="bullet"/>
      <w:lvlText w:val=""/>
      <w:lvlJc w:val="left"/>
      <w:pPr>
        <w:tabs>
          <w:tab w:val="num" w:pos="2160"/>
        </w:tabs>
        <w:ind w:left="2160" w:hanging="360"/>
      </w:pPr>
      <w:rPr>
        <w:rFonts w:ascii="Wingdings" w:hAnsi="Wingdings" w:hint="default"/>
      </w:rPr>
    </w:lvl>
    <w:lvl w:ilvl="3" w:tplc="5AACDF82" w:tentative="1">
      <w:start w:val="1"/>
      <w:numFmt w:val="bullet"/>
      <w:lvlText w:val=""/>
      <w:lvlJc w:val="left"/>
      <w:pPr>
        <w:tabs>
          <w:tab w:val="num" w:pos="2880"/>
        </w:tabs>
        <w:ind w:left="2880" w:hanging="360"/>
      </w:pPr>
      <w:rPr>
        <w:rFonts w:ascii="Symbol" w:hAnsi="Symbol" w:hint="default"/>
      </w:rPr>
    </w:lvl>
    <w:lvl w:ilvl="4" w:tplc="1FB26070" w:tentative="1">
      <w:start w:val="1"/>
      <w:numFmt w:val="bullet"/>
      <w:lvlText w:val="o"/>
      <w:lvlJc w:val="left"/>
      <w:pPr>
        <w:tabs>
          <w:tab w:val="num" w:pos="3600"/>
        </w:tabs>
        <w:ind w:left="3600" w:hanging="360"/>
      </w:pPr>
      <w:rPr>
        <w:rFonts w:ascii="Courier New" w:hAnsi="Courier New" w:cs="Courier New" w:hint="default"/>
      </w:rPr>
    </w:lvl>
    <w:lvl w:ilvl="5" w:tplc="439E6A0C" w:tentative="1">
      <w:start w:val="1"/>
      <w:numFmt w:val="bullet"/>
      <w:lvlText w:val=""/>
      <w:lvlJc w:val="left"/>
      <w:pPr>
        <w:tabs>
          <w:tab w:val="num" w:pos="4320"/>
        </w:tabs>
        <w:ind w:left="4320" w:hanging="360"/>
      </w:pPr>
      <w:rPr>
        <w:rFonts w:ascii="Wingdings" w:hAnsi="Wingdings" w:hint="default"/>
      </w:rPr>
    </w:lvl>
    <w:lvl w:ilvl="6" w:tplc="CF12A3F4" w:tentative="1">
      <w:start w:val="1"/>
      <w:numFmt w:val="bullet"/>
      <w:lvlText w:val=""/>
      <w:lvlJc w:val="left"/>
      <w:pPr>
        <w:tabs>
          <w:tab w:val="num" w:pos="5040"/>
        </w:tabs>
        <w:ind w:left="5040" w:hanging="360"/>
      </w:pPr>
      <w:rPr>
        <w:rFonts w:ascii="Symbol" w:hAnsi="Symbol" w:hint="default"/>
      </w:rPr>
    </w:lvl>
    <w:lvl w:ilvl="7" w:tplc="5734BD4A" w:tentative="1">
      <w:start w:val="1"/>
      <w:numFmt w:val="bullet"/>
      <w:lvlText w:val="o"/>
      <w:lvlJc w:val="left"/>
      <w:pPr>
        <w:tabs>
          <w:tab w:val="num" w:pos="5760"/>
        </w:tabs>
        <w:ind w:left="5760" w:hanging="360"/>
      </w:pPr>
      <w:rPr>
        <w:rFonts w:ascii="Courier New" w:hAnsi="Courier New" w:cs="Courier New" w:hint="default"/>
      </w:rPr>
    </w:lvl>
    <w:lvl w:ilvl="8" w:tplc="4BA0CE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6448054">
      <w:start w:val="1"/>
      <w:numFmt w:val="bullet"/>
      <w:pStyle w:val="Lijstopsomteken2"/>
      <w:lvlText w:val="–"/>
      <w:lvlJc w:val="left"/>
      <w:pPr>
        <w:tabs>
          <w:tab w:val="num" w:pos="227"/>
        </w:tabs>
        <w:ind w:left="227" w:firstLine="0"/>
      </w:pPr>
      <w:rPr>
        <w:rFonts w:ascii="Verdana" w:hAnsi="Verdana" w:hint="default"/>
      </w:rPr>
    </w:lvl>
    <w:lvl w:ilvl="1" w:tplc="8E862078" w:tentative="1">
      <w:start w:val="1"/>
      <w:numFmt w:val="bullet"/>
      <w:lvlText w:val="o"/>
      <w:lvlJc w:val="left"/>
      <w:pPr>
        <w:tabs>
          <w:tab w:val="num" w:pos="1440"/>
        </w:tabs>
        <w:ind w:left="1440" w:hanging="360"/>
      </w:pPr>
      <w:rPr>
        <w:rFonts w:ascii="Courier New" w:hAnsi="Courier New" w:cs="Courier New" w:hint="default"/>
      </w:rPr>
    </w:lvl>
    <w:lvl w:ilvl="2" w:tplc="F2F4447A" w:tentative="1">
      <w:start w:val="1"/>
      <w:numFmt w:val="bullet"/>
      <w:lvlText w:val=""/>
      <w:lvlJc w:val="left"/>
      <w:pPr>
        <w:tabs>
          <w:tab w:val="num" w:pos="2160"/>
        </w:tabs>
        <w:ind w:left="2160" w:hanging="360"/>
      </w:pPr>
      <w:rPr>
        <w:rFonts w:ascii="Wingdings" w:hAnsi="Wingdings" w:hint="default"/>
      </w:rPr>
    </w:lvl>
    <w:lvl w:ilvl="3" w:tplc="90940456" w:tentative="1">
      <w:start w:val="1"/>
      <w:numFmt w:val="bullet"/>
      <w:lvlText w:val=""/>
      <w:lvlJc w:val="left"/>
      <w:pPr>
        <w:tabs>
          <w:tab w:val="num" w:pos="2880"/>
        </w:tabs>
        <w:ind w:left="2880" w:hanging="360"/>
      </w:pPr>
      <w:rPr>
        <w:rFonts w:ascii="Symbol" w:hAnsi="Symbol" w:hint="default"/>
      </w:rPr>
    </w:lvl>
    <w:lvl w:ilvl="4" w:tplc="958E0286" w:tentative="1">
      <w:start w:val="1"/>
      <w:numFmt w:val="bullet"/>
      <w:lvlText w:val="o"/>
      <w:lvlJc w:val="left"/>
      <w:pPr>
        <w:tabs>
          <w:tab w:val="num" w:pos="3600"/>
        </w:tabs>
        <w:ind w:left="3600" w:hanging="360"/>
      </w:pPr>
      <w:rPr>
        <w:rFonts w:ascii="Courier New" w:hAnsi="Courier New" w:cs="Courier New" w:hint="default"/>
      </w:rPr>
    </w:lvl>
    <w:lvl w:ilvl="5" w:tplc="0C241740" w:tentative="1">
      <w:start w:val="1"/>
      <w:numFmt w:val="bullet"/>
      <w:lvlText w:val=""/>
      <w:lvlJc w:val="left"/>
      <w:pPr>
        <w:tabs>
          <w:tab w:val="num" w:pos="4320"/>
        </w:tabs>
        <w:ind w:left="4320" w:hanging="360"/>
      </w:pPr>
      <w:rPr>
        <w:rFonts w:ascii="Wingdings" w:hAnsi="Wingdings" w:hint="default"/>
      </w:rPr>
    </w:lvl>
    <w:lvl w:ilvl="6" w:tplc="323C824E" w:tentative="1">
      <w:start w:val="1"/>
      <w:numFmt w:val="bullet"/>
      <w:lvlText w:val=""/>
      <w:lvlJc w:val="left"/>
      <w:pPr>
        <w:tabs>
          <w:tab w:val="num" w:pos="5040"/>
        </w:tabs>
        <w:ind w:left="5040" w:hanging="360"/>
      </w:pPr>
      <w:rPr>
        <w:rFonts w:ascii="Symbol" w:hAnsi="Symbol" w:hint="default"/>
      </w:rPr>
    </w:lvl>
    <w:lvl w:ilvl="7" w:tplc="8D30CB76" w:tentative="1">
      <w:start w:val="1"/>
      <w:numFmt w:val="bullet"/>
      <w:lvlText w:val="o"/>
      <w:lvlJc w:val="left"/>
      <w:pPr>
        <w:tabs>
          <w:tab w:val="num" w:pos="5760"/>
        </w:tabs>
        <w:ind w:left="5760" w:hanging="360"/>
      </w:pPr>
      <w:rPr>
        <w:rFonts w:ascii="Courier New" w:hAnsi="Courier New" w:cs="Courier New" w:hint="default"/>
      </w:rPr>
    </w:lvl>
    <w:lvl w:ilvl="8" w:tplc="E32837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16D66"/>
    <w:multiLevelType w:val="hybridMultilevel"/>
    <w:tmpl w:val="2FB6BD4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D17BA0"/>
    <w:multiLevelType w:val="hybridMultilevel"/>
    <w:tmpl w:val="D324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974CB"/>
    <w:multiLevelType w:val="hybridMultilevel"/>
    <w:tmpl w:val="1196EE2A"/>
    <w:lvl w:ilvl="0" w:tplc="EE7A435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B34512"/>
    <w:multiLevelType w:val="hybridMultilevel"/>
    <w:tmpl w:val="890C03E0"/>
    <w:lvl w:ilvl="0" w:tplc="BDF60216">
      <w:start w:val="1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54749161">
    <w:abstractNumId w:val="10"/>
  </w:num>
  <w:num w:numId="2" w16cid:durableId="597760842">
    <w:abstractNumId w:val="7"/>
  </w:num>
  <w:num w:numId="3" w16cid:durableId="183641596">
    <w:abstractNumId w:val="6"/>
  </w:num>
  <w:num w:numId="4" w16cid:durableId="508107469">
    <w:abstractNumId w:val="5"/>
  </w:num>
  <w:num w:numId="5" w16cid:durableId="2055888720">
    <w:abstractNumId w:val="4"/>
  </w:num>
  <w:num w:numId="6" w16cid:durableId="1422527590">
    <w:abstractNumId w:val="8"/>
  </w:num>
  <w:num w:numId="7" w16cid:durableId="1417550547">
    <w:abstractNumId w:val="3"/>
  </w:num>
  <w:num w:numId="8" w16cid:durableId="1888757802">
    <w:abstractNumId w:val="2"/>
  </w:num>
  <w:num w:numId="9" w16cid:durableId="328409576">
    <w:abstractNumId w:val="1"/>
  </w:num>
  <w:num w:numId="10" w16cid:durableId="1391463305">
    <w:abstractNumId w:val="0"/>
  </w:num>
  <w:num w:numId="11" w16cid:durableId="696854227">
    <w:abstractNumId w:val="9"/>
  </w:num>
  <w:num w:numId="12" w16cid:durableId="991640199">
    <w:abstractNumId w:val="11"/>
  </w:num>
  <w:num w:numId="13" w16cid:durableId="1629164753">
    <w:abstractNumId w:val="15"/>
  </w:num>
  <w:num w:numId="14" w16cid:durableId="51538199">
    <w:abstractNumId w:val="12"/>
  </w:num>
  <w:num w:numId="15" w16cid:durableId="1998418258">
    <w:abstractNumId w:val="17"/>
  </w:num>
  <w:num w:numId="16" w16cid:durableId="532423997">
    <w:abstractNumId w:val="14"/>
  </w:num>
  <w:num w:numId="17" w16cid:durableId="1450200879">
    <w:abstractNumId w:val="16"/>
  </w:num>
  <w:num w:numId="18" w16cid:durableId="64647039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04A0"/>
    <w:rsid w:val="00011E83"/>
    <w:rsid w:val="000122DB"/>
    <w:rsid w:val="000124F9"/>
    <w:rsid w:val="00013862"/>
    <w:rsid w:val="00014599"/>
    <w:rsid w:val="00016012"/>
    <w:rsid w:val="00020189"/>
    <w:rsid w:val="000205D5"/>
    <w:rsid w:val="00020EE4"/>
    <w:rsid w:val="00020FCB"/>
    <w:rsid w:val="000217E8"/>
    <w:rsid w:val="00023E10"/>
    <w:rsid w:val="00023E9A"/>
    <w:rsid w:val="00025A42"/>
    <w:rsid w:val="00033CDD"/>
    <w:rsid w:val="00034348"/>
    <w:rsid w:val="00034A84"/>
    <w:rsid w:val="00034D28"/>
    <w:rsid w:val="00035E67"/>
    <w:rsid w:val="000366F3"/>
    <w:rsid w:val="0004020F"/>
    <w:rsid w:val="000407BB"/>
    <w:rsid w:val="000465C5"/>
    <w:rsid w:val="0005348F"/>
    <w:rsid w:val="0005404B"/>
    <w:rsid w:val="0005447D"/>
    <w:rsid w:val="000546DE"/>
    <w:rsid w:val="0006024D"/>
    <w:rsid w:val="00062055"/>
    <w:rsid w:val="00065462"/>
    <w:rsid w:val="00071F28"/>
    <w:rsid w:val="00074079"/>
    <w:rsid w:val="00075110"/>
    <w:rsid w:val="000765B6"/>
    <w:rsid w:val="000807A3"/>
    <w:rsid w:val="0008289C"/>
    <w:rsid w:val="00084586"/>
    <w:rsid w:val="0008539E"/>
    <w:rsid w:val="00092799"/>
    <w:rsid w:val="00092A99"/>
    <w:rsid w:val="00092B38"/>
    <w:rsid w:val="00092C5F"/>
    <w:rsid w:val="00093ABC"/>
    <w:rsid w:val="00094245"/>
    <w:rsid w:val="00096680"/>
    <w:rsid w:val="000A0F36"/>
    <w:rsid w:val="000A174A"/>
    <w:rsid w:val="000A1C3A"/>
    <w:rsid w:val="000A3E0A"/>
    <w:rsid w:val="000A46EB"/>
    <w:rsid w:val="000A65AC"/>
    <w:rsid w:val="000B3DC4"/>
    <w:rsid w:val="000B7281"/>
    <w:rsid w:val="000B7FAB"/>
    <w:rsid w:val="000C1BA1"/>
    <w:rsid w:val="000C3EA9"/>
    <w:rsid w:val="000C443B"/>
    <w:rsid w:val="000C4A32"/>
    <w:rsid w:val="000C52E5"/>
    <w:rsid w:val="000C65BB"/>
    <w:rsid w:val="000C7119"/>
    <w:rsid w:val="000D0225"/>
    <w:rsid w:val="000D136D"/>
    <w:rsid w:val="000D249E"/>
    <w:rsid w:val="000D6399"/>
    <w:rsid w:val="000E3391"/>
    <w:rsid w:val="000E40FF"/>
    <w:rsid w:val="000E5886"/>
    <w:rsid w:val="000E6422"/>
    <w:rsid w:val="000E6621"/>
    <w:rsid w:val="000E7895"/>
    <w:rsid w:val="000F161D"/>
    <w:rsid w:val="000F18F2"/>
    <w:rsid w:val="000F1B4E"/>
    <w:rsid w:val="000F1FFF"/>
    <w:rsid w:val="000F2EFD"/>
    <w:rsid w:val="000F521E"/>
    <w:rsid w:val="000F677A"/>
    <w:rsid w:val="000F78B6"/>
    <w:rsid w:val="00100203"/>
    <w:rsid w:val="00104B4D"/>
    <w:rsid w:val="00105344"/>
    <w:rsid w:val="00105677"/>
    <w:rsid w:val="001177B4"/>
    <w:rsid w:val="00121402"/>
    <w:rsid w:val="00122CF9"/>
    <w:rsid w:val="00123704"/>
    <w:rsid w:val="001270C7"/>
    <w:rsid w:val="00132540"/>
    <w:rsid w:val="00134B9E"/>
    <w:rsid w:val="00135001"/>
    <w:rsid w:val="001377D4"/>
    <w:rsid w:val="001379A9"/>
    <w:rsid w:val="00137E57"/>
    <w:rsid w:val="001426E1"/>
    <w:rsid w:val="00142E41"/>
    <w:rsid w:val="0014786A"/>
    <w:rsid w:val="001516A4"/>
    <w:rsid w:val="00151E5F"/>
    <w:rsid w:val="00153BD0"/>
    <w:rsid w:val="001569AB"/>
    <w:rsid w:val="00164D63"/>
    <w:rsid w:val="0016725C"/>
    <w:rsid w:val="00167DE5"/>
    <w:rsid w:val="0017008F"/>
    <w:rsid w:val="00170693"/>
    <w:rsid w:val="001717C7"/>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A7B7C"/>
    <w:rsid w:val="001B2BBA"/>
    <w:rsid w:val="001B35FA"/>
    <w:rsid w:val="001C006F"/>
    <w:rsid w:val="001C2C36"/>
    <w:rsid w:val="001C32EC"/>
    <w:rsid w:val="001C38BD"/>
    <w:rsid w:val="001C461B"/>
    <w:rsid w:val="001C4D5A"/>
    <w:rsid w:val="001E0256"/>
    <w:rsid w:val="001E34C6"/>
    <w:rsid w:val="001E5581"/>
    <w:rsid w:val="001E5659"/>
    <w:rsid w:val="001F3C70"/>
    <w:rsid w:val="001F4935"/>
    <w:rsid w:val="002004DE"/>
    <w:rsid w:val="00200D88"/>
    <w:rsid w:val="00201C09"/>
    <w:rsid w:val="00201F68"/>
    <w:rsid w:val="00202D4F"/>
    <w:rsid w:val="00210BA3"/>
    <w:rsid w:val="00212F2A"/>
    <w:rsid w:val="00214F2B"/>
    <w:rsid w:val="00215356"/>
    <w:rsid w:val="00215964"/>
    <w:rsid w:val="00215D8B"/>
    <w:rsid w:val="00217880"/>
    <w:rsid w:val="00222D66"/>
    <w:rsid w:val="0022441A"/>
    <w:rsid w:val="00224A8A"/>
    <w:rsid w:val="00227CC5"/>
    <w:rsid w:val="002309A8"/>
    <w:rsid w:val="00236CFE"/>
    <w:rsid w:val="002428E3"/>
    <w:rsid w:val="0024430A"/>
    <w:rsid w:val="00245011"/>
    <w:rsid w:val="00245299"/>
    <w:rsid w:val="00245FF7"/>
    <w:rsid w:val="00252C4E"/>
    <w:rsid w:val="00253B65"/>
    <w:rsid w:val="0026060B"/>
    <w:rsid w:val="00260BAF"/>
    <w:rsid w:val="002610A6"/>
    <w:rsid w:val="00262DBA"/>
    <w:rsid w:val="00263FD6"/>
    <w:rsid w:val="002650F7"/>
    <w:rsid w:val="0026686B"/>
    <w:rsid w:val="00273F3B"/>
    <w:rsid w:val="00274DB7"/>
    <w:rsid w:val="00274E4B"/>
    <w:rsid w:val="00275984"/>
    <w:rsid w:val="00276199"/>
    <w:rsid w:val="002768F3"/>
    <w:rsid w:val="00276DA4"/>
    <w:rsid w:val="00280F74"/>
    <w:rsid w:val="00286998"/>
    <w:rsid w:val="00291AB7"/>
    <w:rsid w:val="0029422B"/>
    <w:rsid w:val="00294DCB"/>
    <w:rsid w:val="002A06CE"/>
    <w:rsid w:val="002A1DD5"/>
    <w:rsid w:val="002A2372"/>
    <w:rsid w:val="002A37B5"/>
    <w:rsid w:val="002A6722"/>
    <w:rsid w:val="002B153C"/>
    <w:rsid w:val="002B52FC"/>
    <w:rsid w:val="002C04C8"/>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459"/>
    <w:rsid w:val="00307B3C"/>
    <w:rsid w:val="00310EF2"/>
    <w:rsid w:val="003115A6"/>
    <w:rsid w:val="00311FD2"/>
    <w:rsid w:val="00312597"/>
    <w:rsid w:val="00322680"/>
    <w:rsid w:val="00322836"/>
    <w:rsid w:val="00333B71"/>
    <w:rsid w:val="00334154"/>
    <w:rsid w:val="003341D0"/>
    <w:rsid w:val="003372C4"/>
    <w:rsid w:val="00341FA0"/>
    <w:rsid w:val="00342374"/>
    <w:rsid w:val="00344F3D"/>
    <w:rsid w:val="00345299"/>
    <w:rsid w:val="00351A8D"/>
    <w:rsid w:val="003526BB"/>
    <w:rsid w:val="00352BCF"/>
    <w:rsid w:val="00353932"/>
    <w:rsid w:val="0035464B"/>
    <w:rsid w:val="00354D0A"/>
    <w:rsid w:val="00356D2B"/>
    <w:rsid w:val="00357A24"/>
    <w:rsid w:val="00361A56"/>
    <w:rsid w:val="0036252A"/>
    <w:rsid w:val="00364C14"/>
    <w:rsid w:val="00364D9D"/>
    <w:rsid w:val="003675D8"/>
    <w:rsid w:val="00371048"/>
    <w:rsid w:val="0037396C"/>
    <w:rsid w:val="0037421D"/>
    <w:rsid w:val="00374412"/>
    <w:rsid w:val="00376093"/>
    <w:rsid w:val="0037715E"/>
    <w:rsid w:val="00383DA1"/>
    <w:rsid w:val="00385CF2"/>
    <w:rsid w:val="00385E53"/>
    <w:rsid w:val="00385F30"/>
    <w:rsid w:val="00387600"/>
    <w:rsid w:val="00387607"/>
    <w:rsid w:val="00393380"/>
    <w:rsid w:val="00393696"/>
    <w:rsid w:val="00393963"/>
    <w:rsid w:val="00395575"/>
    <w:rsid w:val="00395672"/>
    <w:rsid w:val="003964F6"/>
    <w:rsid w:val="003A06C8"/>
    <w:rsid w:val="003A0D7C"/>
    <w:rsid w:val="003A7160"/>
    <w:rsid w:val="003B0155"/>
    <w:rsid w:val="003B09DB"/>
    <w:rsid w:val="003B1324"/>
    <w:rsid w:val="003B4551"/>
    <w:rsid w:val="003B528D"/>
    <w:rsid w:val="003B7EE7"/>
    <w:rsid w:val="003C2CCB"/>
    <w:rsid w:val="003C4A1C"/>
    <w:rsid w:val="003C5BCB"/>
    <w:rsid w:val="003C65ED"/>
    <w:rsid w:val="003D39EC"/>
    <w:rsid w:val="003D40EA"/>
    <w:rsid w:val="003D6FD3"/>
    <w:rsid w:val="003E3DD5"/>
    <w:rsid w:val="003E63B6"/>
    <w:rsid w:val="003F07C6"/>
    <w:rsid w:val="003F1F6B"/>
    <w:rsid w:val="003F3757"/>
    <w:rsid w:val="003F44B7"/>
    <w:rsid w:val="004008E9"/>
    <w:rsid w:val="00407991"/>
    <w:rsid w:val="0041019E"/>
    <w:rsid w:val="00413D48"/>
    <w:rsid w:val="004218F7"/>
    <w:rsid w:val="00423FBC"/>
    <w:rsid w:val="00424A60"/>
    <w:rsid w:val="004306E6"/>
    <w:rsid w:val="00434042"/>
    <w:rsid w:val="00434500"/>
    <w:rsid w:val="00441AC2"/>
    <w:rsid w:val="0044249B"/>
    <w:rsid w:val="004425A7"/>
    <w:rsid w:val="0044605E"/>
    <w:rsid w:val="0045023C"/>
    <w:rsid w:val="00451A5B"/>
    <w:rsid w:val="00452BCD"/>
    <w:rsid w:val="00452CEA"/>
    <w:rsid w:val="00456629"/>
    <w:rsid w:val="00463A63"/>
    <w:rsid w:val="00465B52"/>
    <w:rsid w:val="0046708E"/>
    <w:rsid w:val="00467D61"/>
    <w:rsid w:val="0047126E"/>
    <w:rsid w:val="004722BE"/>
    <w:rsid w:val="00472A65"/>
    <w:rsid w:val="004742D9"/>
    <w:rsid w:val="00474463"/>
    <w:rsid w:val="00474B75"/>
    <w:rsid w:val="00483ECA"/>
    <w:rsid w:val="00483F0B"/>
    <w:rsid w:val="00487536"/>
    <w:rsid w:val="00490155"/>
    <w:rsid w:val="0049501A"/>
    <w:rsid w:val="00496319"/>
    <w:rsid w:val="0049657E"/>
    <w:rsid w:val="00496621"/>
    <w:rsid w:val="00497279"/>
    <w:rsid w:val="00497B34"/>
    <w:rsid w:val="004A010B"/>
    <w:rsid w:val="004A3186"/>
    <w:rsid w:val="004A419C"/>
    <w:rsid w:val="004A670A"/>
    <w:rsid w:val="004B5465"/>
    <w:rsid w:val="004B6487"/>
    <w:rsid w:val="004B70F0"/>
    <w:rsid w:val="004C0035"/>
    <w:rsid w:val="004C1299"/>
    <w:rsid w:val="004C2A57"/>
    <w:rsid w:val="004C5B24"/>
    <w:rsid w:val="004C7E1D"/>
    <w:rsid w:val="004D065C"/>
    <w:rsid w:val="004D33FE"/>
    <w:rsid w:val="004D39A8"/>
    <w:rsid w:val="004D4703"/>
    <w:rsid w:val="004D505E"/>
    <w:rsid w:val="004D67E8"/>
    <w:rsid w:val="004D72CA"/>
    <w:rsid w:val="004E2242"/>
    <w:rsid w:val="004E3569"/>
    <w:rsid w:val="004F0F6D"/>
    <w:rsid w:val="004F2483"/>
    <w:rsid w:val="004F2F06"/>
    <w:rsid w:val="004F42FF"/>
    <w:rsid w:val="004F44C2"/>
    <w:rsid w:val="00502F4B"/>
    <w:rsid w:val="005037E7"/>
    <w:rsid w:val="00505262"/>
    <w:rsid w:val="005107B1"/>
    <w:rsid w:val="00516022"/>
    <w:rsid w:val="00521CEE"/>
    <w:rsid w:val="00525DC1"/>
    <w:rsid w:val="00527BD4"/>
    <w:rsid w:val="00533061"/>
    <w:rsid w:val="00533FA1"/>
    <w:rsid w:val="00534C77"/>
    <w:rsid w:val="005403C8"/>
    <w:rsid w:val="00541AD9"/>
    <w:rsid w:val="005429DC"/>
    <w:rsid w:val="0054528D"/>
    <w:rsid w:val="00555318"/>
    <w:rsid w:val="005565F9"/>
    <w:rsid w:val="005566A4"/>
    <w:rsid w:val="005639D2"/>
    <w:rsid w:val="00565739"/>
    <w:rsid w:val="00571F95"/>
    <w:rsid w:val="00573041"/>
    <w:rsid w:val="00575B80"/>
    <w:rsid w:val="00577559"/>
    <w:rsid w:val="005819CE"/>
    <w:rsid w:val="0058298D"/>
    <w:rsid w:val="00583FC8"/>
    <w:rsid w:val="00590595"/>
    <w:rsid w:val="00593C2B"/>
    <w:rsid w:val="00595231"/>
    <w:rsid w:val="00595CBB"/>
    <w:rsid w:val="00596166"/>
    <w:rsid w:val="00597720"/>
    <w:rsid w:val="00597F64"/>
    <w:rsid w:val="005A1AF5"/>
    <w:rsid w:val="005A207F"/>
    <w:rsid w:val="005A2F35"/>
    <w:rsid w:val="005A7512"/>
    <w:rsid w:val="005B3441"/>
    <w:rsid w:val="005B463E"/>
    <w:rsid w:val="005B4FAC"/>
    <w:rsid w:val="005B5D8B"/>
    <w:rsid w:val="005B77C9"/>
    <w:rsid w:val="005C34E1"/>
    <w:rsid w:val="005C3FE0"/>
    <w:rsid w:val="005C4C82"/>
    <w:rsid w:val="005C740C"/>
    <w:rsid w:val="005D283A"/>
    <w:rsid w:val="005D625B"/>
    <w:rsid w:val="005E1283"/>
    <w:rsid w:val="005E3322"/>
    <w:rsid w:val="005E436C"/>
    <w:rsid w:val="005E64E2"/>
    <w:rsid w:val="005E795E"/>
    <w:rsid w:val="005F62D3"/>
    <w:rsid w:val="005F6D11"/>
    <w:rsid w:val="00600CF0"/>
    <w:rsid w:val="006048F4"/>
    <w:rsid w:val="0060660A"/>
    <w:rsid w:val="00610A24"/>
    <w:rsid w:val="00613B1D"/>
    <w:rsid w:val="00617311"/>
    <w:rsid w:val="00617A44"/>
    <w:rsid w:val="00617CBC"/>
    <w:rsid w:val="006202B6"/>
    <w:rsid w:val="006205C0"/>
    <w:rsid w:val="00623CB2"/>
    <w:rsid w:val="00623D98"/>
    <w:rsid w:val="00624E6E"/>
    <w:rsid w:val="006254C5"/>
    <w:rsid w:val="00625CD0"/>
    <w:rsid w:val="0062627D"/>
    <w:rsid w:val="00626DE5"/>
    <w:rsid w:val="00627432"/>
    <w:rsid w:val="0063286E"/>
    <w:rsid w:val="00635031"/>
    <w:rsid w:val="00640344"/>
    <w:rsid w:val="0064192A"/>
    <w:rsid w:val="00642768"/>
    <w:rsid w:val="006448E4"/>
    <w:rsid w:val="00645414"/>
    <w:rsid w:val="0064779E"/>
    <w:rsid w:val="00647F00"/>
    <w:rsid w:val="0065244E"/>
    <w:rsid w:val="006534D0"/>
    <w:rsid w:val="00653606"/>
    <w:rsid w:val="006610E9"/>
    <w:rsid w:val="00661591"/>
    <w:rsid w:val="00662A78"/>
    <w:rsid w:val="00663187"/>
    <w:rsid w:val="0066632F"/>
    <w:rsid w:val="0067362D"/>
    <w:rsid w:val="00674A89"/>
    <w:rsid w:val="00674F3D"/>
    <w:rsid w:val="00677D64"/>
    <w:rsid w:val="00682E02"/>
    <w:rsid w:val="00685545"/>
    <w:rsid w:val="00685DF0"/>
    <w:rsid w:val="0068619A"/>
    <w:rsid w:val="006864B3"/>
    <w:rsid w:val="00686AED"/>
    <w:rsid w:val="00686F31"/>
    <w:rsid w:val="00686F7D"/>
    <w:rsid w:val="00687511"/>
    <w:rsid w:val="006925FF"/>
    <w:rsid w:val="00692BA9"/>
    <w:rsid w:val="00692C30"/>
    <w:rsid w:val="00692D64"/>
    <w:rsid w:val="006973AB"/>
    <w:rsid w:val="006A10F8"/>
    <w:rsid w:val="006A2100"/>
    <w:rsid w:val="006A6FB1"/>
    <w:rsid w:val="006B0BF3"/>
    <w:rsid w:val="006B1521"/>
    <w:rsid w:val="006B2A77"/>
    <w:rsid w:val="006B421D"/>
    <w:rsid w:val="006B775E"/>
    <w:rsid w:val="006B7B87"/>
    <w:rsid w:val="006B7BC7"/>
    <w:rsid w:val="006C0013"/>
    <w:rsid w:val="006C2093"/>
    <w:rsid w:val="006C2278"/>
    <w:rsid w:val="006C2535"/>
    <w:rsid w:val="006C311B"/>
    <w:rsid w:val="006C43AB"/>
    <w:rsid w:val="006C441E"/>
    <w:rsid w:val="006C4B90"/>
    <w:rsid w:val="006C54E0"/>
    <w:rsid w:val="006C7993"/>
    <w:rsid w:val="006D1016"/>
    <w:rsid w:val="006D17F2"/>
    <w:rsid w:val="006D2D53"/>
    <w:rsid w:val="006E3546"/>
    <w:rsid w:val="006E3FA9"/>
    <w:rsid w:val="006E7D82"/>
    <w:rsid w:val="006F038F"/>
    <w:rsid w:val="006F0F93"/>
    <w:rsid w:val="006F273B"/>
    <w:rsid w:val="006F31F2"/>
    <w:rsid w:val="006F345D"/>
    <w:rsid w:val="006F6CE8"/>
    <w:rsid w:val="00704845"/>
    <w:rsid w:val="00705C8C"/>
    <w:rsid w:val="007065E6"/>
    <w:rsid w:val="00706AB3"/>
    <w:rsid w:val="00714DC5"/>
    <w:rsid w:val="00715237"/>
    <w:rsid w:val="007152E0"/>
    <w:rsid w:val="007174F4"/>
    <w:rsid w:val="00721D2E"/>
    <w:rsid w:val="007242CC"/>
    <w:rsid w:val="00724A8B"/>
    <w:rsid w:val="007254A5"/>
    <w:rsid w:val="00725748"/>
    <w:rsid w:val="007277AF"/>
    <w:rsid w:val="00727AAC"/>
    <w:rsid w:val="00734EF3"/>
    <w:rsid w:val="00735D88"/>
    <w:rsid w:val="0073720D"/>
    <w:rsid w:val="00737507"/>
    <w:rsid w:val="00740712"/>
    <w:rsid w:val="00741309"/>
    <w:rsid w:val="00742AB9"/>
    <w:rsid w:val="00746D1D"/>
    <w:rsid w:val="00751A6A"/>
    <w:rsid w:val="00753154"/>
    <w:rsid w:val="00754AD6"/>
    <w:rsid w:val="00754FBF"/>
    <w:rsid w:val="007615AC"/>
    <w:rsid w:val="00761D4C"/>
    <w:rsid w:val="00764585"/>
    <w:rsid w:val="0076501D"/>
    <w:rsid w:val="00767FEF"/>
    <w:rsid w:val="007709EF"/>
    <w:rsid w:val="00775B00"/>
    <w:rsid w:val="007809CA"/>
    <w:rsid w:val="00783559"/>
    <w:rsid w:val="007846ED"/>
    <w:rsid w:val="007851C4"/>
    <w:rsid w:val="00785C3B"/>
    <w:rsid w:val="00786D48"/>
    <w:rsid w:val="00790593"/>
    <w:rsid w:val="0079706E"/>
    <w:rsid w:val="00797AA5"/>
    <w:rsid w:val="007A26BD"/>
    <w:rsid w:val="007A4105"/>
    <w:rsid w:val="007A4F0E"/>
    <w:rsid w:val="007A514C"/>
    <w:rsid w:val="007B0D8E"/>
    <w:rsid w:val="007B4503"/>
    <w:rsid w:val="007C03C9"/>
    <w:rsid w:val="007C16D8"/>
    <w:rsid w:val="007C2E88"/>
    <w:rsid w:val="007C406E"/>
    <w:rsid w:val="007C5183"/>
    <w:rsid w:val="007C7573"/>
    <w:rsid w:val="007E14E4"/>
    <w:rsid w:val="007E2B20"/>
    <w:rsid w:val="007E7E99"/>
    <w:rsid w:val="007F102D"/>
    <w:rsid w:val="007F5331"/>
    <w:rsid w:val="00800CCA"/>
    <w:rsid w:val="008020F2"/>
    <w:rsid w:val="00806120"/>
    <w:rsid w:val="00810C93"/>
    <w:rsid w:val="00812028"/>
    <w:rsid w:val="00812DD8"/>
    <w:rsid w:val="00813082"/>
    <w:rsid w:val="00813527"/>
    <w:rsid w:val="00814120"/>
    <w:rsid w:val="0081428A"/>
    <w:rsid w:val="00814D03"/>
    <w:rsid w:val="00815C7E"/>
    <w:rsid w:val="008205B5"/>
    <w:rsid w:val="00820DDA"/>
    <w:rsid w:val="00821114"/>
    <w:rsid w:val="008211EF"/>
    <w:rsid w:val="00821FC1"/>
    <w:rsid w:val="008267CC"/>
    <w:rsid w:val="00826968"/>
    <w:rsid w:val="00827171"/>
    <w:rsid w:val="0083178B"/>
    <w:rsid w:val="00833695"/>
    <w:rsid w:val="008336B7"/>
    <w:rsid w:val="00833703"/>
    <w:rsid w:val="00833A8E"/>
    <w:rsid w:val="00835522"/>
    <w:rsid w:val="0084255A"/>
    <w:rsid w:val="00842CD8"/>
    <w:rsid w:val="008431FA"/>
    <w:rsid w:val="008541C8"/>
    <w:rsid w:val="008547BA"/>
    <w:rsid w:val="008553C7"/>
    <w:rsid w:val="0085693E"/>
    <w:rsid w:val="00857FEB"/>
    <w:rsid w:val="008601AF"/>
    <w:rsid w:val="00866AD5"/>
    <w:rsid w:val="00872271"/>
    <w:rsid w:val="008731F6"/>
    <w:rsid w:val="00874982"/>
    <w:rsid w:val="008762B6"/>
    <w:rsid w:val="00877CB6"/>
    <w:rsid w:val="00883137"/>
    <w:rsid w:val="0088437B"/>
    <w:rsid w:val="00885E18"/>
    <w:rsid w:val="00892BA5"/>
    <w:rsid w:val="00895371"/>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2161"/>
    <w:rsid w:val="008D34CD"/>
    <w:rsid w:val="008E0B3F"/>
    <w:rsid w:val="008E1341"/>
    <w:rsid w:val="008E3932"/>
    <w:rsid w:val="008E49AD"/>
    <w:rsid w:val="008E698E"/>
    <w:rsid w:val="008F088F"/>
    <w:rsid w:val="008F123F"/>
    <w:rsid w:val="008F2584"/>
    <w:rsid w:val="008F3246"/>
    <w:rsid w:val="008F3C1B"/>
    <w:rsid w:val="008F508C"/>
    <w:rsid w:val="009002D7"/>
    <w:rsid w:val="0090271B"/>
    <w:rsid w:val="00910642"/>
    <w:rsid w:val="00910DDF"/>
    <w:rsid w:val="00914117"/>
    <w:rsid w:val="0091661A"/>
    <w:rsid w:val="00921861"/>
    <w:rsid w:val="00924639"/>
    <w:rsid w:val="0092611E"/>
    <w:rsid w:val="00926F1F"/>
    <w:rsid w:val="00926F4B"/>
    <w:rsid w:val="00930B13"/>
    <w:rsid w:val="009311C8"/>
    <w:rsid w:val="0093199F"/>
    <w:rsid w:val="00933376"/>
    <w:rsid w:val="00933A2F"/>
    <w:rsid w:val="0094000D"/>
    <w:rsid w:val="00940206"/>
    <w:rsid w:val="00941B16"/>
    <w:rsid w:val="009445A8"/>
    <w:rsid w:val="00944F1E"/>
    <w:rsid w:val="009455C9"/>
    <w:rsid w:val="00946703"/>
    <w:rsid w:val="009528B2"/>
    <w:rsid w:val="009607C4"/>
    <w:rsid w:val="00962F2A"/>
    <w:rsid w:val="00963440"/>
    <w:rsid w:val="009654C2"/>
    <w:rsid w:val="00967441"/>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A7116"/>
    <w:rsid w:val="009B0138"/>
    <w:rsid w:val="009B0FE9"/>
    <w:rsid w:val="009B173A"/>
    <w:rsid w:val="009B5846"/>
    <w:rsid w:val="009B601B"/>
    <w:rsid w:val="009C3F20"/>
    <w:rsid w:val="009C64FB"/>
    <w:rsid w:val="009C7CA1"/>
    <w:rsid w:val="009D043D"/>
    <w:rsid w:val="009D4741"/>
    <w:rsid w:val="009D716F"/>
    <w:rsid w:val="009E2186"/>
    <w:rsid w:val="009E3B07"/>
    <w:rsid w:val="009F3259"/>
    <w:rsid w:val="009F541F"/>
    <w:rsid w:val="009F7795"/>
    <w:rsid w:val="00A02F38"/>
    <w:rsid w:val="00A0453E"/>
    <w:rsid w:val="00A056DE"/>
    <w:rsid w:val="00A0678A"/>
    <w:rsid w:val="00A1289E"/>
    <w:rsid w:val="00A128AD"/>
    <w:rsid w:val="00A20730"/>
    <w:rsid w:val="00A21E76"/>
    <w:rsid w:val="00A23BC8"/>
    <w:rsid w:val="00A2531F"/>
    <w:rsid w:val="00A30E68"/>
    <w:rsid w:val="00A31933"/>
    <w:rsid w:val="00A31C35"/>
    <w:rsid w:val="00A32073"/>
    <w:rsid w:val="00A34AA0"/>
    <w:rsid w:val="00A3653D"/>
    <w:rsid w:val="00A372A2"/>
    <w:rsid w:val="00A41E65"/>
    <w:rsid w:val="00A41FE2"/>
    <w:rsid w:val="00A421A1"/>
    <w:rsid w:val="00A46FEF"/>
    <w:rsid w:val="00A47948"/>
    <w:rsid w:val="00A50CF6"/>
    <w:rsid w:val="00A51C81"/>
    <w:rsid w:val="00A56850"/>
    <w:rsid w:val="00A56946"/>
    <w:rsid w:val="00A57FF0"/>
    <w:rsid w:val="00A604D3"/>
    <w:rsid w:val="00A60B58"/>
    <w:rsid w:val="00A61164"/>
    <w:rsid w:val="00A6170E"/>
    <w:rsid w:val="00A63B8C"/>
    <w:rsid w:val="00A64DFB"/>
    <w:rsid w:val="00A661AD"/>
    <w:rsid w:val="00A67AC7"/>
    <w:rsid w:val="00A715F8"/>
    <w:rsid w:val="00A71922"/>
    <w:rsid w:val="00A741BA"/>
    <w:rsid w:val="00A773CC"/>
    <w:rsid w:val="00A77F6F"/>
    <w:rsid w:val="00A80BEF"/>
    <w:rsid w:val="00A82DEB"/>
    <w:rsid w:val="00A831FD"/>
    <w:rsid w:val="00A83352"/>
    <w:rsid w:val="00A83794"/>
    <w:rsid w:val="00A850A2"/>
    <w:rsid w:val="00A91FA3"/>
    <w:rsid w:val="00A927D3"/>
    <w:rsid w:val="00A9429A"/>
    <w:rsid w:val="00AA3CFE"/>
    <w:rsid w:val="00AA65C5"/>
    <w:rsid w:val="00AA70B0"/>
    <w:rsid w:val="00AA7FC9"/>
    <w:rsid w:val="00AB237D"/>
    <w:rsid w:val="00AB50E6"/>
    <w:rsid w:val="00AB5933"/>
    <w:rsid w:val="00AD34B3"/>
    <w:rsid w:val="00AD5B44"/>
    <w:rsid w:val="00AD7608"/>
    <w:rsid w:val="00AE013D"/>
    <w:rsid w:val="00AE11B7"/>
    <w:rsid w:val="00AE18BA"/>
    <w:rsid w:val="00AE7130"/>
    <w:rsid w:val="00AE774C"/>
    <w:rsid w:val="00AE7F68"/>
    <w:rsid w:val="00AF022E"/>
    <w:rsid w:val="00AF0909"/>
    <w:rsid w:val="00AF1600"/>
    <w:rsid w:val="00AF2321"/>
    <w:rsid w:val="00AF52F6"/>
    <w:rsid w:val="00AF7237"/>
    <w:rsid w:val="00B0043A"/>
    <w:rsid w:val="00B00D75"/>
    <w:rsid w:val="00B01C6F"/>
    <w:rsid w:val="00B0690C"/>
    <w:rsid w:val="00B070CB"/>
    <w:rsid w:val="00B11627"/>
    <w:rsid w:val="00B12456"/>
    <w:rsid w:val="00B132B0"/>
    <w:rsid w:val="00B14052"/>
    <w:rsid w:val="00B173C6"/>
    <w:rsid w:val="00B20109"/>
    <w:rsid w:val="00B21FF9"/>
    <w:rsid w:val="00B220A5"/>
    <w:rsid w:val="00B2317A"/>
    <w:rsid w:val="00B259C8"/>
    <w:rsid w:val="00B26CCF"/>
    <w:rsid w:val="00B30FC2"/>
    <w:rsid w:val="00B31BA0"/>
    <w:rsid w:val="00B331A2"/>
    <w:rsid w:val="00B33CF2"/>
    <w:rsid w:val="00B350A2"/>
    <w:rsid w:val="00B40736"/>
    <w:rsid w:val="00B41965"/>
    <w:rsid w:val="00B425F0"/>
    <w:rsid w:val="00B42DFA"/>
    <w:rsid w:val="00B47D4F"/>
    <w:rsid w:val="00B50571"/>
    <w:rsid w:val="00B531DD"/>
    <w:rsid w:val="00B55014"/>
    <w:rsid w:val="00B62232"/>
    <w:rsid w:val="00B62297"/>
    <w:rsid w:val="00B626DD"/>
    <w:rsid w:val="00B67466"/>
    <w:rsid w:val="00B70BF3"/>
    <w:rsid w:val="00B70D24"/>
    <w:rsid w:val="00B70E51"/>
    <w:rsid w:val="00B71316"/>
    <w:rsid w:val="00B71DC2"/>
    <w:rsid w:val="00B80DB6"/>
    <w:rsid w:val="00B81AD2"/>
    <w:rsid w:val="00B81AEC"/>
    <w:rsid w:val="00B85A66"/>
    <w:rsid w:val="00B85ED4"/>
    <w:rsid w:val="00B85F07"/>
    <w:rsid w:val="00B87554"/>
    <w:rsid w:val="00B91CFC"/>
    <w:rsid w:val="00B93893"/>
    <w:rsid w:val="00BA439D"/>
    <w:rsid w:val="00BA7E0A"/>
    <w:rsid w:val="00BB2C51"/>
    <w:rsid w:val="00BB540C"/>
    <w:rsid w:val="00BB61B0"/>
    <w:rsid w:val="00BB7572"/>
    <w:rsid w:val="00BC0D9E"/>
    <w:rsid w:val="00BC3B53"/>
    <w:rsid w:val="00BC3B96"/>
    <w:rsid w:val="00BC4AE3"/>
    <w:rsid w:val="00BC5B28"/>
    <w:rsid w:val="00BC7264"/>
    <w:rsid w:val="00BD016C"/>
    <w:rsid w:val="00BE17D4"/>
    <w:rsid w:val="00BE2863"/>
    <w:rsid w:val="00BE3F88"/>
    <w:rsid w:val="00BE4756"/>
    <w:rsid w:val="00BE5267"/>
    <w:rsid w:val="00BE5ED9"/>
    <w:rsid w:val="00BE7B41"/>
    <w:rsid w:val="00BF085B"/>
    <w:rsid w:val="00BF4427"/>
    <w:rsid w:val="00BF46B6"/>
    <w:rsid w:val="00BF5675"/>
    <w:rsid w:val="00BF7A32"/>
    <w:rsid w:val="00C03DB6"/>
    <w:rsid w:val="00C03F80"/>
    <w:rsid w:val="00C15A91"/>
    <w:rsid w:val="00C206F1"/>
    <w:rsid w:val="00C2159D"/>
    <w:rsid w:val="00C217E1"/>
    <w:rsid w:val="00C219B1"/>
    <w:rsid w:val="00C231E2"/>
    <w:rsid w:val="00C24B43"/>
    <w:rsid w:val="00C2703D"/>
    <w:rsid w:val="00C31786"/>
    <w:rsid w:val="00C352B6"/>
    <w:rsid w:val="00C40027"/>
    <w:rsid w:val="00C4015B"/>
    <w:rsid w:val="00C4044E"/>
    <w:rsid w:val="00C40C60"/>
    <w:rsid w:val="00C43612"/>
    <w:rsid w:val="00C44487"/>
    <w:rsid w:val="00C47F04"/>
    <w:rsid w:val="00C50E87"/>
    <w:rsid w:val="00C5258E"/>
    <w:rsid w:val="00C5333A"/>
    <w:rsid w:val="00C535F7"/>
    <w:rsid w:val="00C53781"/>
    <w:rsid w:val="00C53BD7"/>
    <w:rsid w:val="00C55923"/>
    <w:rsid w:val="00C619A7"/>
    <w:rsid w:val="00C64E34"/>
    <w:rsid w:val="00C6545E"/>
    <w:rsid w:val="00C7097A"/>
    <w:rsid w:val="00C736E8"/>
    <w:rsid w:val="00C73D5F"/>
    <w:rsid w:val="00C76942"/>
    <w:rsid w:val="00C83A94"/>
    <w:rsid w:val="00C965EF"/>
    <w:rsid w:val="00C97C80"/>
    <w:rsid w:val="00CA0119"/>
    <w:rsid w:val="00CA1D00"/>
    <w:rsid w:val="00CA236C"/>
    <w:rsid w:val="00CA35E4"/>
    <w:rsid w:val="00CA47D3"/>
    <w:rsid w:val="00CA4E23"/>
    <w:rsid w:val="00CA6533"/>
    <w:rsid w:val="00CA6A25"/>
    <w:rsid w:val="00CA6A3F"/>
    <w:rsid w:val="00CA7C99"/>
    <w:rsid w:val="00CB1CA9"/>
    <w:rsid w:val="00CB6372"/>
    <w:rsid w:val="00CC15DE"/>
    <w:rsid w:val="00CC6290"/>
    <w:rsid w:val="00CD10EB"/>
    <w:rsid w:val="00CD233D"/>
    <w:rsid w:val="00CD362D"/>
    <w:rsid w:val="00CE101D"/>
    <w:rsid w:val="00CE1C84"/>
    <w:rsid w:val="00CE45FC"/>
    <w:rsid w:val="00CE4E63"/>
    <w:rsid w:val="00CE5055"/>
    <w:rsid w:val="00CE6426"/>
    <w:rsid w:val="00CF053F"/>
    <w:rsid w:val="00CF1A17"/>
    <w:rsid w:val="00CF4123"/>
    <w:rsid w:val="00D011C6"/>
    <w:rsid w:val="00D0140D"/>
    <w:rsid w:val="00D01C92"/>
    <w:rsid w:val="00D030AB"/>
    <w:rsid w:val="00D037A9"/>
    <w:rsid w:val="00D0609E"/>
    <w:rsid w:val="00D078E1"/>
    <w:rsid w:val="00D100E9"/>
    <w:rsid w:val="00D14DC0"/>
    <w:rsid w:val="00D17084"/>
    <w:rsid w:val="00D1791D"/>
    <w:rsid w:val="00D20B3D"/>
    <w:rsid w:val="00D21E4B"/>
    <w:rsid w:val="00D22588"/>
    <w:rsid w:val="00D22689"/>
    <w:rsid w:val="00D23522"/>
    <w:rsid w:val="00D264D6"/>
    <w:rsid w:val="00D33144"/>
    <w:rsid w:val="00D33BF0"/>
    <w:rsid w:val="00D33F30"/>
    <w:rsid w:val="00D34892"/>
    <w:rsid w:val="00D36088"/>
    <w:rsid w:val="00D36447"/>
    <w:rsid w:val="00D41CE8"/>
    <w:rsid w:val="00D44B73"/>
    <w:rsid w:val="00D470BE"/>
    <w:rsid w:val="00D516BE"/>
    <w:rsid w:val="00D5423B"/>
    <w:rsid w:val="00D54F4E"/>
    <w:rsid w:val="00D5641D"/>
    <w:rsid w:val="00D604B3"/>
    <w:rsid w:val="00D60BA4"/>
    <w:rsid w:val="00D62419"/>
    <w:rsid w:val="00D62AD8"/>
    <w:rsid w:val="00D65336"/>
    <w:rsid w:val="00D66074"/>
    <w:rsid w:val="00D67041"/>
    <w:rsid w:val="00D70BA0"/>
    <w:rsid w:val="00D74F66"/>
    <w:rsid w:val="00D75B3F"/>
    <w:rsid w:val="00D777E8"/>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B698F"/>
    <w:rsid w:val="00DC18F3"/>
    <w:rsid w:val="00DC2443"/>
    <w:rsid w:val="00DC691C"/>
    <w:rsid w:val="00DD09B6"/>
    <w:rsid w:val="00DD1DCD"/>
    <w:rsid w:val="00DD338F"/>
    <w:rsid w:val="00DD3404"/>
    <w:rsid w:val="00DD66F2"/>
    <w:rsid w:val="00DD7337"/>
    <w:rsid w:val="00DE06EE"/>
    <w:rsid w:val="00DE0C50"/>
    <w:rsid w:val="00DE1EB5"/>
    <w:rsid w:val="00DE3FE0"/>
    <w:rsid w:val="00DE578A"/>
    <w:rsid w:val="00DF2583"/>
    <w:rsid w:val="00DF3E62"/>
    <w:rsid w:val="00DF4D7F"/>
    <w:rsid w:val="00DF4E80"/>
    <w:rsid w:val="00DF54D9"/>
    <w:rsid w:val="00DF63F3"/>
    <w:rsid w:val="00DF7283"/>
    <w:rsid w:val="00E01A59"/>
    <w:rsid w:val="00E0622C"/>
    <w:rsid w:val="00E06622"/>
    <w:rsid w:val="00E0675E"/>
    <w:rsid w:val="00E10DC6"/>
    <w:rsid w:val="00E11F8E"/>
    <w:rsid w:val="00E13D95"/>
    <w:rsid w:val="00E14AA3"/>
    <w:rsid w:val="00E15881"/>
    <w:rsid w:val="00E16A8F"/>
    <w:rsid w:val="00E17CA2"/>
    <w:rsid w:val="00E20C25"/>
    <w:rsid w:val="00E21DE3"/>
    <w:rsid w:val="00E22D90"/>
    <w:rsid w:val="00E233D5"/>
    <w:rsid w:val="00E23DC3"/>
    <w:rsid w:val="00E27C61"/>
    <w:rsid w:val="00E30724"/>
    <w:rsid w:val="00E307D1"/>
    <w:rsid w:val="00E308B2"/>
    <w:rsid w:val="00E35710"/>
    <w:rsid w:val="00E35CF4"/>
    <w:rsid w:val="00E3731D"/>
    <w:rsid w:val="00E37811"/>
    <w:rsid w:val="00E40269"/>
    <w:rsid w:val="00E4548C"/>
    <w:rsid w:val="00E468E4"/>
    <w:rsid w:val="00E51469"/>
    <w:rsid w:val="00E54114"/>
    <w:rsid w:val="00E61ACA"/>
    <w:rsid w:val="00E62709"/>
    <w:rsid w:val="00E634E3"/>
    <w:rsid w:val="00E64E2B"/>
    <w:rsid w:val="00E717C4"/>
    <w:rsid w:val="00E72DAF"/>
    <w:rsid w:val="00E74D10"/>
    <w:rsid w:val="00E776C6"/>
    <w:rsid w:val="00E77F89"/>
    <w:rsid w:val="00E80E71"/>
    <w:rsid w:val="00E81589"/>
    <w:rsid w:val="00E850D3"/>
    <w:rsid w:val="00E853D6"/>
    <w:rsid w:val="00E8544F"/>
    <w:rsid w:val="00E86475"/>
    <w:rsid w:val="00E876B9"/>
    <w:rsid w:val="00E90545"/>
    <w:rsid w:val="00E91B40"/>
    <w:rsid w:val="00E91F7C"/>
    <w:rsid w:val="00E94D82"/>
    <w:rsid w:val="00E972A2"/>
    <w:rsid w:val="00EA24AA"/>
    <w:rsid w:val="00EA5BA2"/>
    <w:rsid w:val="00EB73E0"/>
    <w:rsid w:val="00EC0DFF"/>
    <w:rsid w:val="00EC237D"/>
    <w:rsid w:val="00EC25AB"/>
    <w:rsid w:val="00EC25B9"/>
    <w:rsid w:val="00EC2927"/>
    <w:rsid w:val="00EC4D0E"/>
    <w:rsid w:val="00EC4E2B"/>
    <w:rsid w:val="00ED072A"/>
    <w:rsid w:val="00ED18FF"/>
    <w:rsid w:val="00ED2F32"/>
    <w:rsid w:val="00ED3A1A"/>
    <w:rsid w:val="00ED539E"/>
    <w:rsid w:val="00ED576F"/>
    <w:rsid w:val="00ED5E4D"/>
    <w:rsid w:val="00ED76A3"/>
    <w:rsid w:val="00EE4A1F"/>
    <w:rsid w:val="00EE4C2D"/>
    <w:rsid w:val="00EF0CCB"/>
    <w:rsid w:val="00EF1B5A"/>
    <w:rsid w:val="00EF24FB"/>
    <w:rsid w:val="00EF2CCA"/>
    <w:rsid w:val="00EF42F5"/>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24AE"/>
    <w:rsid w:val="00F2315B"/>
    <w:rsid w:val="00F31111"/>
    <w:rsid w:val="00F33E99"/>
    <w:rsid w:val="00F373E4"/>
    <w:rsid w:val="00F4081F"/>
    <w:rsid w:val="00F40F11"/>
    <w:rsid w:val="00F41A6F"/>
    <w:rsid w:val="00F45A25"/>
    <w:rsid w:val="00F50F86"/>
    <w:rsid w:val="00F51A76"/>
    <w:rsid w:val="00F53862"/>
    <w:rsid w:val="00F53C9D"/>
    <w:rsid w:val="00F53E04"/>
    <w:rsid w:val="00F53F91"/>
    <w:rsid w:val="00F54B9F"/>
    <w:rsid w:val="00F61569"/>
    <w:rsid w:val="00F61A72"/>
    <w:rsid w:val="00F62B67"/>
    <w:rsid w:val="00F64662"/>
    <w:rsid w:val="00F66F13"/>
    <w:rsid w:val="00F7145D"/>
    <w:rsid w:val="00F71B5E"/>
    <w:rsid w:val="00F74073"/>
    <w:rsid w:val="00F75603"/>
    <w:rsid w:val="00F77BE5"/>
    <w:rsid w:val="00F800B8"/>
    <w:rsid w:val="00F845B4"/>
    <w:rsid w:val="00F84BBE"/>
    <w:rsid w:val="00F8713B"/>
    <w:rsid w:val="00F904FB"/>
    <w:rsid w:val="00F93F9E"/>
    <w:rsid w:val="00F950BC"/>
    <w:rsid w:val="00FA1D9A"/>
    <w:rsid w:val="00FA2CD7"/>
    <w:rsid w:val="00FA5AD5"/>
    <w:rsid w:val="00FA7882"/>
    <w:rsid w:val="00FB06ED"/>
    <w:rsid w:val="00FB222C"/>
    <w:rsid w:val="00FC02E5"/>
    <w:rsid w:val="00FC08A4"/>
    <w:rsid w:val="00FC0C16"/>
    <w:rsid w:val="00FC202F"/>
    <w:rsid w:val="00FC3165"/>
    <w:rsid w:val="00FC36AB"/>
    <w:rsid w:val="00FC4300"/>
    <w:rsid w:val="00FC4323"/>
    <w:rsid w:val="00FC788E"/>
    <w:rsid w:val="00FC7F66"/>
    <w:rsid w:val="00FD5776"/>
    <w:rsid w:val="00FD6A55"/>
    <w:rsid w:val="00FD6CF9"/>
    <w:rsid w:val="00FE1CB6"/>
    <w:rsid w:val="00FE486B"/>
    <w:rsid w:val="00FE4F08"/>
    <w:rsid w:val="00FE571B"/>
    <w:rsid w:val="00FE712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5FA0BCB"/>
  <w15:docId w15:val="{66053390-F8CC-409C-8D37-F12A8857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944F1E"/>
    <w:rPr>
      <w:sz w:val="16"/>
      <w:szCs w:val="16"/>
    </w:rPr>
  </w:style>
  <w:style w:type="paragraph" w:styleId="Tekstopmerking">
    <w:name w:val="annotation text"/>
    <w:basedOn w:val="Standaard"/>
    <w:link w:val="TekstopmerkingChar"/>
    <w:uiPriority w:val="99"/>
    <w:unhideWhenUsed/>
    <w:rsid w:val="00944F1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44F1E"/>
    <w:rPr>
      <w:rFonts w:asciiTheme="minorHAnsi" w:eastAsiaTheme="minorHAnsi" w:hAnsiTheme="minorHAnsi" w:cstheme="minorBidi"/>
      <w:kern w:val="2"/>
      <w:lang w:val="nl-NL"/>
      <w14:ligatures w14:val="standardContextual"/>
    </w:rPr>
  </w:style>
  <w:style w:type="paragraph" w:styleId="Lijstalinea">
    <w:name w:val="List Paragraph"/>
    <w:basedOn w:val="Standaard"/>
    <w:uiPriority w:val="34"/>
    <w:qFormat/>
    <w:rsid w:val="00944F1E"/>
    <w:pPr>
      <w:ind w:left="720"/>
      <w:contextualSpacing/>
    </w:pPr>
  </w:style>
  <w:style w:type="character" w:styleId="Voetnootmarkering">
    <w:name w:val="footnote reference"/>
    <w:basedOn w:val="Standaardalinea-lettertype"/>
    <w:uiPriority w:val="99"/>
    <w:rsid w:val="00944F1E"/>
    <w:rPr>
      <w:vertAlign w:val="superscript"/>
    </w:rPr>
  </w:style>
  <w:style w:type="paragraph" w:styleId="Onderwerpvanopmerking">
    <w:name w:val="annotation subject"/>
    <w:basedOn w:val="Tekstopmerking"/>
    <w:next w:val="Tekstopmerking"/>
    <w:link w:val="OnderwerpvanopmerkingChar"/>
    <w:rsid w:val="00885E1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885E18"/>
    <w:rPr>
      <w:rFonts w:ascii="Verdana" w:eastAsiaTheme="minorHAnsi" w:hAnsi="Verdana" w:cstheme="minorBidi"/>
      <w:b/>
      <w:bCs/>
      <w:kern w:val="2"/>
      <w:lang w:val="nl-NL" w:eastAsia="nl-NL"/>
      <w14:ligatures w14:val="standardContextual"/>
    </w:rPr>
  </w:style>
  <w:style w:type="character" w:customStyle="1" w:styleId="VoetnoottekstChar">
    <w:name w:val="Voetnoottekst Char"/>
    <w:basedOn w:val="Standaardalinea-lettertype"/>
    <w:link w:val="Voetnoottekst"/>
    <w:uiPriority w:val="99"/>
    <w:semiHidden/>
    <w:rsid w:val="00CB6372"/>
    <w:rPr>
      <w:rFonts w:ascii="Verdana" w:hAnsi="Verdana"/>
      <w:sz w:val="13"/>
      <w:lang w:val="nl-NL" w:eastAsia="nl-NL"/>
    </w:rPr>
  </w:style>
  <w:style w:type="paragraph" w:styleId="Revisie">
    <w:name w:val="Revision"/>
    <w:hidden/>
    <w:uiPriority w:val="99"/>
    <w:semiHidden/>
    <w:rsid w:val="00CB6372"/>
    <w:rPr>
      <w:rFonts w:ascii="Verdana" w:hAnsi="Verdana"/>
      <w:sz w:val="18"/>
      <w:szCs w:val="24"/>
      <w:lang w:val="nl-NL" w:eastAsia="nl-NL"/>
    </w:rPr>
  </w:style>
  <w:style w:type="paragraph" w:styleId="Bijschrift">
    <w:name w:val="caption"/>
    <w:basedOn w:val="Standaard"/>
    <w:next w:val="Standaard"/>
    <w:unhideWhenUsed/>
    <w:qFormat/>
    <w:rsid w:val="00034348"/>
    <w:pPr>
      <w:spacing w:after="200" w:line="240" w:lineRule="auto"/>
    </w:pPr>
    <w:rPr>
      <w:i/>
      <w:iCs/>
      <w:color w:val="1F497D" w:themeColor="text2"/>
      <w:szCs w:val="18"/>
    </w:rPr>
  </w:style>
  <w:style w:type="paragraph" w:styleId="Normaalweb">
    <w:name w:val="Normal (Web)"/>
    <w:basedOn w:val="Standaard"/>
    <w:uiPriority w:val="99"/>
    <w:unhideWhenUsed/>
    <w:rsid w:val="00034348"/>
    <w:pPr>
      <w:spacing w:before="100" w:beforeAutospacing="1" w:after="100" w:afterAutospacing="1" w:line="240" w:lineRule="auto"/>
    </w:pPr>
    <w:rPr>
      <w:rFonts w:ascii="Times New Roman" w:hAnsi="Times New Roman"/>
      <w:sz w:val="24"/>
    </w:rPr>
  </w:style>
  <w:style w:type="character" w:styleId="Onopgelostemelding">
    <w:name w:val="Unresolved Mention"/>
    <w:basedOn w:val="Standaardalinea-lettertype"/>
    <w:uiPriority w:val="99"/>
    <w:semiHidden/>
    <w:unhideWhenUsed/>
    <w:rsid w:val="00012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66790">
      <w:bodyDiv w:val="1"/>
      <w:marLeft w:val="0"/>
      <w:marRight w:val="0"/>
      <w:marTop w:val="0"/>
      <w:marBottom w:val="0"/>
      <w:divBdr>
        <w:top w:val="none" w:sz="0" w:space="0" w:color="auto"/>
        <w:left w:val="none" w:sz="0" w:space="0" w:color="auto"/>
        <w:bottom w:val="none" w:sz="0" w:space="0" w:color="auto"/>
        <w:right w:val="none" w:sz="0" w:space="0" w:color="auto"/>
      </w:divBdr>
    </w:div>
    <w:div w:id="182119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uffic.nl/sites/default/files/2024-05/inkomende-diplomamobiliteit-hbo-wo-2023-24.pdf" TargetMode="External"/><Relationship Id="rId2" Type="http://schemas.openxmlformats.org/officeDocument/2006/relationships/hyperlink" Target="https://www.nuffic.nl/sites/default/files/2024-03/de-invloed-van-macro-factoren-op-diplomamobiliteit-nuffic.pdf" TargetMode="External"/><Relationship Id="rId1" Type="http://schemas.openxmlformats.org/officeDocument/2006/relationships/hyperlink" Target="https://www.universiteitenvannederland.nl/actueel/nieuws/universiteiten-gaan-zelf-internationalisering-verder-in-balans-brengen" TargetMode="External"/><Relationship Id="rId4" Type="http://schemas.openxmlformats.org/officeDocument/2006/relationships/hyperlink" Target="https://www.nuffic.nl/sites/default/files/2023-02/nederlandse-studenten-in-het-buitenland.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5463</ap:Words>
  <ap:Characters>31899</ap:Characters>
  <ap:DocSecurity>0</ap:DocSecurity>
  <ap:Lines>265</ap:Lines>
  <ap:Paragraphs>74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37288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2025-07-02T10:56:00.0000000Z</lastPrinted>
  <dcterms:created xsi:type="dcterms:W3CDTF">2025-07-03T10:59:00.0000000Z</dcterms:created>
  <dcterms:modified xsi:type="dcterms:W3CDTF">2025-07-03T10:59:00.0000000Z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O202VEL</vt:lpwstr>
  </property>
  <property fmtid="{D5CDD505-2E9C-101B-9397-08002B2CF9AE}" pid="3" name="Author">
    <vt:lpwstr>O202VEL</vt:lpwstr>
  </property>
  <property fmtid="{D5CDD505-2E9C-101B-9397-08002B2CF9AE}" pid="4" name="cs_objectid">
    <vt:lpwstr>52860748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Nota van wijziging wetsvoorstel Internationalisering in balans en aanpassing toets anderstalig onderwijs</vt:lpwstr>
  </property>
  <property fmtid="{D5CDD505-2E9C-101B-9397-08002B2CF9AE}" pid="9" name="ocw_directie">
    <vt:lpwstr>HOENS/D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O202VEL</vt:lpwstr>
  </property>
</Properties>
</file>