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F9B" w:rsidRDefault="00EC2F9B" w14:paraId="51A0BED7" w14:textId="77777777">
      <w:r>
        <w:t>33037</w:t>
      </w:r>
      <w:r>
        <w:tab/>
      </w:r>
      <w:r>
        <w:tab/>
      </w:r>
      <w:r>
        <w:tab/>
        <w:t>Mestbeleid</w:t>
      </w:r>
    </w:p>
    <w:p w:rsidR="00EC2F9B" w:rsidP="00EC2F9B" w:rsidRDefault="00EC2F9B" w14:paraId="57344C68" w14:textId="5D6E1647">
      <w:pPr>
        <w:spacing w:after="0"/>
        <w:ind w:left="2124" w:hanging="2124"/>
      </w:pPr>
      <w:r>
        <w:t xml:space="preserve">Nr. </w:t>
      </w:r>
      <w:r>
        <w:t>605</w:t>
      </w:r>
      <w:r>
        <w:tab/>
      </w:r>
      <w:r>
        <w:rPr>
          <w:sz w:val="24"/>
        </w:rPr>
        <w:t>Brief van de</w:t>
      </w:r>
      <w:r>
        <w:t xml:space="preserve"> </w:t>
      </w:r>
      <w:r w:rsidRPr="00B03E99">
        <w:rPr>
          <w:sz w:val="24"/>
          <w:szCs w:val="24"/>
        </w:rPr>
        <w:t>minister van Landbouw, Visserij, Voedselzekerheid en Natuur</w:t>
      </w:r>
      <w:r w:rsidR="00450008">
        <w:br/>
      </w:r>
    </w:p>
    <w:p w:rsidR="00EC2F9B" w:rsidP="00450008" w:rsidRDefault="00EC2F9B" w14:paraId="7840A059" w14:textId="5250A7FE">
      <w:pPr>
        <w:spacing w:after="0"/>
      </w:pPr>
      <w:r w:rsidRPr="00CA1499">
        <w:rPr>
          <w:sz w:val="24"/>
          <w:szCs w:val="24"/>
        </w:rPr>
        <w:t>Aan de Voorzitter van de Tweede Kamer der Staten-Generaal</w:t>
      </w:r>
    </w:p>
    <w:p w:rsidR="00EC2F9B" w:rsidP="00450008" w:rsidRDefault="00EC2F9B" w14:paraId="547F41F3" w14:textId="77777777">
      <w:pPr>
        <w:spacing w:after="0"/>
      </w:pPr>
    </w:p>
    <w:p w:rsidR="00EC2F9B" w:rsidP="00450008" w:rsidRDefault="00EC2F9B" w14:paraId="1A1D9DB9" w14:textId="51650F49">
      <w:pPr>
        <w:spacing w:after="0"/>
      </w:pPr>
      <w:r>
        <w:t>Den Haag, 3 juli 2025</w:t>
      </w:r>
    </w:p>
    <w:p w:rsidR="00450008" w:rsidP="00450008" w:rsidRDefault="00450008" w14:paraId="56311F33" w14:textId="0C642087">
      <w:pPr>
        <w:spacing w:after="0"/>
      </w:pPr>
      <w:r>
        <w:br/>
      </w:r>
      <w:r>
        <w:br/>
        <w:t>Met deze brief informeer ik de Kamer dat het Centraal Bureau voor de Statistiek (CBS) op 3 juli 2025 de eerste kwartaalrapportage 2025 over de fosfaat- en stikstofexcretie door de Nederlandse veestapel</w:t>
      </w:r>
      <w:r>
        <w:rPr>
          <w:rStyle w:val="Voetnootmarkering"/>
        </w:rPr>
        <w:footnoteReference w:id="1"/>
      </w:r>
      <w:r>
        <w:t xml:space="preserve"> heeft gepubliceerd. </w:t>
      </w:r>
    </w:p>
    <w:p w:rsidR="00450008" w:rsidP="00450008" w:rsidRDefault="00450008" w14:paraId="3586C6C3" w14:textId="77777777">
      <w:pPr>
        <w:spacing w:after="0"/>
      </w:pPr>
    </w:p>
    <w:p w:rsidR="00450008" w:rsidP="00450008" w:rsidRDefault="00450008" w14:paraId="0E83FB83" w14:textId="77777777">
      <w:pPr>
        <w:spacing w:after="0"/>
      </w:pPr>
      <w:r>
        <w:t>Ook dit jaar stelt het CBS op mijn verzoek na afloop van ieder kwartaal een berekening samen van de verwachte fosfaat- en stikstofexcretie van de Nederlandse veestapel. De eerste kwartaalrapportage 2025 geeft een momentopname van de verwachte fosfaat- en stikstofexcretie over geheel 2025 op basis van de op 1 april 2025 beschikbaar gekomen nieuwe en actuele gegevens over de omvang van de rundveestapel, de melkproductie per koe en de beschikbaarheid en samenstelling van krachtvoer en ruwvoer.</w:t>
      </w:r>
    </w:p>
    <w:p w:rsidR="00450008" w:rsidP="00450008" w:rsidRDefault="00450008" w14:paraId="78548DCE" w14:textId="77777777">
      <w:pPr>
        <w:spacing w:after="0"/>
      </w:pPr>
    </w:p>
    <w:p w:rsidR="00450008" w:rsidP="00450008" w:rsidRDefault="00450008" w14:paraId="5ED10109" w14:textId="77777777">
      <w:pPr>
        <w:spacing w:after="0"/>
        <w:rPr>
          <w:szCs w:val="18"/>
        </w:rPr>
      </w:pPr>
      <w:r>
        <w:t>De voor 2025 verwachte fosfaat- en stikstofexcretie van de Nederlandse veestapel is weergegeven in tabel 1.</w:t>
      </w:r>
    </w:p>
    <w:p w:rsidR="00450008" w:rsidP="00450008" w:rsidRDefault="00450008" w14:paraId="13219103" w14:textId="77777777">
      <w:pPr>
        <w:spacing w:after="0"/>
        <w:rPr>
          <w:szCs w:val="18"/>
        </w:rPr>
      </w:pPr>
    </w:p>
    <w:p w:rsidR="00450008" w:rsidP="00450008" w:rsidRDefault="00450008" w14:paraId="09C4D24C" w14:textId="77777777">
      <w:pPr>
        <w:spacing w:after="0"/>
        <w:ind w:left="709" w:hanging="709"/>
        <w:rPr>
          <w:i/>
          <w:iCs/>
          <w:sz w:val="16"/>
          <w:szCs w:val="16"/>
        </w:rPr>
      </w:pPr>
      <w:r w:rsidRPr="007A4AD5">
        <w:rPr>
          <w:i/>
          <w:iCs/>
          <w:sz w:val="16"/>
          <w:szCs w:val="16"/>
        </w:rPr>
        <w:t>Tabel 1:</w:t>
      </w:r>
      <w:r w:rsidRPr="007A4AD5">
        <w:rPr>
          <w:i/>
          <w:iCs/>
          <w:sz w:val="16"/>
          <w:szCs w:val="16"/>
        </w:rPr>
        <w:tab/>
        <w:t>Momentopname van de verwachte fosfaat- en stikstofexcretie van de Nederlandse veestapel over 202</w:t>
      </w:r>
      <w:r>
        <w:rPr>
          <w:i/>
          <w:iCs/>
          <w:sz w:val="16"/>
          <w:szCs w:val="16"/>
        </w:rPr>
        <w:t>5</w:t>
      </w:r>
      <w:r w:rsidRPr="007A4AD5">
        <w:rPr>
          <w:i/>
          <w:iCs/>
          <w:sz w:val="16"/>
          <w:szCs w:val="16"/>
        </w:rPr>
        <w:t xml:space="preserve"> (in miljoen kg)</w:t>
      </w:r>
    </w:p>
    <w:p w:rsidR="00450008" w:rsidP="00450008" w:rsidRDefault="00450008" w14:paraId="5EC4558B" w14:textId="77777777">
      <w:pPr>
        <w:spacing w:after="0"/>
        <w:ind w:left="709" w:hanging="709"/>
        <w:rPr>
          <w:i/>
          <w:iCs/>
          <w:sz w:val="16"/>
          <w:szCs w:val="16"/>
        </w:rPr>
      </w:pPr>
    </w:p>
    <w:tbl>
      <w:tblPr>
        <w:tblStyle w:val="Tabelraster"/>
        <w:tblW w:w="0" w:type="auto"/>
        <w:tblInd w:w="709" w:type="dxa"/>
        <w:tblLook w:val="04A0" w:firstRow="1" w:lastRow="0" w:firstColumn="1" w:lastColumn="0" w:noHBand="0" w:noVBand="1"/>
      </w:tblPr>
      <w:tblGrid>
        <w:gridCol w:w="1070"/>
        <w:gridCol w:w="1023"/>
        <w:gridCol w:w="945"/>
        <w:gridCol w:w="273"/>
        <w:gridCol w:w="1050"/>
        <w:gridCol w:w="1019"/>
      </w:tblGrid>
      <w:tr w:rsidR="00450008" w:rsidTr="004A0805" w14:paraId="55E5BEC7" w14:textId="77777777">
        <w:tc>
          <w:tcPr>
            <w:tcW w:w="1070" w:type="dxa"/>
          </w:tcPr>
          <w:p w:rsidRPr="00450008" w:rsidR="00450008" w:rsidP="00450008" w:rsidRDefault="00450008" w14:paraId="2D12AE95" w14:textId="77777777">
            <w:pPr>
              <w:rPr>
                <w:sz w:val="16"/>
                <w:szCs w:val="16"/>
                <w:lang w:val="nl-NL"/>
              </w:rPr>
            </w:pPr>
          </w:p>
        </w:tc>
        <w:tc>
          <w:tcPr>
            <w:tcW w:w="1968" w:type="dxa"/>
            <w:gridSpan w:val="2"/>
          </w:tcPr>
          <w:p w:rsidR="00450008" w:rsidP="00450008" w:rsidRDefault="00450008" w14:paraId="40C051FC" w14:textId="77777777">
            <w:pPr>
              <w:jc w:val="center"/>
              <w:rPr>
                <w:sz w:val="16"/>
                <w:szCs w:val="16"/>
              </w:rPr>
            </w:pPr>
            <w:proofErr w:type="spellStart"/>
            <w:r>
              <w:rPr>
                <w:sz w:val="16"/>
                <w:szCs w:val="16"/>
              </w:rPr>
              <w:t>Fosfaat</w:t>
            </w:r>
            <w:proofErr w:type="spellEnd"/>
          </w:p>
        </w:tc>
        <w:tc>
          <w:tcPr>
            <w:tcW w:w="273" w:type="dxa"/>
          </w:tcPr>
          <w:p w:rsidR="00450008" w:rsidP="00450008" w:rsidRDefault="00450008" w14:paraId="2D1611CE" w14:textId="77777777">
            <w:pPr>
              <w:jc w:val="center"/>
              <w:rPr>
                <w:sz w:val="16"/>
                <w:szCs w:val="16"/>
              </w:rPr>
            </w:pPr>
          </w:p>
        </w:tc>
        <w:tc>
          <w:tcPr>
            <w:tcW w:w="2069" w:type="dxa"/>
            <w:gridSpan w:val="2"/>
          </w:tcPr>
          <w:p w:rsidR="00450008" w:rsidP="00450008" w:rsidRDefault="00450008" w14:paraId="42B5DCD5" w14:textId="77777777">
            <w:pPr>
              <w:jc w:val="center"/>
              <w:rPr>
                <w:sz w:val="16"/>
                <w:szCs w:val="16"/>
              </w:rPr>
            </w:pPr>
            <w:proofErr w:type="spellStart"/>
            <w:r>
              <w:rPr>
                <w:sz w:val="16"/>
                <w:szCs w:val="16"/>
              </w:rPr>
              <w:t>Stikstof</w:t>
            </w:r>
            <w:proofErr w:type="spellEnd"/>
          </w:p>
        </w:tc>
      </w:tr>
      <w:tr w:rsidR="00450008" w:rsidTr="004A0805" w14:paraId="36DB8300" w14:textId="77777777">
        <w:tc>
          <w:tcPr>
            <w:tcW w:w="1070" w:type="dxa"/>
          </w:tcPr>
          <w:p w:rsidR="00450008" w:rsidP="00450008" w:rsidRDefault="00450008" w14:paraId="69D4CB9B" w14:textId="77777777">
            <w:pPr>
              <w:rPr>
                <w:sz w:val="16"/>
                <w:szCs w:val="16"/>
              </w:rPr>
            </w:pPr>
          </w:p>
        </w:tc>
        <w:tc>
          <w:tcPr>
            <w:tcW w:w="1023" w:type="dxa"/>
          </w:tcPr>
          <w:p w:rsidR="00450008" w:rsidP="00450008" w:rsidRDefault="00450008" w14:paraId="2393E80E" w14:textId="77777777">
            <w:pPr>
              <w:jc w:val="center"/>
              <w:rPr>
                <w:sz w:val="16"/>
                <w:szCs w:val="16"/>
              </w:rPr>
            </w:pPr>
            <w:r>
              <w:rPr>
                <w:sz w:val="16"/>
                <w:szCs w:val="16"/>
              </w:rPr>
              <w:t>Plafond</w:t>
            </w:r>
          </w:p>
          <w:p w:rsidRPr="00A97EFF" w:rsidR="00450008" w:rsidP="00450008" w:rsidRDefault="00450008" w14:paraId="7C3A2664" w14:textId="77777777">
            <w:pPr>
              <w:jc w:val="center"/>
              <w:rPr>
                <w:sz w:val="16"/>
                <w:szCs w:val="16"/>
                <w:vertAlign w:val="superscript"/>
              </w:rPr>
            </w:pPr>
            <w:r>
              <w:rPr>
                <w:sz w:val="16"/>
                <w:szCs w:val="16"/>
              </w:rPr>
              <w:t>2025</w:t>
            </w:r>
          </w:p>
        </w:tc>
        <w:tc>
          <w:tcPr>
            <w:tcW w:w="945" w:type="dxa"/>
          </w:tcPr>
          <w:p w:rsidR="00450008" w:rsidP="00450008" w:rsidRDefault="00450008" w14:paraId="5DDFCB34" w14:textId="77777777">
            <w:pPr>
              <w:jc w:val="center"/>
              <w:rPr>
                <w:sz w:val="16"/>
                <w:szCs w:val="16"/>
              </w:rPr>
            </w:pPr>
            <w:r>
              <w:rPr>
                <w:sz w:val="16"/>
                <w:szCs w:val="16"/>
              </w:rPr>
              <w:t>1</w:t>
            </w:r>
            <w:r w:rsidRPr="007A4AD5">
              <w:rPr>
                <w:sz w:val="16"/>
                <w:szCs w:val="16"/>
                <w:vertAlign w:val="superscript"/>
              </w:rPr>
              <w:t>e</w:t>
            </w:r>
            <w:r>
              <w:rPr>
                <w:sz w:val="16"/>
                <w:szCs w:val="16"/>
              </w:rPr>
              <w:t xml:space="preserve"> kw 2025</w:t>
            </w:r>
          </w:p>
        </w:tc>
        <w:tc>
          <w:tcPr>
            <w:tcW w:w="273" w:type="dxa"/>
          </w:tcPr>
          <w:p w:rsidR="00450008" w:rsidP="00450008" w:rsidRDefault="00450008" w14:paraId="6D8373E9" w14:textId="77777777">
            <w:pPr>
              <w:jc w:val="center"/>
              <w:rPr>
                <w:sz w:val="16"/>
                <w:szCs w:val="16"/>
              </w:rPr>
            </w:pPr>
          </w:p>
        </w:tc>
        <w:tc>
          <w:tcPr>
            <w:tcW w:w="1050" w:type="dxa"/>
          </w:tcPr>
          <w:p w:rsidR="00450008" w:rsidP="00450008" w:rsidRDefault="00450008" w14:paraId="6702B2AB" w14:textId="77777777">
            <w:pPr>
              <w:jc w:val="center"/>
              <w:rPr>
                <w:sz w:val="16"/>
                <w:szCs w:val="16"/>
              </w:rPr>
            </w:pPr>
            <w:r>
              <w:rPr>
                <w:sz w:val="16"/>
                <w:szCs w:val="16"/>
              </w:rPr>
              <w:t>Plafond</w:t>
            </w:r>
          </w:p>
          <w:p w:rsidRPr="00A97EFF" w:rsidR="00450008" w:rsidP="00450008" w:rsidRDefault="00450008" w14:paraId="6D8D423B" w14:textId="77777777">
            <w:pPr>
              <w:jc w:val="center"/>
              <w:rPr>
                <w:sz w:val="16"/>
                <w:szCs w:val="16"/>
                <w:vertAlign w:val="superscript"/>
              </w:rPr>
            </w:pPr>
            <w:r>
              <w:rPr>
                <w:sz w:val="16"/>
                <w:szCs w:val="16"/>
              </w:rPr>
              <w:t>2025</w:t>
            </w:r>
          </w:p>
        </w:tc>
        <w:tc>
          <w:tcPr>
            <w:tcW w:w="1019" w:type="dxa"/>
          </w:tcPr>
          <w:p w:rsidR="00450008" w:rsidP="00450008" w:rsidRDefault="00450008" w14:paraId="5F32B1CA" w14:textId="77777777">
            <w:pPr>
              <w:jc w:val="center"/>
              <w:rPr>
                <w:sz w:val="16"/>
                <w:szCs w:val="16"/>
              </w:rPr>
            </w:pPr>
            <w:r>
              <w:rPr>
                <w:sz w:val="16"/>
                <w:szCs w:val="16"/>
              </w:rPr>
              <w:t>1</w:t>
            </w:r>
            <w:r w:rsidRPr="007A4AD5">
              <w:rPr>
                <w:sz w:val="16"/>
                <w:szCs w:val="16"/>
                <w:vertAlign w:val="superscript"/>
              </w:rPr>
              <w:t>e</w:t>
            </w:r>
            <w:r>
              <w:rPr>
                <w:sz w:val="16"/>
                <w:szCs w:val="16"/>
              </w:rPr>
              <w:t xml:space="preserve"> kw 2025</w:t>
            </w:r>
          </w:p>
        </w:tc>
      </w:tr>
      <w:tr w:rsidR="00450008" w:rsidTr="004A0805" w14:paraId="7072FDB4" w14:textId="77777777">
        <w:tc>
          <w:tcPr>
            <w:tcW w:w="1070" w:type="dxa"/>
          </w:tcPr>
          <w:p w:rsidR="00450008" w:rsidP="00450008" w:rsidRDefault="00450008" w14:paraId="1E3D7111" w14:textId="77777777">
            <w:pPr>
              <w:rPr>
                <w:sz w:val="16"/>
                <w:szCs w:val="16"/>
              </w:rPr>
            </w:pPr>
            <w:proofErr w:type="spellStart"/>
            <w:r>
              <w:rPr>
                <w:sz w:val="16"/>
                <w:szCs w:val="16"/>
              </w:rPr>
              <w:t>Nationaal</w:t>
            </w:r>
            <w:proofErr w:type="spellEnd"/>
          </w:p>
        </w:tc>
        <w:tc>
          <w:tcPr>
            <w:tcW w:w="1023" w:type="dxa"/>
          </w:tcPr>
          <w:p w:rsidR="00450008" w:rsidP="00450008" w:rsidRDefault="00450008" w14:paraId="36275964" w14:textId="77777777">
            <w:pPr>
              <w:tabs>
                <w:tab w:val="decimal" w:pos="390"/>
              </w:tabs>
              <w:rPr>
                <w:sz w:val="16"/>
                <w:szCs w:val="16"/>
              </w:rPr>
            </w:pPr>
            <w:r>
              <w:rPr>
                <w:sz w:val="16"/>
                <w:szCs w:val="16"/>
              </w:rPr>
              <w:t>135,0</w:t>
            </w:r>
          </w:p>
        </w:tc>
        <w:tc>
          <w:tcPr>
            <w:tcW w:w="945" w:type="dxa"/>
          </w:tcPr>
          <w:p w:rsidR="00450008" w:rsidP="00450008" w:rsidRDefault="00450008" w14:paraId="1E9D1E5B" w14:textId="77777777">
            <w:pPr>
              <w:jc w:val="center"/>
              <w:rPr>
                <w:sz w:val="16"/>
                <w:szCs w:val="16"/>
              </w:rPr>
            </w:pPr>
            <w:r>
              <w:rPr>
                <w:sz w:val="16"/>
                <w:szCs w:val="16"/>
              </w:rPr>
              <w:t>142,7</w:t>
            </w:r>
          </w:p>
        </w:tc>
        <w:tc>
          <w:tcPr>
            <w:tcW w:w="273" w:type="dxa"/>
          </w:tcPr>
          <w:p w:rsidR="00450008" w:rsidP="00450008" w:rsidRDefault="00450008" w14:paraId="0CA25869" w14:textId="77777777">
            <w:pPr>
              <w:jc w:val="center"/>
              <w:rPr>
                <w:sz w:val="16"/>
                <w:szCs w:val="16"/>
              </w:rPr>
            </w:pPr>
          </w:p>
        </w:tc>
        <w:tc>
          <w:tcPr>
            <w:tcW w:w="1050" w:type="dxa"/>
          </w:tcPr>
          <w:p w:rsidR="00450008" w:rsidP="00450008" w:rsidRDefault="00450008" w14:paraId="4B267555" w14:textId="77777777">
            <w:pPr>
              <w:tabs>
                <w:tab w:val="decimal" w:pos="419"/>
              </w:tabs>
              <w:rPr>
                <w:sz w:val="16"/>
                <w:szCs w:val="16"/>
              </w:rPr>
            </w:pPr>
            <w:r>
              <w:rPr>
                <w:sz w:val="16"/>
                <w:szCs w:val="16"/>
              </w:rPr>
              <w:t>440,0</w:t>
            </w:r>
          </w:p>
        </w:tc>
        <w:tc>
          <w:tcPr>
            <w:tcW w:w="1019" w:type="dxa"/>
          </w:tcPr>
          <w:p w:rsidR="00450008" w:rsidP="00450008" w:rsidRDefault="00450008" w14:paraId="1D7018C5" w14:textId="77777777">
            <w:pPr>
              <w:tabs>
                <w:tab w:val="decimal" w:pos="460"/>
              </w:tabs>
              <w:rPr>
                <w:sz w:val="16"/>
                <w:szCs w:val="16"/>
              </w:rPr>
            </w:pPr>
            <w:r>
              <w:rPr>
                <w:sz w:val="16"/>
                <w:szCs w:val="16"/>
              </w:rPr>
              <w:t>433,7</w:t>
            </w:r>
          </w:p>
        </w:tc>
      </w:tr>
      <w:tr w:rsidRPr="00A50489" w:rsidR="00450008" w:rsidTr="004A0805" w14:paraId="29FFC339" w14:textId="77777777">
        <w:tc>
          <w:tcPr>
            <w:tcW w:w="1070" w:type="dxa"/>
          </w:tcPr>
          <w:p w:rsidRPr="00A50489" w:rsidR="00450008" w:rsidP="00450008" w:rsidRDefault="00450008" w14:paraId="067BCED1" w14:textId="77777777">
            <w:pPr>
              <w:rPr>
                <w:i/>
                <w:iCs/>
                <w:sz w:val="16"/>
                <w:szCs w:val="16"/>
              </w:rPr>
            </w:pPr>
            <w:proofErr w:type="spellStart"/>
            <w:r w:rsidRPr="00A50489">
              <w:rPr>
                <w:i/>
                <w:iCs/>
                <w:sz w:val="16"/>
                <w:szCs w:val="16"/>
              </w:rPr>
              <w:t>Melkvee</w:t>
            </w:r>
            <w:proofErr w:type="spellEnd"/>
          </w:p>
        </w:tc>
        <w:tc>
          <w:tcPr>
            <w:tcW w:w="1023" w:type="dxa"/>
          </w:tcPr>
          <w:p w:rsidRPr="00A50489" w:rsidR="00450008" w:rsidP="00450008" w:rsidRDefault="00450008" w14:paraId="56B9D51B" w14:textId="77777777">
            <w:pPr>
              <w:tabs>
                <w:tab w:val="decimal" w:pos="390"/>
              </w:tabs>
              <w:rPr>
                <w:i/>
                <w:iCs/>
                <w:sz w:val="16"/>
                <w:szCs w:val="16"/>
              </w:rPr>
            </w:pPr>
            <w:r w:rsidRPr="00A50489">
              <w:rPr>
                <w:i/>
                <w:iCs/>
                <w:sz w:val="16"/>
                <w:szCs w:val="16"/>
              </w:rPr>
              <w:t>71,8</w:t>
            </w:r>
          </w:p>
        </w:tc>
        <w:tc>
          <w:tcPr>
            <w:tcW w:w="945" w:type="dxa"/>
          </w:tcPr>
          <w:p w:rsidRPr="00A50489" w:rsidR="00450008" w:rsidP="00450008" w:rsidRDefault="00450008" w14:paraId="32315AF4" w14:textId="77777777">
            <w:pPr>
              <w:tabs>
                <w:tab w:val="decimal" w:pos="425"/>
              </w:tabs>
              <w:rPr>
                <w:i/>
                <w:iCs/>
                <w:sz w:val="16"/>
                <w:szCs w:val="16"/>
              </w:rPr>
            </w:pPr>
            <w:r w:rsidRPr="00A50489">
              <w:rPr>
                <w:i/>
                <w:iCs/>
                <w:sz w:val="16"/>
                <w:szCs w:val="16"/>
              </w:rPr>
              <w:t>73,6</w:t>
            </w:r>
          </w:p>
        </w:tc>
        <w:tc>
          <w:tcPr>
            <w:tcW w:w="273" w:type="dxa"/>
          </w:tcPr>
          <w:p w:rsidRPr="00A50489" w:rsidR="00450008" w:rsidP="00450008" w:rsidRDefault="00450008" w14:paraId="2A7B1CEE" w14:textId="77777777">
            <w:pPr>
              <w:rPr>
                <w:i/>
                <w:iCs/>
                <w:sz w:val="16"/>
                <w:szCs w:val="16"/>
              </w:rPr>
            </w:pPr>
          </w:p>
        </w:tc>
        <w:tc>
          <w:tcPr>
            <w:tcW w:w="1050" w:type="dxa"/>
          </w:tcPr>
          <w:p w:rsidRPr="00A50489" w:rsidR="00450008" w:rsidP="00450008" w:rsidRDefault="00450008" w14:paraId="5011AB94" w14:textId="77777777">
            <w:pPr>
              <w:tabs>
                <w:tab w:val="decimal" w:pos="419"/>
              </w:tabs>
              <w:rPr>
                <w:i/>
                <w:iCs/>
                <w:sz w:val="16"/>
                <w:szCs w:val="16"/>
              </w:rPr>
            </w:pPr>
            <w:r w:rsidRPr="00A50489">
              <w:rPr>
                <w:i/>
                <w:iCs/>
                <w:sz w:val="16"/>
                <w:szCs w:val="16"/>
              </w:rPr>
              <w:t>267,8</w:t>
            </w:r>
          </w:p>
        </w:tc>
        <w:tc>
          <w:tcPr>
            <w:tcW w:w="1019" w:type="dxa"/>
          </w:tcPr>
          <w:p w:rsidRPr="00A50489" w:rsidR="00450008" w:rsidP="00450008" w:rsidRDefault="00450008" w14:paraId="50F033CB" w14:textId="77777777">
            <w:pPr>
              <w:tabs>
                <w:tab w:val="decimal" w:pos="460"/>
              </w:tabs>
              <w:rPr>
                <w:i/>
                <w:iCs/>
                <w:sz w:val="16"/>
                <w:szCs w:val="16"/>
              </w:rPr>
            </w:pPr>
            <w:r w:rsidRPr="00A50489">
              <w:rPr>
                <w:i/>
                <w:iCs/>
                <w:sz w:val="16"/>
                <w:szCs w:val="16"/>
              </w:rPr>
              <w:t>252,8</w:t>
            </w:r>
          </w:p>
        </w:tc>
      </w:tr>
      <w:tr w:rsidRPr="00A50489" w:rsidR="00450008" w:rsidTr="004A0805" w14:paraId="6666D052" w14:textId="77777777">
        <w:tc>
          <w:tcPr>
            <w:tcW w:w="1070" w:type="dxa"/>
          </w:tcPr>
          <w:p w:rsidRPr="00A50489" w:rsidR="00450008" w:rsidP="00450008" w:rsidRDefault="00450008" w14:paraId="53F11854" w14:textId="77777777">
            <w:pPr>
              <w:rPr>
                <w:i/>
                <w:iCs/>
                <w:sz w:val="16"/>
                <w:szCs w:val="16"/>
              </w:rPr>
            </w:pPr>
            <w:proofErr w:type="spellStart"/>
            <w:r w:rsidRPr="00A50489">
              <w:rPr>
                <w:i/>
                <w:iCs/>
                <w:sz w:val="16"/>
                <w:szCs w:val="16"/>
              </w:rPr>
              <w:t>Varkens</w:t>
            </w:r>
            <w:proofErr w:type="spellEnd"/>
          </w:p>
        </w:tc>
        <w:tc>
          <w:tcPr>
            <w:tcW w:w="1023" w:type="dxa"/>
          </w:tcPr>
          <w:p w:rsidRPr="00A50489" w:rsidR="00450008" w:rsidP="00450008" w:rsidRDefault="00450008" w14:paraId="633F3850" w14:textId="77777777">
            <w:pPr>
              <w:tabs>
                <w:tab w:val="decimal" w:pos="390"/>
              </w:tabs>
              <w:rPr>
                <w:i/>
                <w:iCs/>
                <w:sz w:val="16"/>
                <w:szCs w:val="16"/>
              </w:rPr>
            </w:pPr>
            <w:r w:rsidRPr="00A50489">
              <w:rPr>
                <w:i/>
                <w:iCs/>
                <w:sz w:val="16"/>
                <w:szCs w:val="16"/>
              </w:rPr>
              <w:t>27,8</w:t>
            </w:r>
          </w:p>
        </w:tc>
        <w:tc>
          <w:tcPr>
            <w:tcW w:w="945" w:type="dxa"/>
          </w:tcPr>
          <w:p w:rsidRPr="00A50489" w:rsidR="00450008" w:rsidP="00450008" w:rsidRDefault="00450008" w14:paraId="0B604130" w14:textId="77777777">
            <w:pPr>
              <w:tabs>
                <w:tab w:val="decimal" w:pos="425"/>
              </w:tabs>
              <w:rPr>
                <w:i/>
                <w:iCs/>
                <w:sz w:val="16"/>
                <w:szCs w:val="16"/>
              </w:rPr>
            </w:pPr>
            <w:r w:rsidRPr="00A50489">
              <w:rPr>
                <w:i/>
                <w:iCs/>
                <w:sz w:val="16"/>
                <w:szCs w:val="16"/>
              </w:rPr>
              <w:t>32,3</w:t>
            </w:r>
          </w:p>
        </w:tc>
        <w:tc>
          <w:tcPr>
            <w:tcW w:w="273" w:type="dxa"/>
          </w:tcPr>
          <w:p w:rsidRPr="00A50489" w:rsidR="00450008" w:rsidP="00450008" w:rsidRDefault="00450008" w14:paraId="06B1860A" w14:textId="77777777">
            <w:pPr>
              <w:rPr>
                <w:i/>
                <w:iCs/>
                <w:sz w:val="16"/>
                <w:szCs w:val="16"/>
              </w:rPr>
            </w:pPr>
          </w:p>
        </w:tc>
        <w:tc>
          <w:tcPr>
            <w:tcW w:w="1050" w:type="dxa"/>
          </w:tcPr>
          <w:p w:rsidRPr="00A50489" w:rsidR="00450008" w:rsidP="00450008" w:rsidRDefault="00450008" w14:paraId="636FD891" w14:textId="77777777">
            <w:pPr>
              <w:tabs>
                <w:tab w:val="decimal" w:pos="419"/>
              </w:tabs>
              <w:rPr>
                <w:i/>
                <w:iCs/>
                <w:sz w:val="16"/>
                <w:szCs w:val="16"/>
              </w:rPr>
            </w:pPr>
            <w:r w:rsidRPr="00A50489">
              <w:rPr>
                <w:i/>
                <w:iCs/>
                <w:sz w:val="16"/>
                <w:szCs w:val="16"/>
              </w:rPr>
              <w:t>70,3</w:t>
            </w:r>
          </w:p>
        </w:tc>
        <w:tc>
          <w:tcPr>
            <w:tcW w:w="1019" w:type="dxa"/>
          </w:tcPr>
          <w:p w:rsidRPr="00A50489" w:rsidR="00450008" w:rsidP="00450008" w:rsidRDefault="00450008" w14:paraId="54D40F96" w14:textId="77777777">
            <w:pPr>
              <w:tabs>
                <w:tab w:val="decimal" w:pos="460"/>
              </w:tabs>
              <w:rPr>
                <w:i/>
                <w:iCs/>
                <w:sz w:val="16"/>
                <w:szCs w:val="16"/>
              </w:rPr>
            </w:pPr>
            <w:r w:rsidRPr="00A50489">
              <w:rPr>
                <w:i/>
                <w:iCs/>
                <w:sz w:val="16"/>
                <w:szCs w:val="16"/>
              </w:rPr>
              <w:t>80,1</w:t>
            </w:r>
          </w:p>
        </w:tc>
      </w:tr>
      <w:tr w:rsidRPr="00A50489" w:rsidR="00450008" w:rsidTr="004A0805" w14:paraId="5D013B0A" w14:textId="77777777">
        <w:tc>
          <w:tcPr>
            <w:tcW w:w="1070" w:type="dxa"/>
          </w:tcPr>
          <w:p w:rsidRPr="00A50489" w:rsidR="00450008" w:rsidP="00450008" w:rsidRDefault="00450008" w14:paraId="1152CA09" w14:textId="77777777">
            <w:pPr>
              <w:rPr>
                <w:i/>
                <w:iCs/>
                <w:sz w:val="16"/>
                <w:szCs w:val="16"/>
                <w:vertAlign w:val="superscript"/>
              </w:rPr>
            </w:pPr>
            <w:r w:rsidRPr="00A50489">
              <w:rPr>
                <w:i/>
                <w:iCs/>
                <w:sz w:val="16"/>
                <w:szCs w:val="16"/>
              </w:rPr>
              <w:t>Pluimvee</w:t>
            </w:r>
            <w:r w:rsidRPr="00A50489">
              <w:rPr>
                <w:i/>
                <w:iCs/>
                <w:sz w:val="16"/>
                <w:szCs w:val="16"/>
                <w:vertAlign w:val="superscript"/>
              </w:rPr>
              <w:t>1</w:t>
            </w:r>
          </w:p>
        </w:tc>
        <w:tc>
          <w:tcPr>
            <w:tcW w:w="1023" w:type="dxa"/>
          </w:tcPr>
          <w:p w:rsidRPr="00A50489" w:rsidR="00450008" w:rsidP="00450008" w:rsidRDefault="00450008" w14:paraId="301D727E" w14:textId="77777777">
            <w:pPr>
              <w:tabs>
                <w:tab w:val="decimal" w:pos="390"/>
              </w:tabs>
              <w:rPr>
                <w:i/>
                <w:iCs/>
                <w:sz w:val="16"/>
                <w:szCs w:val="16"/>
              </w:rPr>
            </w:pPr>
            <w:r w:rsidRPr="00A50489">
              <w:rPr>
                <w:i/>
                <w:iCs/>
                <w:sz w:val="16"/>
                <w:szCs w:val="16"/>
              </w:rPr>
              <w:t>20,3</w:t>
            </w:r>
          </w:p>
        </w:tc>
        <w:tc>
          <w:tcPr>
            <w:tcW w:w="945" w:type="dxa"/>
          </w:tcPr>
          <w:p w:rsidRPr="00A50489" w:rsidR="00450008" w:rsidP="00450008" w:rsidRDefault="00450008" w14:paraId="74BE2097" w14:textId="77777777">
            <w:pPr>
              <w:tabs>
                <w:tab w:val="decimal" w:pos="425"/>
              </w:tabs>
              <w:rPr>
                <w:i/>
                <w:iCs/>
                <w:sz w:val="16"/>
                <w:szCs w:val="16"/>
              </w:rPr>
            </w:pPr>
            <w:r w:rsidRPr="00A50489">
              <w:rPr>
                <w:i/>
                <w:iCs/>
                <w:sz w:val="16"/>
                <w:szCs w:val="16"/>
              </w:rPr>
              <w:t>20,</w:t>
            </w:r>
            <w:r>
              <w:rPr>
                <w:i/>
                <w:iCs/>
                <w:sz w:val="16"/>
                <w:szCs w:val="16"/>
              </w:rPr>
              <w:t>7</w:t>
            </w:r>
          </w:p>
        </w:tc>
        <w:tc>
          <w:tcPr>
            <w:tcW w:w="273" w:type="dxa"/>
          </w:tcPr>
          <w:p w:rsidRPr="00A50489" w:rsidR="00450008" w:rsidP="00450008" w:rsidRDefault="00450008" w14:paraId="3CF5325F" w14:textId="77777777">
            <w:pPr>
              <w:rPr>
                <w:i/>
                <w:iCs/>
                <w:sz w:val="16"/>
                <w:szCs w:val="16"/>
              </w:rPr>
            </w:pPr>
          </w:p>
        </w:tc>
        <w:tc>
          <w:tcPr>
            <w:tcW w:w="1050" w:type="dxa"/>
          </w:tcPr>
          <w:p w:rsidRPr="00A50489" w:rsidR="00450008" w:rsidP="00450008" w:rsidRDefault="00450008" w14:paraId="259A478C" w14:textId="77777777">
            <w:pPr>
              <w:tabs>
                <w:tab w:val="decimal" w:pos="419"/>
              </w:tabs>
              <w:rPr>
                <w:i/>
                <w:iCs/>
                <w:sz w:val="16"/>
                <w:szCs w:val="16"/>
              </w:rPr>
            </w:pPr>
            <w:r w:rsidRPr="00A50489">
              <w:rPr>
                <w:i/>
                <w:iCs/>
                <w:sz w:val="16"/>
                <w:szCs w:val="16"/>
              </w:rPr>
              <w:t>48,4</w:t>
            </w:r>
          </w:p>
        </w:tc>
        <w:tc>
          <w:tcPr>
            <w:tcW w:w="1019" w:type="dxa"/>
          </w:tcPr>
          <w:p w:rsidRPr="00A50489" w:rsidR="00450008" w:rsidP="00450008" w:rsidRDefault="00450008" w14:paraId="2AB781F4" w14:textId="77777777">
            <w:pPr>
              <w:tabs>
                <w:tab w:val="decimal" w:pos="460"/>
              </w:tabs>
              <w:rPr>
                <w:i/>
                <w:iCs/>
                <w:sz w:val="16"/>
                <w:szCs w:val="16"/>
              </w:rPr>
            </w:pPr>
            <w:r w:rsidRPr="00A50489">
              <w:rPr>
                <w:i/>
                <w:iCs/>
                <w:sz w:val="16"/>
                <w:szCs w:val="16"/>
              </w:rPr>
              <w:t>48,5</w:t>
            </w:r>
          </w:p>
        </w:tc>
      </w:tr>
      <w:tr w:rsidRPr="00A50489" w:rsidR="00450008" w:rsidTr="004A0805" w14:paraId="246FDE43" w14:textId="77777777">
        <w:tc>
          <w:tcPr>
            <w:tcW w:w="1070" w:type="dxa"/>
          </w:tcPr>
          <w:p w:rsidRPr="00A50489" w:rsidR="00450008" w:rsidP="00450008" w:rsidRDefault="00450008" w14:paraId="1342E0D4" w14:textId="77777777">
            <w:pPr>
              <w:rPr>
                <w:i/>
                <w:iCs/>
                <w:sz w:val="16"/>
                <w:szCs w:val="16"/>
                <w:vertAlign w:val="superscript"/>
              </w:rPr>
            </w:pPr>
            <w:r w:rsidRPr="00A50489">
              <w:rPr>
                <w:i/>
                <w:iCs/>
                <w:sz w:val="16"/>
                <w:szCs w:val="16"/>
              </w:rPr>
              <w:t>Overig</w:t>
            </w:r>
            <w:r w:rsidRPr="00A50489">
              <w:rPr>
                <w:i/>
                <w:iCs/>
                <w:sz w:val="16"/>
                <w:szCs w:val="16"/>
                <w:vertAlign w:val="superscript"/>
              </w:rPr>
              <w:t>2</w:t>
            </w:r>
          </w:p>
        </w:tc>
        <w:tc>
          <w:tcPr>
            <w:tcW w:w="1023" w:type="dxa"/>
          </w:tcPr>
          <w:p w:rsidRPr="00A50489" w:rsidR="00450008" w:rsidP="00450008" w:rsidRDefault="00450008" w14:paraId="07B7D19A" w14:textId="77777777">
            <w:pPr>
              <w:tabs>
                <w:tab w:val="decimal" w:pos="390"/>
              </w:tabs>
              <w:rPr>
                <w:i/>
                <w:iCs/>
                <w:sz w:val="16"/>
                <w:szCs w:val="16"/>
              </w:rPr>
            </w:pPr>
            <w:r w:rsidRPr="00A50489">
              <w:rPr>
                <w:i/>
                <w:iCs/>
                <w:sz w:val="16"/>
                <w:szCs w:val="16"/>
              </w:rPr>
              <w:t>15,1</w:t>
            </w:r>
          </w:p>
        </w:tc>
        <w:tc>
          <w:tcPr>
            <w:tcW w:w="945" w:type="dxa"/>
          </w:tcPr>
          <w:p w:rsidRPr="00A50489" w:rsidR="00450008" w:rsidP="00450008" w:rsidRDefault="00450008" w14:paraId="31F0B758" w14:textId="77777777">
            <w:pPr>
              <w:tabs>
                <w:tab w:val="decimal" w:pos="425"/>
              </w:tabs>
              <w:rPr>
                <w:i/>
                <w:iCs/>
                <w:sz w:val="16"/>
                <w:szCs w:val="16"/>
              </w:rPr>
            </w:pPr>
            <w:r w:rsidRPr="00A50489">
              <w:rPr>
                <w:i/>
                <w:iCs/>
                <w:sz w:val="16"/>
                <w:szCs w:val="16"/>
              </w:rPr>
              <w:t>16,</w:t>
            </w:r>
            <w:r>
              <w:rPr>
                <w:i/>
                <w:iCs/>
                <w:sz w:val="16"/>
                <w:szCs w:val="16"/>
              </w:rPr>
              <w:t>1</w:t>
            </w:r>
          </w:p>
        </w:tc>
        <w:tc>
          <w:tcPr>
            <w:tcW w:w="273" w:type="dxa"/>
          </w:tcPr>
          <w:p w:rsidRPr="00A50489" w:rsidR="00450008" w:rsidP="00450008" w:rsidRDefault="00450008" w14:paraId="7AB67FDC" w14:textId="77777777">
            <w:pPr>
              <w:rPr>
                <w:i/>
                <w:iCs/>
                <w:sz w:val="16"/>
                <w:szCs w:val="16"/>
              </w:rPr>
            </w:pPr>
          </w:p>
        </w:tc>
        <w:tc>
          <w:tcPr>
            <w:tcW w:w="1050" w:type="dxa"/>
          </w:tcPr>
          <w:p w:rsidRPr="00A50489" w:rsidR="00450008" w:rsidP="00450008" w:rsidRDefault="00450008" w14:paraId="46541368" w14:textId="77777777">
            <w:pPr>
              <w:tabs>
                <w:tab w:val="decimal" w:pos="419"/>
              </w:tabs>
              <w:rPr>
                <w:i/>
                <w:iCs/>
                <w:sz w:val="16"/>
                <w:szCs w:val="16"/>
              </w:rPr>
            </w:pPr>
            <w:r w:rsidRPr="00A50489">
              <w:rPr>
                <w:i/>
                <w:iCs/>
                <w:sz w:val="16"/>
                <w:szCs w:val="16"/>
              </w:rPr>
              <w:t>53,5</w:t>
            </w:r>
          </w:p>
        </w:tc>
        <w:tc>
          <w:tcPr>
            <w:tcW w:w="1019" w:type="dxa"/>
          </w:tcPr>
          <w:p w:rsidRPr="00A50489" w:rsidR="00450008" w:rsidP="00450008" w:rsidRDefault="00450008" w14:paraId="2279599F" w14:textId="77777777">
            <w:pPr>
              <w:tabs>
                <w:tab w:val="decimal" w:pos="460"/>
              </w:tabs>
              <w:rPr>
                <w:i/>
                <w:iCs/>
                <w:sz w:val="16"/>
                <w:szCs w:val="16"/>
              </w:rPr>
            </w:pPr>
            <w:r w:rsidRPr="00A50489">
              <w:rPr>
                <w:i/>
                <w:iCs/>
                <w:sz w:val="16"/>
                <w:szCs w:val="16"/>
              </w:rPr>
              <w:t>52,</w:t>
            </w:r>
            <w:r>
              <w:rPr>
                <w:i/>
                <w:iCs/>
                <w:sz w:val="16"/>
                <w:szCs w:val="16"/>
              </w:rPr>
              <w:t>4</w:t>
            </w:r>
          </w:p>
        </w:tc>
      </w:tr>
    </w:tbl>
    <w:p w:rsidR="00450008" w:rsidP="00450008" w:rsidRDefault="00450008" w14:paraId="72AE7E56" w14:textId="77777777">
      <w:pPr>
        <w:spacing w:after="0"/>
        <w:ind w:left="709" w:hanging="709"/>
        <w:rPr>
          <w:i/>
          <w:iCs/>
          <w:sz w:val="16"/>
          <w:szCs w:val="16"/>
        </w:rPr>
      </w:pPr>
      <w:r>
        <w:rPr>
          <w:sz w:val="16"/>
          <w:szCs w:val="16"/>
        </w:rPr>
        <w:tab/>
      </w:r>
      <w:r>
        <w:rPr>
          <w:i/>
          <w:iCs/>
          <w:sz w:val="16"/>
          <w:szCs w:val="16"/>
        </w:rPr>
        <w:t>N.B. Door afrondingen kan de som van de cijfers afwijken van het totaal.</w:t>
      </w:r>
    </w:p>
    <w:p w:rsidR="00450008" w:rsidP="00450008" w:rsidRDefault="00450008" w14:paraId="2B31ACD1" w14:textId="77777777">
      <w:pPr>
        <w:spacing w:after="0"/>
        <w:ind w:left="709" w:hanging="709"/>
        <w:rPr>
          <w:i/>
          <w:iCs/>
          <w:sz w:val="16"/>
          <w:szCs w:val="16"/>
        </w:rPr>
      </w:pPr>
    </w:p>
    <w:p w:rsidRPr="00A72E45" w:rsidR="00450008" w:rsidP="00450008" w:rsidRDefault="00450008" w14:paraId="2BBFA645" w14:textId="77777777">
      <w:pPr>
        <w:spacing w:after="0"/>
        <w:ind w:left="852" w:hanging="284"/>
        <w:rPr>
          <w:sz w:val="16"/>
          <w:szCs w:val="16"/>
        </w:rPr>
      </w:pPr>
      <w:r>
        <w:rPr>
          <w:sz w:val="16"/>
          <w:szCs w:val="16"/>
          <w:vertAlign w:val="superscript"/>
        </w:rPr>
        <w:t>1</w:t>
      </w:r>
      <w:r>
        <w:rPr>
          <w:sz w:val="16"/>
          <w:szCs w:val="16"/>
        </w:rPr>
        <w:t>)</w:t>
      </w:r>
      <w:r>
        <w:rPr>
          <w:sz w:val="16"/>
          <w:szCs w:val="16"/>
        </w:rPr>
        <w:tab/>
        <w:t>Het sectoraal plafond voor de pluimveehouderij heeft alleen betrekking op de mestproductie van die diersoorten waarop het stelsel van pluimveerechten van toepassing is, te weten kippen en kalkoenen.</w:t>
      </w:r>
    </w:p>
    <w:p w:rsidRPr="00D71BDD" w:rsidR="00450008" w:rsidP="00450008" w:rsidRDefault="00450008" w14:paraId="725A5E75" w14:textId="77777777">
      <w:pPr>
        <w:spacing w:after="0"/>
        <w:ind w:left="852" w:hanging="284"/>
        <w:rPr>
          <w:sz w:val="16"/>
          <w:szCs w:val="16"/>
        </w:rPr>
      </w:pPr>
      <w:r>
        <w:rPr>
          <w:sz w:val="16"/>
          <w:szCs w:val="16"/>
          <w:vertAlign w:val="superscript"/>
        </w:rPr>
        <w:t>2</w:t>
      </w:r>
      <w:r>
        <w:rPr>
          <w:sz w:val="16"/>
          <w:szCs w:val="16"/>
        </w:rPr>
        <w:t xml:space="preserve">) </w:t>
      </w:r>
      <w:r>
        <w:rPr>
          <w:sz w:val="16"/>
          <w:szCs w:val="16"/>
        </w:rPr>
        <w:tab/>
      </w:r>
      <w:r w:rsidRPr="00D71BDD">
        <w:rPr>
          <w:sz w:val="16"/>
          <w:szCs w:val="16"/>
        </w:rPr>
        <w:t xml:space="preserve">Voor ‘overig’ is in de </w:t>
      </w:r>
      <w:proofErr w:type="spellStart"/>
      <w:r w:rsidRPr="00D71BDD">
        <w:rPr>
          <w:sz w:val="16"/>
          <w:szCs w:val="16"/>
        </w:rPr>
        <w:t>M</w:t>
      </w:r>
      <w:r>
        <w:rPr>
          <w:sz w:val="16"/>
          <w:szCs w:val="16"/>
        </w:rPr>
        <w:t>sw</w:t>
      </w:r>
      <w:proofErr w:type="spellEnd"/>
      <w:r w:rsidRPr="00D71BDD">
        <w:rPr>
          <w:sz w:val="16"/>
          <w:szCs w:val="16"/>
        </w:rPr>
        <w:t xml:space="preserve"> geen </w:t>
      </w:r>
      <w:r>
        <w:rPr>
          <w:sz w:val="16"/>
          <w:szCs w:val="16"/>
        </w:rPr>
        <w:t xml:space="preserve">sectoraal </w:t>
      </w:r>
      <w:r w:rsidRPr="00D71BDD">
        <w:rPr>
          <w:sz w:val="16"/>
          <w:szCs w:val="16"/>
        </w:rPr>
        <w:t xml:space="preserve">plafond </w:t>
      </w:r>
      <w:r>
        <w:rPr>
          <w:sz w:val="16"/>
          <w:szCs w:val="16"/>
        </w:rPr>
        <w:t>opgenomen.. Het hier vermelde plafond i</w:t>
      </w:r>
      <w:r w:rsidRPr="00D71BDD">
        <w:rPr>
          <w:sz w:val="16"/>
          <w:szCs w:val="16"/>
        </w:rPr>
        <w:t xml:space="preserve">s </w:t>
      </w:r>
      <w:r>
        <w:rPr>
          <w:sz w:val="16"/>
          <w:szCs w:val="16"/>
        </w:rPr>
        <w:t xml:space="preserve">de voor ‘overig’ beschikbare mestproductieruimte die is </w:t>
      </w:r>
      <w:r w:rsidRPr="00D71BDD">
        <w:rPr>
          <w:sz w:val="16"/>
          <w:szCs w:val="16"/>
        </w:rPr>
        <w:t xml:space="preserve">afgeleid van </w:t>
      </w:r>
      <w:r>
        <w:rPr>
          <w:sz w:val="16"/>
          <w:szCs w:val="16"/>
        </w:rPr>
        <w:t xml:space="preserve">het </w:t>
      </w:r>
      <w:r w:rsidRPr="00D71BDD">
        <w:rPr>
          <w:sz w:val="16"/>
          <w:szCs w:val="16"/>
        </w:rPr>
        <w:t xml:space="preserve">nationale </w:t>
      </w:r>
      <w:r>
        <w:rPr>
          <w:sz w:val="16"/>
          <w:szCs w:val="16"/>
        </w:rPr>
        <w:t>plafond en de plafonds voor melkvee, varkens en pluimvee.</w:t>
      </w:r>
    </w:p>
    <w:p w:rsidR="00450008" w:rsidP="00450008" w:rsidRDefault="00450008" w14:paraId="0FE6B3F4" w14:textId="77777777">
      <w:pPr>
        <w:spacing w:after="0"/>
        <w:rPr>
          <w:szCs w:val="18"/>
        </w:rPr>
      </w:pPr>
    </w:p>
    <w:p w:rsidR="00450008" w:rsidP="00450008" w:rsidRDefault="00450008" w14:paraId="20925E73" w14:textId="77777777">
      <w:pPr>
        <w:spacing w:after="0"/>
      </w:pPr>
      <w:r>
        <w:t xml:space="preserve">Uit tabel 1 blijkt dat het CBS verwacht dat in 2025 de fosfaatexcretie van de Nederlandse veestapel boven het nationale plafond uitkomt (+5,7%). </w:t>
      </w:r>
      <w:r>
        <w:lastRenderedPageBreak/>
        <w:t xml:space="preserve">Daarentegen zal de totale stikstofexcretie naar verwachting lager zijn dan het </w:t>
      </w:r>
      <w:r w:rsidRPr="00F1401C">
        <w:t>nationale plafond (-</w:t>
      </w:r>
      <w:r>
        <w:t>1,4%</w:t>
      </w:r>
      <w:r w:rsidRPr="00F1401C">
        <w:t>).</w:t>
      </w:r>
      <w:r>
        <w:t xml:space="preserve"> </w:t>
      </w:r>
    </w:p>
    <w:p w:rsidR="00450008" w:rsidP="00450008" w:rsidRDefault="00450008" w14:paraId="2A3E2E35" w14:textId="77777777">
      <w:pPr>
        <w:spacing w:after="0"/>
      </w:pPr>
    </w:p>
    <w:p w:rsidR="00450008" w:rsidP="00450008" w:rsidRDefault="00450008" w14:paraId="2E7F6539" w14:textId="77777777">
      <w:pPr>
        <w:spacing w:after="0"/>
      </w:pPr>
      <w:r w:rsidRPr="006A5E9B">
        <w:t xml:space="preserve">De onzekerheid in de prognose </w:t>
      </w:r>
      <w:r>
        <w:t xml:space="preserve">van het CBS </w:t>
      </w:r>
      <w:r w:rsidRPr="006A5E9B">
        <w:t>is relatief groot.</w:t>
      </w:r>
      <w:r>
        <w:t xml:space="preserve"> </w:t>
      </w:r>
      <w:r w:rsidRPr="006A5E9B">
        <w:t>Het CBS baseert zich voor de omvang van de melkveestapel op</w:t>
      </w:r>
      <w:r>
        <w:t xml:space="preserve"> </w:t>
      </w:r>
      <w:r w:rsidRPr="006A5E9B">
        <w:t>I&amp;R-gegevens einde eerste kwartaal 2025 en voor de andere landbouwhuisdieren op de</w:t>
      </w:r>
      <w:r>
        <w:t xml:space="preserve"> </w:t>
      </w:r>
      <w:r w:rsidRPr="006A5E9B">
        <w:t xml:space="preserve">landbouwtelling van vorig jaar. Dit betekent dat het effect van deelname aan de LBV en LBV-plus </w:t>
      </w:r>
      <w:r>
        <w:t xml:space="preserve">slechts ten dele </w:t>
      </w:r>
      <w:r w:rsidRPr="006A5E9B">
        <w:t>in deze</w:t>
      </w:r>
      <w:r>
        <w:t xml:space="preserve"> </w:t>
      </w:r>
      <w:r w:rsidRPr="006A5E9B">
        <w:t xml:space="preserve">cijfers is meegenomen. Ik verwacht hier </w:t>
      </w:r>
      <w:r>
        <w:t xml:space="preserve">echter </w:t>
      </w:r>
      <w:r w:rsidRPr="006A5E9B">
        <w:t>een aanmerkelijk effect van, in het bijzonder voor de sectoren varkens en</w:t>
      </w:r>
      <w:r>
        <w:t xml:space="preserve"> </w:t>
      </w:r>
      <w:r w:rsidRPr="006A5E9B">
        <w:t>pluimvee.</w:t>
      </w:r>
      <w:r>
        <w:t xml:space="preserve"> </w:t>
      </w:r>
      <w:r w:rsidRPr="006A5E9B">
        <w:t>De definitieve cijfers over de mestproductie in 2025 volgen in juni 2026.</w:t>
      </w:r>
    </w:p>
    <w:p w:rsidR="00450008" w:rsidP="00450008" w:rsidRDefault="00450008" w14:paraId="685AF77F" w14:textId="77777777">
      <w:pPr>
        <w:spacing w:after="0"/>
      </w:pPr>
    </w:p>
    <w:p w:rsidR="00450008" w:rsidP="00450008" w:rsidRDefault="00450008" w14:paraId="04D5C165" w14:textId="77777777">
      <w:pPr>
        <w:spacing w:after="0"/>
      </w:pPr>
      <w:r>
        <w:t>Met de melkveesector is in het kader van de stikstofproblematiek afgesproken om op sectorniveau te streven het ruweiwitgehalte in het melkveevoerrantsoen te verlagen en deze in 2025 niet hoger te laten zijn dan 160 gr RE/kg droge stof</w:t>
      </w:r>
      <w:r>
        <w:rPr>
          <w:rStyle w:val="Voetnootmarkering"/>
        </w:rPr>
        <w:footnoteReference w:id="2"/>
      </w:r>
      <w:r>
        <w:t>. Om de voortgang hierop te monitoren is de monitor van het CBS uitgebreid met een prognose van het ruweiwitgehalte in het melkveevoerrantsoen. Voor de eerste kwartaalrapportage 2025 zijn echter onvoldoende gegevens beschikbaar over de samenstelling van krachtvoer en ruwvoer om een indicatie te kunnen geven van het verwachte ruweiwitgehalte in het melkveevoerrantsoen 2025. Dit zal bij de tweede kwartaalrapportage 2025 naar verwachting wel het geval zijn.</w:t>
      </w:r>
    </w:p>
    <w:p w:rsidR="00450008" w:rsidP="00450008" w:rsidRDefault="00450008" w14:paraId="1768F5A5" w14:textId="77777777">
      <w:pPr>
        <w:spacing w:after="0"/>
      </w:pPr>
    </w:p>
    <w:p w:rsidR="00450008" w:rsidP="00450008" w:rsidRDefault="00450008" w14:paraId="5474E4FB" w14:textId="77777777">
      <w:pPr>
        <w:spacing w:after="0"/>
      </w:pPr>
    </w:p>
    <w:p w:rsidRPr="00EC58D9" w:rsidR="00450008" w:rsidP="00450008" w:rsidRDefault="00450008" w14:paraId="238147BA" w14:textId="77777777">
      <w:pPr>
        <w:spacing w:after="0"/>
      </w:pPr>
    </w:p>
    <w:p w:rsidR="00450008" w:rsidP="00450008" w:rsidRDefault="00EC2F9B" w14:paraId="4E1BAF65" w14:textId="64E42EEB">
      <w:pPr>
        <w:spacing w:after="0"/>
        <w:rPr>
          <w:rFonts w:cs="Calibri"/>
          <w:szCs w:val="18"/>
        </w:rPr>
      </w:pPr>
      <w:r>
        <w:t>De m</w:t>
      </w:r>
      <w:r w:rsidRPr="00EC58D9" w:rsidR="00450008">
        <w:t xml:space="preserve">inister van </w:t>
      </w:r>
      <w:r w:rsidR="00450008">
        <w:rPr>
          <w:rFonts w:cs="Calibri"/>
          <w:szCs w:val="18"/>
        </w:rPr>
        <w:t>Landbouw, Visserij, Voedselzekerheid en Natuur</w:t>
      </w:r>
      <w:r>
        <w:rPr>
          <w:rFonts w:cs="Calibri"/>
          <w:szCs w:val="18"/>
        </w:rPr>
        <w:t>,</w:t>
      </w:r>
    </w:p>
    <w:p w:rsidRPr="006A15A5" w:rsidR="00EC2F9B" w:rsidP="00EC2F9B" w:rsidRDefault="00EC2F9B" w14:paraId="03338196" w14:textId="43CFB4A6">
      <w:pPr>
        <w:spacing w:after="0"/>
        <w:rPr>
          <w:szCs w:val="18"/>
        </w:rPr>
      </w:pPr>
      <w:r>
        <w:t xml:space="preserve">F.M. </w:t>
      </w:r>
      <w:r w:rsidRPr="00B11DD6">
        <w:t>Wiersma</w:t>
      </w:r>
    </w:p>
    <w:p w:rsidRPr="00144B73" w:rsidR="00EC2F9B" w:rsidP="00450008" w:rsidRDefault="00EC2F9B" w14:paraId="208AAD9F" w14:textId="77777777">
      <w:pPr>
        <w:spacing w:after="0"/>
        <w:rPr>
          <w:i/>
          <w:iCs/>
        </w:rPr>
      </w:pPr>
    </w:p>
    <w:p w:rsidR="00F80165" w:rsidP="00450008" w:rsidRDefault="00F80165" w14:paraId="172499CC" w14:textId="77777777">
      <w:pPr>
        <w:spacing w:after="0"/>
      </w:pPr>
    </w:p>
    <w:sectPr w:rsidR="00F80165" w:rsidSect="0045000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A14D" w14:textId="77777777" w:rsidR="00450008" w:rsidRDefault="00450008" w:rsidP="00450008">
      <w:pPr>
        <w:spacing w:after="0" w:line="240" w:lineRule="auto"/>
      </w:pPr>
      <w:r>
        <w:separator/>
      </w:r>
    </w:p>
  </w:endnote>
  <w:endnote w:type="continuationSeparator" w:id="0">
    <w:p w14:paraId="66CDE309" w14:textId="77777777" w:rsidR="00450008" w:rsidRDefault="00450008" w:rsidP="0045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0C25" w14:textId="77777777" w:rsidR="00450008" w:rsidRPr="00450008" w:rsidRDefault="00450008" w:rsidP="004500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7798" w14:textId="77777777" w:rsidR="00450008" w:rsidRPr="00450008" w:rsidRDefault="00450008" w:rsidP="004500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EF9F" w14:textId="77777777" w:rsidR="00450008" w:rsidRPr="00450008" w:rsidRDefault="00450008" w:rsidP="004500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26AC" w14:textId="77777777" w:rsidR="00450008" w:rsidRDefault="00450008" w:rsidP="00450008">
      <w:pPr>
        <w:spacing w:after="0" w:line="240" w:lineRule="auto"/>
      </w:pPr>
      <w:r>
        <w:separator/>
      </w:r>
    </w:p>
  </w:footnote>
  <w:footnote w:type="continuationSeparator" w:id="0">
    <w:p w14:paraId="27BC73F2" w14:textId="77777777" w:rsidR="00450008" w:rsidRDefault="00450008" w:rsidP="00450008">
      <w:pPr>
        <w:spacing w:after="0" w:line="240" w:lineRule="auto"/>
      </w:pPr>
      <w:r>
        <w:continuationSeparator/>
      </w:r>
    </w:p>
  </w:footnote>
  <w:footnote w:id="1">
    <w:p w14:paraId="6C27C4BF" w14:textId="032C801B" w:rsidR="00450008" w:rsidRDefault="00450008" w:rsidP="00450008">
      <w:pPr>
        <w:pStyle w:val="Voetnoottekst"/>
      </w:pPr>
      <w:r>
        <w:rPr>
          <w:rStyle w:val="Voetnootmarkering"/>
        </w:rPr>
        <w:footnoteRef/>
      </w:r>
      <w:r>
        <w:t xml:space="preserve"> </w:t>
      </w:r>
      <w:hyperlink r:id="rId1" w:history="1">
        <w:r w:rsidRPr="0028102C">
          <w:rPr>
            <w:rStyle w:val="Hyperlink"/>
            <w:szCs w:val="13"/>
          </w:rPr>
          <w:t>https://www.cbs.nl/nl-nl/longread/aanvullende-statistische-diensten/2025/monitor-fosfaat-en-stikstofexcretie-in-dierlijke-mest-eerste-kwartaal-2025</w:t>
        </w:r>
      </w:hyperlink>
      <w:r>
        <w:rPr>
          <w:szCs w:val="13"/>
        </w:rPr>
        <w:t xml:space="preserve"> </w:t>
      </w:r>
    </w:p>
  </w:footnote>
  <w:footnote w:id="2">
    <w:p w14:paraId="4CB3BB03" w14:textId="5D3B4E7E" w:rsidR="00450008" w:rsidRDefault="00450008" w:rsidP="00450008">
      <w:pPr>
        <w:pStyle w:val="Voetnoottekst"/>
      </w:pPr>
      <w:r w:rsidRPr="00511DC0">
        <w:rPr>
          <w:rStyle w:val="Voetnootmarkering"/>
        </w:rPr>
        <w:footnoteRef/>
      </w:r>
      <w:r w:rsidRPr="00511DC0">
        <w:t xml:space="preserve"> Kamerstukken II, 2020-2021, 35 334</w:t>
      </w:r>
      <w:r>
        <w:t>,</w:t>
      </w:r>
      <w:r w:rsidRPr="00511DC0">
        <w:t xml:space="preserve"> 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31EA" w14:textId="77777777" w:rsidR="00450008" w:rsidRPr="00450008" w:rsidRDefault="00450008" w:rsidP="004500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6DE7" w14:textId="77777777" w:rsidR="00450008" w:rsidRPr="00450008" w:rsidRDefault="00450008" w:rsidP="004500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C61E" w14:textId="77777777" w:rsidR="00450008" w:rsidRPr="00450008" w:rsidRDefault="00450008" w:rsidP="004500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08"/>
    <w:rsid w:val="002C4C6F"/>
    <w:rsid w:val="00450008"/>
    <w:rsid w:val="00686E1F"/>
    <w:rsid w:val="00EA20A8"/>
    <w:rsid w:val="00EC2F9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C323"/>
  <w15:chartTrackingRefBased/>
  <w15:docId w15:val="{684BB040-E1BE-4581-BE0E-6AAAE745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0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0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0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0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0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0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0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0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0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0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0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0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0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0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0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008"/>
    <w:rPr>
      <w:rFonts w:eastAsiaTheme="majorEastAsia" w:cstheme="majorBidi"/>
      <w:color w:val="272727" w:themeColor="text1" w:themeTint="D8"/>
    </w:rPr>
  </w:style>
  <w:style w:type="paragraph" w:styleId="Titel">
    <w:name w:val="Title"/>
    <w:basedOn w:val="Standaard"/>
    <w:next w:val="Standaard"/>
    <w:link w:val="TitelChar"/>
    <w:uiPriority w:val="10"/>
    <w:qFormat/>
    <w:rsid w:val="00450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0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0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0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0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008"/>
    <w:rPr>
      <w:i/>
      <w:iCs/>
      <w:color w:val="404040" w:themeColor="text1" w:themeTint="BF"/>
    </w:rPr>
  </w:style>
  <w:style w:type="paragraph" w:styleId="Lijstalinea">
    <w:name w:val="List Paragraph"/>
    <w:basedOn w:val="Standaard"/>
    <w:uiPriority w:val="34"/>
    <w:qFormat/>
    <w:rsid w:val="00450008"/>
    <w:pPr>
      <w:ind w:left="720"/>
      <w:contextualSpacing/>
    </w:pPr>
  </w:style>
  <w:style w:type="character" w:styleId="Intensievebenadrukking">
    <w:name w:val="Intense Emphasis"/>
    <w:basedOn w:val="Standaardalinea-lettertype"/>
    <w:uiPriority w:val="21"/>
    <w:qFormat/>
    <w:rsid w:val="00450008"/>
    <w:rPr>
      <w:i/>
      <w:iCs/>
      <w:color w:val="0F4761" w:themeColor="accent1" w:themeShade="BF"/>
    </w:rPr>
  </w:style>
  <w:style w:type="paragraph" w:styleId="Duidelijkcitaat">
    <w:name w:val="Intense Quote"/>
    <w:basedOn w:val="Standaard"/>
    <w:next w:val="Standaard"/>
    <w:link w:val="DuidelijkcitaatChar"/>
    <w:uiPriority w:val="30"/>
    <w:qFormat/>
    <w:rsid w:val="00450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008"/>
    <w:rPr>
      <w:i/>
      <w:iCs/>
      <w:color w:val="0F4761" w:themeColor="accent1" w:themeShade="BF"/>
    </w:rPr>
  </w:style>
  <w:style w:type="character" w:styleId="Intensieveverwijzing">
    <w:name w:val="Intense Reference"/>
    <w:basedOn w:val="Standaardalinea-lettertype"/>
    <w:uiPriority w:val="32"/>
    <w:qFormat/>
    <w:rsid w:val="00450008"/>
    <w:rPr>
      <w:b/>
      <w:bCs/>
      <w:smallCaps/>
      <w:color w:val="0F4761" w:themeColor="accent1" w:themeShade="BF"/>
      <w:spacing w:val="5"/>
    </w:rPr>
  </w:style>
  <w:style w:type="paragraph" w:styleId="Koptekst">
    <w:name w:val="header"/>
    <w:basedOn w:val="Standaard"/>
    <w:link w:val="KoptekstChar1"/>
    <w:rsid w:val="004500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50008"/>
  </w:style>
  <w:style w:type="paragraph" w:styleId="Voettekst">
    <w:name w:val="footer"/>
    <w:basedOn w:val="Standaard"/>
    <w:link w:val="VoettekstChar1"/>
    <w:rsid w:val="004500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50008"/>
  </w:style>
  <w:style w:type="table" w:styleId="Tabelraster">
    <w:name w:val="Table Grid"/>
    <w:basedOn w:val="Standaardtabel"/>
    <w:rsid w:val="0045000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5000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0008"/>
    <w:rPr>
      <w:rFonts w:ascii="Verdana" w:hAnsi="Verdana"/>
      <w:noProof/>
      <w:sz w:val="13"/>
      <w:szCs w:val="24"/>
      <w:lang w:eastAsia="nl-NL"/>
    </w:rPr>
  </w:style>
  <w:style w:type="paragraph" w:customStyle="1" w:styleId="Huisstijl-Gegeven">
    <w:name w:val="Huisstijl-Gegeven"/>
    <w:basedOn w:val="Standaard"/>
    <w:link w:val="Huisstijl-GegevenCharChar"/>
    <w:rsid w:val="0045000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000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5000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5000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50008"/>
    <w:pPr>
      <w:spacing w:after="0"/>
    </w:pPr>
    <w:rPr>
      <w:b/>
    </w:rPr>
  </w:style>
  <w:style w:type="paragraph" w:customStyle="1" w:styleId="Huisstijl-Paginanummering">
    <w:name w:val="Huisstijl-Paginanummering"/>
    <w:basedOn w:val="Standaard"/>
    <w:rsid w:val="0045000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5000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5000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5000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5000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5000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50008"/>
    <w:rPr>
      <w:vertAlign w:val="superscript"/>
    </w:rPr>
  </w:style>
  <w:style w:type="character" w:styleId="Hyperlink">
    <w:name w:val="Hyperlink"/>
    <w:basedOn w:val="Standaardalinea-lettertype"/>
    <w:uiPriority w:val="99"/>
    <w:unhideWhenUsed/>
    <w:rsid w:val="00450008"/>
    <w:rPr>
      <w:color w:val="467886" w:themeColor="hyperlink"/>
      <w:u w:val="single"/>
    </w:rPr>
  </w:style>
  <w:style w:type="character" w:styleId="Onopgelostemelding">
    <w:name w:val="Unresolved Mention"/>
    <w:basedOn w:val="Standaardalinea-lettertype"/>
    <w:uiPriority w:val="99"/>
    <w:semiHidden/>
    <w:unhideWhenUsed/>
    <w:rsid w:val="00450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aanvullende-statistische-diensten/2025/monitor-fosfaat-en-stikstofexcretie-in-dierlijke-mest-eerste-kwartaal-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529</ap:Words>
  <ap:Characters>2915</ap:Characters>
  <ap:DocSecurity>0</ap:DocSecurity>
  <ap:Lines>24</ap:Lines>
  <ap:Paragraphs>6</ap:Paragraphs>
  <ap:ScaleCrop>false</ap:ScaleCrop>
  <ap:LinksUpToDate>false</ap:LinksUpToDate>
  <ap:CharactersWithSpaces>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2025-07-15T07:46:00.0000000Z</dcterms:created>
  <dcterms:modified xsi:type="dcterms:W3CDTF">2025-07-15T07:46:00.0000000Z</dcterms:modified>
  <version/>
  <category/>
</coreProperties>
</file>