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56B3" w:rsidP="003D56B3" w:rsidRDefault="003D56B3" w14:paraId="26BDF0E8" w14:textId="77777777">
      <w:pPr>
        <w:pageBreakBefore/>
        <w:rPr>
          <w:b/>
          <w:bCs/>
        </w:rPr>
      </w:pPr>
      <w:r w:rsidRPr="250AE766">
        <w:rPr>
          <w:b/>
          <w:bCs/>
        </w:rPr>
        <w:t>2025Z09381</w:t>
      </w:r>
      <w:r w:rsidRPr="250AE766">
        <w:rPr>
          <w:b/>
          <w:bCs/>
        </w:rPr>
        <w:br/>
      </w:r>
      <w:r>
        <w:t>(ingezonden 15 mei 2025)</w:t>
      </w:r>
      <w:r>
        <w:br/>
      </w:r>
    </w:p>
    <w:p w:rsidRPr="00771045" w:rsidR="003D56B3" w:rsidP="003D56B3" w:rsidRDefault="003D56B3" w14:paraId="5FCFB684" w14:textId="77777777">
      <w:pPr>
        <w:rPr>
          <w:b/>
          <w:bCs/>
        </w:rPr>
      </w:pPr>
      <w:r w:rsidRPr="00771045">
        <w:rPr>
          <w:b/>
          <w:bCs/>
        </w:rPr>
        <w:t>Vragen van de leden Wilders en Vondeling (beiden PVV) aan de minister-president en de minister van Asiel en Migratie over het bericht  dat Denemarken en Italië steun zoeken om de bevoegdheden van het Europese Hof van de Rechten van de Mensen op het gebied van asiel en immigratie te beperken.</w:t>
      </w:r>
      <w:r w:rsidRPr="00771045">
        <w:rPr>
          <w:b/>
          <w:bCs/>
        </w:rPr>
        <w:br/>
      </w:r>
      <w:r w:rsidRPr="00771045">
        <w:rPr>
          <w:b/>
          <w:bCs/>
        </w:rPr>
        <w:br/>
      </w:r>
      <w:r w:rsidRPr="00771045">
        <w:rPr>
          <w:b/>
          <w:bCs/>
        </w:rPr>
        <w:br/>
      </w:r>
      <w:proofErr w:type="spellStart"/>
      <w:r w:rsidRPr="002F66FD">
        <w:rPr>
          <w:b/>
          <w:bCs/>
          <w:lang w:val="en-US"/>
        </w:rPr>
        <w:t>Vraag</w:t>
      </w:r>
      <w:proofErr w:type="spellEnd"/>
      <w:r w:rsidRPr="002F66FD">
        <w:rPr>
          <w:b/>
          <w:bCs/>
          <w:lang w:val="en-US"/>
        </w:rPr>
        <w:t xml:space="preserve"> 1</w:t>
      </w:r>
      <w:r w:rsidRPr="002F66FD">
        <w:rPr>
          <w:b/>
          <w:bCs/>
          <w:lang w:val="en-US"/>
        </w:rPr>
        <w:br/>
      </w:r>
      <w:r w:rsidRPr="00771045">
        <w:rPr>
          <w:b/>
          <w:bCs/>
          <w:lang w:val="en-US"/>
        </w:rPr>
        <w:t xml:space="preserve">Kent u het </w:t>
      </w:r>
      <w:proofErr w:type="spellStart"/>
      <w:r w:rsidRPr="00771045">
        <w:rPr>
          <w:b/>
          <w:bCs/>
          <w:lang w:val="en-US"/>
        </w:rPr>
        <w:t>bericht</w:t>
      </w:r>
      <w:proofErr w:type="spellEnd"/>
      <w:r w:rsidRPr="00771045">
        <w:rPr>
          <w:b/>
          <w:bCs/>
          <w:lang w:val="en-US"/>
        </w:rPr>
        <w:t xml:space="preserve"> '</w:t>
      </w:r>
      <w:r w:rsidRPr="00771045">
        <w:rPr>
          <w:b/>
          <w:bCs/>
          <w:i/>
          <w:iCs/>
          <w:lang w:val="en-US"/>
        </w:rPr>
        <w:t>Taking Back Control: Denmark and Italy To Challenge Human Rights Court on Asylum Rules'</w:t>
      </w:r>
      <w:r w:rsidRPr="00771045">
        <w:rPr>
          <w:b/>
          <w:bCs/>
          <w:lang w:val="en-US"/>
        </w:rPr>
        <w:t xml:space="preserve">? </w:t>
      </w:r>
      <w:r w:rsidRPr="00771045">
        <w:rPr>
          <w:b/>
          <w:bCs/>
        </w:rPr>
        <w:t>1)</w:t>
      </w:r>
    </w:p>
    <w:p w:rsidRPr="00771045" w:rsidR="003D56B3" w:rsidP="003D56B3" w:rsidRDefault="003D56B3" w14:paraId="3E99D5AC" w14:textId="77777777">
      <w:pPr>
        <w:rPr>
          <w:b/>
          <w:bCs/>
        </w:rPr>
      </w:pPr>
    </w:p>
    <w:p w:rsidRPr="00771045" w:rsidR="003D56B3" w:rsidP="003D56B3" w:rsidRDefault="003D56B3" w14:paraId="2EA6FAA8" w14:textId="023CB44C">
      <w:pPr>
        <w:rPr>
          <w:b/>
          <w:bCs/>
        </w:rPr>
      </w:pPr>
      <w:r w:rsidRPr="002F66FD">
        <w:t>Ja</w:t>
      </w:r>
      <w:r w:rsidR="00EA5733">
        <w:t>.</w:t>
      </w:r>
      <w:r w:rsidRPr="00771045">
        <w:rPr>
          <w:b/>
          <w:bCs/>
        </w:rPr>
        <w:br/>
      </w:r>
      <w:r w:rsidRPr="00771045">
        <w:rPr>
          <w:b/>
          <w:bCs/>
        </w:rPr>
        <w:br/>
        <w:t>Vraag 2</w:t>
      </w:r>
      <w:r w:rsidRPr="00771045">
        <w:rPr>
          <w:b/>
          <w:bCs/>
        </w:rPr>
        <w:br/>
        <w:t>Is het waar dat Denemarken en Italië een brief willen sturen aan het Europese Hof voor de Rechten van het Mens omdat dit Hof de bepalingen uit het Europees Verdrag voor de Rechten van de Mens in asielzaken te ruim interpreteert waardoor de nationale soevereiniteit van lidstaten wordt ingeperkt?</w:t>
      </w:r>
      <w:r w:rsidRPr="00771045">
        <w:rPr>
          <w:b/>
          <w:bCs/>
        </w:rPr>
        <w:br/>
        <w:t> </w:t>
      </w:r>
      <w:r w:rsidRPr="00771045">
        <w:rPr>
          <w:b/>
          <w:bCs/>
        </w:rPr>
        <w:br/>
      </w:r>
      <w:r>
        <w:t xml:space="preserve">Denemarken en Italië hebben samen met een aantal andere landen op 23 mei jl. een </w:t>
      </w:r>
      <w:r w:rsidR="000E06C1">
        <w:t xml:space="preserve">ingezonden </w:t>
      </w:r>
      <w:r>
        <w:t>brief gepubliceerd</w:t>
      </w:r>
      <w:r w:rsidR="000E06C1">
        <w:t xml:space="preserve"> over dit onderwerp</w:t>
      </w:r>
      <w:r>
        <w:t xml:space="preserve">. </w:t>
      </w:r>
      <w:r w:rsidRPr="002F66FD">
        <w:br/>
      </w:r>
      <w:r w:rsidRPr="00771045">
        <w:rPr>
          <w:b/>
          <w:bCs/>
        </w:rPr>
        <w:br/>
        <w:t>Vraag 3</w:t>
      </w:r>
      <w:r w:rsidRPr="00771045">
        <w:rPr>
          <w:b/>
          <w:bCs/>
        </w:rPr>
        <w:br/>
        <w:t>Is het waar dat de Nederlandse regering door Denemarken en Italië is benaderd om deze brief te steunen?</w:t>
      </w:r>
    </w:p>
    <w:p w:rsidRPr="00771045" w:rsidR="003D56B3" w:rsidP="003D56B3" w:rsidRDefault="003D56B3" w14:paraId="56EACA55" w14:textId="77777777">
      <w:pPr>
        <w:rPr>
          <w:b/>
          <w:bCs/>
        </w:rPr>
      </w:pPr>
    </w:p>
    <w:p w:rsidRPr="00771045" w:rsidR="003D56B3" w:rsidP="003D56B3" w:rsidRDefault="003D56B3" w14:paraId="08610DC7" w14:textId="4FEEA836">
      <w:pPr>
        <w:rPr>
          <w:b/>
          <w:bCs/>
        </w:rPr>
      </w:pPr>
      <w:r w:rsidRPr="002F66FD">
        <w:t>Ja</w:t>
      </w:r>
      <w:r w:rsidR="006B5A9D">
        <w:t>.</w:t>
      </w:r>
      <w:r w:rsidRPr="00771045">
        <w:rPr>
          <w:b/>
          <w:bCs/>
        </w:rPr>
        <w:br/>
      </w:r>
      <w:r w:rsidRPr="00771045">
        <w:rPr>
          <w:b/>
          <w:bCs/>
        </w:rPr>
        <w:br/>
        <w:t>Vraag 4</w:t>
      </w:r>
      <w:r w:rsidRPr="00771045">
        <w:rPr>
          <w:b/>
          <w:bCs/>
        </w:rPr>
        <w:br/>
        <w:t>Herinnert u zich de passage uit Hoofdstuk 2 Grip op asiel en migratie van het Hoofdlijnenakkoord</w:t>
      </w:r>
      <w:r>
        <w:rPr>
          <w:b/>
          <w:bCs/>
        </w:rPr>
        <w:t xml:space="preserve"> </w:t>
      </w:r>
      <w:r w:rsidRPr="00771045">
        <w:rPr>
          <w:b/>
          <w:bCs/>
          <w:i/>
          <w:iCs/>
        </w:rPr>
        <w:t>“Er wordt ingezet op aanpassing van de EU-regelgeving en -verdragen waar nodig”</w:t>
      </w:r>
      <w:r w:rsidRPr="00771045">
        <w:rPr>
          <w:b/>
          <w:bCs/>
        </w:rPr>
        <w:t>?</w:t>
      </w:r>
      <w:r w:rsidRPr="00771045">
        <w:rPr>
          <w:b/>
          <w:bCs/>
        </w:rPr>
        <w:br/>
        <w:t> </w:t>
      </w:r>
      <w:r w:rsidRPr="00771045">
        <w:rPr>
          <w:b/>
          <w:bCs/>
        </w:rPr>
        <w:br/>
      </w:r>
      <w:r w:rsidRPr="002F66FD">
        <w:t>Ja</w:t>
      </w:r>
      <w:r w:rsidR="006B5A9D">
        <w:t>.</w:t>
      </w:r>
    </w:p>
    <w:p w:rsidR="003D56B3" w:rsidP="003D56B3" w:rsidRDefault="003D56B3" w14:paraId="0E5A382E" w14:textId="38097B0B">
      <w:pPr>
        <w:autoSpaceDN/>
        <w:spacing w:after="160" w:line="259" w:lineRule="auto"/>
        <w:textAlignment w:val="auto"/>
        <w:rPr>
          <w:rFonts w:eastAsiaTheme="minorHAnsi"/>
          <w:color w:val="auto"/>
        </w:rPr>
      </w:pPr>
      <w:r w:rsidRPr="00771045">
        <w:rPr>
          <w:b/>
          <w:bCs/>
        </w:rPr>
        <w:br/>
        <w:t>Vraag 5</w:t>
      </w:r>
      <w:r w:rsidRPr="00771045">
        <w:rPr>
          <w:b/>
          <w:bCs/>
        </w:rPr>
        <w:br/>
        <w:t>Mogen wij ervan uitgaan dat u de brief zonder meer zal ondertekenen gelet op de passage uit het Hoofdlijnenakkoord en de wens van de grootste coalitiepartij?</w:t>
      </w:r>
      <w:r w:rsidRPr="00771045">
        <w:rPr>
          <w:b/>
          <w:bCs/>
        </w:rPr>
        <w:br/>
      </w:r>
      <w:r>
        <w:rPr>
          <w:rFonts w:eastAsiaTheme="minorHAnsi"/>
          <w:color w:val="auto"/>
        </w:rPr>
        <w:br/>
        <w:t>Het kabinet ziet in d</w:t>
      </w:r>
      <w:r w:rsidRPr="0004138A">
        <w:rPr>
          <w:rFonts w:eastAsiaTheme="minorHAnsi"/>
          <w:color w:val="auto"/>
        </w:rPr>
        <w:t xml:space="preserve">e ingezonden brief van de regeringsleiders van Denemarken, Italië en een aantal andere landen een oproep voor een open dialoog over de juridische kaders voor de mogelijkheden om veroordeelde vreemdelingen uit te kunnen zetten. </w:t>
      </w:r>
      <w:r w:rsidRPr="00D44186">
        <w:t xml:space="preserve">Zoals ook opgenomen in het </w:t>
      </w:r>
      <w:r w:rsidRPr="00D44186" w:rsidR="00DC66A5">
        <w:t>Hoofdlijnen</w:t>
      </w:r>
      <w:r w:rsidRPr="00D44186">
        <w:t xml:space="preserve">akkoord is het de inzet van dit kabinet een lik-op-stuk aanpak te voeren op overlast, intimidatie en geweld, en om vergunningen van criminele vreemdelingen sneller in te kunnen trekken. </w:t>
      </w:r>
      <w:r w:rsidRPr="00D44186">
        <w:rPr>
          <w:rFonts w:eastAsiaTheme="minorHAnsi"/>
          <w:color w:val="auto"/>
        </w:rPr>
        <w:t>Het</w:t>
      </w:r>
      <w:r w:rsidRPr="00D44186" w:rsidR="00BD4753">
        <w:rPr>
          <w:rFonts w:eastAsiaTheme="minorHAnsi"/>
          <w:color w:val="auto"/>
        </w:rPr>
        <w:t xml:space="preserve"> kabinet</w:t>
      </w:r>
      <w:r w:rsidRPr="00D44186">
        <w:rPr>
          <w:rFonts w:eastAsiaTheme="minorHAnsi"/>
          <w:color w:val="auto"/>
        </w:rPr>
        <w:t xml:space="preserve"> </w:t>
      </w:r>
      <w:r w:rsidRPr="00D44186" w:rsidR="006B5A9D">
        <w:rPr>
          <w:rFonts w:eastAsiaTheme="minorHAnsi"/>
          <w:color w:val="auto"/>
        </w:rPr>
        <w:t>steunt</w:t>
      </w:r>
      <w:r w:rsidRPr="00D44186">
        <w:rPr>
          <w:rFonts w:eastAsiaTheme="minorHAnsi"/>
          <w:color w:val="auto"/>
        </w:rPr>
        <w:t xml:space="preserve"> daarom dat signaal van de brief in algemene zin. </w:t>
      </w:r>
      <w:r w:rsidRPr="00D44186" w:rsidR="008005F6">
        <w:rPr>
          <w:rFonts w:eastAsiaTheme="minorHAnsi"/>
          <w:color w:val="auto"/>
        </w:rPr>
        <w:t xml:space="preserve">Conform de eerdere toezegging aan uw Kamer in het Commissiedebat over de JBZ-Raad van 12 en 13 juni (vreemdelingen- en asielbeleid) van 11 juni jl., heeft Nederland daarom ook tijdens de JBZ-Raad van 13 juni jl. aangegeven de geest van dat deel van de brief te steunen en open te staan voor dialoog. </w:t>
      </w:r>
      <w:r w:rsidRPr="00D44186">
        <w:rPr>
          <w:rFonts w:eastAsiaTheme="minorHAnsi"/>
          <w:color w:val="auto"/>
        </w:rPr>
        <w:t>Als de juridische kaders hiervoor niet meer aansluiten bij de politiek gewenste praktijk, dan moet het gesprek over die kaders gevoerd worden binnen de daartoe aangewezen gremia. In het Hoofdlijnenakkoord is dan ook opgenomen dat Nederland daar waar nodig</w:t>
      </w:r>
      <w:r w:rsidRPr="0004138A">
        <w:rPr>
          <w:rFonts w:eastAsiaTheme="minorHAnsi"/>
          <w:color w:val="auto"/>
        </w:rPr>
        <w:t xml:space="preserve"> inzet op het aanpassen van EU-regelgeving of internationale verdragen. </w:t>
      </w:r>
      <w:r>
        <w:rPr>
          <w:rFonts w:eastAsiaTheme="minorHAnsi"/>
          <w:color w:val="auto"/>
        </w:rPr>
        <w:t>Het kabinet ziet steun voor deze inzet in de brief.</w:t>
      </w:r>
    </w:p>
    <w:p w:rsidRPr="0004138A" w:rsidR="003D56B3" w:rsidP="003D56B3" w:rsidRDefault="003D56B3" w14:paraId="3629E89F" w14:textId="041464EA">
      <w:pPr>
        <w:autoSpaceDN/>
        <w:spacing w:after="160" w:line="259" w:lineRule="auto"/>
        <w:textAlignment w:val="auto"/>
        <w:rPr>
          <w:rFonts w:eastAsiaTheme="minorHAnsi"/>
          <w:color w:val="auto"/>
        </w:rPr>
      </w:pPr>
      <w:r w:rsidRPr="0004138A">
        <w:rPr>
          <w:rFonts w:eastAsiaTheme="minorHAnsi"/>
          <w:color w:val="auto"/>
        </w:rPr>
        <w:t xml:space="preserve">De brief roept </w:t>
      </w:r>
      <w:r>
        <w:rPr>
          <w:rFonts w:eastAsiaTheme="minorHAnsi"/>
          <w:color w:val="auto"/>
        </w:rPr>
        <w:t xml:space="preserve">tegelijkertijd </w:t>
      </w:r>
      <w:r w:rsidRPr="0004138A">
        <w:rPr>
          <w:rFonts w:eastAsiaTheme="minorHAnsi"/>
          <w:color w:val="auto"/>
        </w:rPr>
        <w:t xml:space="preserve">specifiek op om een open dialoog te voeren over de interpretatie van het Europees Verdrag voor de Rechten van de Mens (EVRM) door het Europees Hof voor de Rechten van de Mens (EHRM). Die inzet volgt niet uit het Hoofdlijnenakkoord en raakt aan meer </w:t>
      </w:r>
      <w:r w:rsidRPr="0004138A">
        <w:rPr>
          <w:rFonts w:eastAsiaTheme="minorHAnsi"/>
          <w:color w:val="auto"/>
        </w:rPr>
        <w:lastRenderedPageBreak/>
        <w:t>dan migratiebelangen, zoals de onafhankelijkheid van rechters</w:t>
      </w:r>
      <w:r>
        <w:rPr>
          <w:rFonts w:eastAsiaTheme="minorHAnsi"/>
          <w:color w:val="auto"/>
        </w:rPr>
        <w:t xml:space="preserve"> en het EHRM</w:t>
      </w:r>
      <w:r w:rsidRPr="0004138A">
        <w:rPr>
          <w:rFonts w:eastAsiaTheme="minorHAnsi"/>
          <w:color w:val="auto"/>
        </w:rPr>
        <w:t xml:space="preserve">. Nederland wil niet de indruk wekken op de stoel van de rechter te willen zitten </w:t>
      </w:r>
      <w:r>
        <w:rPr>
          <w:rFonts w:eastAsiaTheme="minorHAnsi"/>
          <w:color w:val="auto"/>
        </w:rPr>
        <w:t>en kan daarom dat deel van de oproep niet steunen</w:t>
      </w:r>
      <w:r w:rsidRPr="0004138A">
        <w:rPr>
          <w:rFonts w:eastAsiaTheme="minorHAnsi"/>
          <w:color w:val="auto"/>
        </w:rPr>
        <w:t xml:space="preserve">. Om die reden is besloten deze ingezonden brief niet mede te ondertekenen. </w:t>
      </w:r>
    </w:p>
    <w:p w:rsidR="003D56B3" w:rsidP="00A025C5" w:rsidRDefault="003D56B3" w14:paraId="00CDE02D" w14:textId="09A4F048">
      <w:pPr>
        <w:rPr>
          <w:rFonts w:eastAsiaTheme="minorHAnsi"/>
          <w:color w:val="auto"/>
        </w:rPr>
      </w:pPr>
      <w:r w:rsidRPr="0004138A">
        <w:rPr>
          <w:rFonts w:eastAsiaTheme="minorHAnsi"/>
          <w:color w:val="auto"/>
        </w:rPr>
        <w:t>Nederland zal het signaal van Denemarken en Italië</w:t>
      </w:r>
      <w:r>
        <w:rPr>
          <w:rFonts w:eastAsiaTheme="minorHAnsi"/>
          <w:color w:val="auto"/>
        </w:rPr>
        <w:t xml:space="preserve"> t.a.v. de mogelijkheid om veroordeelde vreemdelingen</w:t>
      </w:r>
      <w:r w:rsidRPr="0004138A">
        <w:rPr>
          <w:rFonts w:eastAsiaTheme="minorHAnsi"/>
          <w:color w:val="auto"/>
        </w:rPr>
        <w:t xml:space="preserve"> </w:t>
      </w:r>
      <w:r>
        <w:rPr>
          <w:rFonts w:eastAsiaTheme="minorHAnsi"/>
          <w:color w:val="auto"/>
        </w:rPr>
        <w:t xml:space="preserve">uit te kunnen zetten via andere wegen </w:t>
      </w:r>
      <w:r w:rsidRPr="0004138A">
        <w:rPr>
          <w:rFonts w:eastAsiaTheme="minorHAnsi"/>
          <w:color w:val="auto"/>
        </w:rPr>
        <w:t xml:space="preserve">ondersteunen. Zo </w:t>
      </w:r>
      <w:r>
        <w:rPr>
          <w:rFonts w:eastAsiaTheme="minorHAnsi"/>
          <w:color w:val="auto"/>
        </w:rPr>
        <w:t>kan</w:t>
      </w:r>
      <w:r w:rsidRPr="0004138A">
        <w:rPr>
          <w:rFonts w:eastAsiaTheme="minorHAnsi"/>
          <w:color w:val="auto"/>
        </w:rPr>
        <w:t xml:space="preserve"> Nederland </w:t>
      </w:r>
      <w:r>
        <w:rPr>
          <w:rFonts w:eastAsiaTheme="minorHAnsi"/>
          <w:color w:val="auto"/>
        </w:rPr>
        <w:t xml:space="preserve">standpunten over de interpretatie van het EVRM naar voren brengen in het kader van </w:t>
      </w:r>
      <w:r w:rsidRPr="0004138A">
        <w:rPr>
          <w:rFonts w:eastAsiaTheme="minorHAnsi"/>
          <w:color w:val="auto"/>
        </w:rPr>
        <w:t xml:space="preserve">lopende EHRM-procedures op het gebied van het vreemdelingenrecht inclusief in EHRM-zaken </w:t>
      </w:r>
      <w:r>
        <w:rPr>
          <w:rFonts w:eastAsiaTheme="minorHAnsi"/>
          <w:color w:val="auto"/>
        </w:rPr>
        <w:t xml:space="preserve">tegen andere EVRM-verdragspartijen </w:t>
      </w:r>
      <w:r w:rsidRPr="0004138A">
        <w:rPr>
          <w:rFonts w:eastAsiaTheme="minorHAnsi"/>
          <w:color w:val="auto"/>
        </w:rPr>
        <w:t>over de uitzetting van vreemdelingen. Verder blijft Nederland zich in Europees verband onverminderd inzetten voor aanscherpingen in de EU-regelgeving, zoals de Terugkeerverordening en de Veilig derde land-herziening. Ook deze inzet is erop gericht om EU-wetgeving (en dus de toetsingskaders voor rechters) zo goed mogelijk te laten aansluiten bij de politieke wens voor een strikt en sober asielbeleid. Bovendien blijft het kabinet zich via andere wegen, zoals innovatieve oplossingen en partnerschappen, nationaal en internationaal onverminderd inzetten om meer grip te krijgen op migratie, ook als het gaat om de mogelijkheden voor het uitzetten van veroordeelde vreemdelingen.</w:t>
      </w:r>
      <w:r w:rsidRPr="0047350A" w:rsidR="0047350A">
        <w:rPr>
          <w:rFonts w:eastAsiaTheme="minorHAnsi"/>
          <w:color w:val="auto"/>
        </w:rPr>
        <w:t xml:space="preserve"> </w:t>
      </w:r>
      <w:bookmarkStart w:name="_Hlk202356268" w:id="0"/>
      <w:r w:rsidRPr="003770F3" w:rsidR="00D44186">
        <w:rPr>
          <w:rFonts w:eastAsiaTheme="minorHAnsi"/>
          <w:color w:val="auto"/>
        </w:rPr>
        <w:t xml:space="preserve">Hierover sprak een aantal regeringsleiders </w:t>
      </w:r>
      <w:r w:rsidRPr="003770F3" w:rsidR="00D44186">
        <w:t xml:space="preserve">informeel </w:t>
      </w:r>
      <w:r w:rsidRPr="003770F3" w:rsidR="00D44186">
        <w:rPr>
          <w:rFonts w:eastAsiaTheme="minorHAnsi"/>
          <w:color w:val="auto"/>
        </w:rPr>
        <w:t>v</w:t>
      </w:r>
      <w:r w:rsidRPr="003770F3" w:rsidR="00D44186">
        <w:t xml:space="preserve">oorafgaand aan de Europese Raad van 26 juni 2025, </w:t>
      </w:r>
      <w:r w:rsidRPr="003770F3" w:rsidR="00D44186">
        <w:rPr>
          <w:rFonts w:eastAsiaTheme="minorHAnsi"/>
          <w:color w:val="auto"/>
        </w:rPr>
        <w:t>zoals ook vermeld in het verslag van de Europese Raad van 26 juni 2025</w:t>
      </w:r>
      <w:r w:rsidRPr="003770F3" w:rsidR="00D44186">
        <w:t xml:space="preserve">. Daar kwam ook de brief ter sprake. Denemarken en Italië kondigden tijdens de bijeenkomst aan opvolging te willen geven aan de brief. </w:t>
      </w:r>
      <w:bookmarkStart w:name="_Hlk202347495" w:id="1"/>
      <w:r w:rsidRPr="003770F3" w:rsidR="00D44186">
        <w:t>Nederland heeft actief aangegeven bij te willen dragen aan verdere samenwerking gericht op de uitwerking. Dit is ook in lijn met de motie Eerdmans</w:t>
      </w:r>
      <w:r w:rsidRPr="003770F3" w:rsidR="00D44186">
        <w:rPr>
          <w:rStyle w:val="Voetnootmarkering"/>
        </w:rPr>
        <w:footnoteReference w:id="1"/>
      </w:r>
      <w:r w:rsidRPr="003770F3" w:rsidR="00D44186">
        <w:t>.</w:t>
      </w:r>
      <w:bookmarkEnd w:id="0"/>
      <w:bookmarkEnd w:id="1"/>
    </w:p>
    <w:p w:rsidR="0047350A" w:rsidP="00A025C5" w:rsidRDefault="0047350A" w14:paraId="59429A0C" w14:textId="77777777">
      <w:pPr>
        <w:rPr>
          <w:rFonts w:eastAsiaTheme="minorHAnsi"/>
          <w:color w:val="auto"/>
        </w:rPr>
      </w:pPr>
    </w:p>
    <w:p w:rsidRPr="00D44186" w:rsidR="0047350A" w:rsidP="00D44186" w:rsidRDefault="0047350A" w14:paraId="1F12E596" w14:textId="77777777"/>
    <w:p w:rsidRPr="00580301" w:rsidR="003D56B3" w:rsidP="003D56B3" w:rsidRDefault="003D56B3" w14:paraId="751DCB9A" w14:textId="187F0F3A">
      <w:pPr>
        <w:autoSpaceDN/>
        <w:spacing w:after="160" w:line="259" w:lineRule="auto"/>
        <w:textAlignment w:val="auto"/>
        <w:rPr>
          <w:rFonts w:eastAsiaTheme="minorHAnsi"/>
          <w:color w:val="auto"/>
        </w:rPr>
      </w:pPr>
      <w:r w:rsidRPr="00771045">
        <w:rPr>
          <w:b/>
          <w:bCs/>
        </w:rPr>
        <w:t>Vraag 6</w:t>
      </w:r>
      <w:r w:rsidRPr="00771045">
        <w:rPr>
          <w:b/>
          <w:bCs/>
        </w:rPr>
        <w:br/>
        <w:t>Wilt u deze vragen voor a.s. maandag 19 mei 2025, 17.00 uur beantwoorden?</w:t>
      </w:r>
    </w:p>
    <w:p w:rsidRPr="00A71CDE" w:rsidR="003D56B3" w:rsidP="006B5A9D" w:rsidRDefault="003D56B3" w14:paraId="38BFC93B" w14:textId="6D9250B8">
      <w:pPr>
        <w:autoSpaceDN/>
        <w:spacing w:after="160" w:line="259" w:lineRule="auto"/>
        <w:textAlignment w:val="auto"/>
      </w:pPr>
      <w:r w:rsidRPr="00A71CDE">
        <w:t>De beantwoording is zo spoedig als mogelijk opgesteld.  </w:t>
      </w:r>
    </w:p>
    <w:p w:rsidRPr="0001348D" w:rsidR="003D56B3" w:rsidP="003D56B3" w:rsidRDefault="003D56B3" w14:paraId="3097B7D9" w14:textId="77777777">
      <w:pPr>
        <w:rPr>
          <w:lang w:val="en-US"/>
        </w:rPr>
      </w:pPr>
      <w:r w:rsidRPr="0001348D">
        <w:rPr>
          <w:lang w:val="en-US"/>
        </w:rPr>
        <w:t xml:space="preserve">1) The European Conservative, 12 </w:t>
      </w:r>
      <w:proofErr w:type="spellStart"/>
      <w:r w:rsidRPr="0001348D">
        <w:rPr>
          <w:lang w:val="en-US"/>
        </w:rPr>
        <w:t>mei</w:t>
      </w:r>
      <w:proofErr w:type="spellEnd"/>
      <w:r w:rsidRPr="0001348D">
        <w:rPr>
          <w:lang w:val="en-US"/>
        </w:rPr>
        <w:t xml:space="preserve"> 2025, 'Taking Back Control: Denmark and Italy To Challenge Human Rights Court on Asylum Rules', </w:t>
      </w:r>
      <w:r w:rsidRPr="0001348D">
        <w:rPr>
          <w:u w:val="single"/>
          <w:lang w:val="en-US"/>
        </w:rPr>
        <w:t>https://europeanconservative.com/articles/news/denmark-italy-challenge-human-rights-court-asylum-rules/</w:t>
      </w:r>
      <w:r w:rsidRPr="0001348D">
        <w:rPr>
          <w:lang w:val="en-US"/>
        </w:rPr>
        <w:br/>
      </w:r>
    </w:p>
    <w:p w:rsidRPr="003D56B3" w:rsidR="00AF0234" w:rsidRDefault="00AF0234" w14:paraId="2AA56D95" w14:textId="77777777">
      <w:pPr>
        <w:rPr>
          <w:lang w:val="en-US"/>
        </w:rPr>
      </w:pPr>
    </w:p>
    <w:sectPr w:rsidRPr="003D56B3" w:rsidR="00AF023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D10E4" w14:textId="77777777" w:rsidR="00F46373" w:rsidRDefault="00F46373" w:rsidP="008A6BC4">
      <w:pPr>
        <w:spacing w:line="240" w:lineRule="auto"/>
      </w:pPr>
      <w:r>
        <w:separator/>
      </w:r>
    </w:p>
  </w:endnote>
  <w:endnote w:type="continuationSeparator" w:id="0">
    <w:p w14:paraId="524F1339" w14:textId="77777777" w:rsidR="00F46373" w:rsidRDefault="00F46373" w:rsidP="008A6B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ECB65" w14:textId="77777777" w:rsidR="00F46373" w:rsidRDefault="00F46373" w:rsidP="008A6BC4">
      <w:pPr>
        <w:spacing w:line="240" w:lineRule="auto"/>
      </w:pPr>
      <w:r>
        <w:separator/>
      </w:r>
    </w:p>
  </w:footnote>
  <w:footnote w:type="continuationSeparator" w:id="0">
    <w:p w14:paraId="1D214219" w14:textId="77777777" w:rsidR="00F46373" w:rsidRDefault="00F46373" w:rsidP="008A6BC4">
      <w:pPr>
        <w:spacing w:line="240" w:lineRule="auto"/>
      </w:pPr>
      <w:r>
        <w:continuationSeparator/>
      </w:r>
    </w:p>
  </w:footnote>
  <w:footnote w:id="1">
    <w:p w14:paraId="40C365C4" w14:textId="22109951" w:rsidR="00D44186" w:rsidRDefault="00D44186" w:rsidP="00D44186">
      <w:pPr>
        <w:pStyle w:val="Voetnoottekst"/>
      </w:pPr>
      <w:bookmarkStart w:id="2" w:name="_Hlk202360215"/>
      <w:r w:rsidRPr="000A1FBB">
        <w:rPr>
          <w:rStyle w:val="Voetnootmarkering"/>
          <w:sz w:val="16"/>
          <w:szCs w:val="16"/>
        </w:rPr>
        <w:footnoteRef/>
      </w:r>
      <w:r w:rsidRPr="000A1FBB">
        <w:rPr>
          <w:sz w:val="16"/>
          <w:szCs w:val="16"/>
        </w:rPr>
        <w:t xml:space="preserve"> </w:t>
      </w:r>
      <w:r w:rsidRPr="00C77078">
        <w:rPr>
          <w:sz w:val="16"/>
          <w:szCs w:val="16"/>
        </w:rPr>
        <w:t xml:space="preserve">Kamerstuk </w:t>
      </w:r>
      <w:r>
        <w:rPr>
          <w:sz w:val="16"/>
          <w:szCs w:val="16"/>
        </w:rPr>
        <w:t>32</w:t>
      </w:r>
      <w:r w:rsidRPr="00C77078">
        <w:rPr>
          <w:sz w:val="16"/>
          <w:szCs w:val="16"/>
        </w:rPr>
        <w:t xml:space="preserve"> </w:t>
      </w:r>
      <w:r>
        <w:rPr>
          <w:sz w:val="16"/>
          <w:szCs w:val="16"/>
        </w:rPr>
        <w:t>317,</w:t>
      </w:r>
      <w:r w:rsidRPr="00C77078">
        <w:rPr>
          <w:sz w:val="16"/>
          <w:szCs w:val="16"/>
        </w:rPr>
        <w:t xml:space="preserve"> nr. </w:t>
      </w:r>
      <w:r>
        <w:rPr>
          <w:sz w:val="16"/>
          <w:szCs w:val="16"/>
        </w:rPr>
        <w:t>962</w:t>
      </w:r>
      <w:r w:rsidRPr="00C77078">
        <w:rPr>
          <w:sz w:val="16"/>
          <w:szCs w:val="16"/>
        </w:rPr>
        <w:t>.</w:t>
      </w:r>
      <w:bookmarkEnd w:id="2"/>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B3"/>
    <w:rsid w:val="00010C93"/>
    <w:rsid w:val="000E06C1"/>
    <w:rsid w:val="000E39F8"/>
    <w:rsid w:val="000E47CD"/>
    <w:rsid w:val="0026637A"/>
    <w:rsid w:val="002D7B3F"/>
    <w:rsid w:val="00351145"/>
    <w:rsid w:val="003770F3"/>
    <w:rsid w:val="00397F56"/>
    <w:rsid w:val="003D56B3"/>
    <w:rsid w:val="00422089"/>
    <w:rsid w:val="0045487E"/>
    <w:rsid w:val="0047350A"/>
    <w:rsid w:val="005456F0"/>
    <w:rsid w:val="00664967"/>
    <w:rsid w:val="006B5A9D"/>
    <w:rsid w:val="00786ED2"/>
    <w:rsid w:val="008005F6"/>
    <w:rsid w:val="008471AC"/>
    <w:rsid w:val="00891E7E"/>
    <w:rsid w:val="008A6BC4"/>
    <w:rsid w:val="00A025C5"/>
    <w:rsid w:val="00A5410E"/>
    <w:rsid w:val="00AF0234"/>
    <w:rsid w:val="00BC3B44"/>
    <w:rsid w:val="00BD4753"/>
    <w:rsid w:val="00CC4C15"/>
    <w:rsid w:val="00CF3D25"/>
    <w:rsid w:val="00D44186"/>
    <w:rsid w:val="00DC66A5"/>
    <w:rsid w:val="00E87FF1"/>
    <w:rsid w:val="00EA5733"/>
    <w:rsid w:val="00F46373"/>
    <w:rsid w:val="00FA1408"/>
    <w:rsid w:val="00FA6A46"/>
    <w:rsid w:val="00FB1860"/>
    <w:rsid w:val="00FF5A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F988"/>
  <w15:chartTrackingRefBased/>
  <w15:docId w15:val="{A54C3794-D906-4E80-99FF-3890CEE2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56B3"/>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45487E"/>
    <w:pPr>
      <w:spacing w:after="0" w:line="240" w:lineRule="auto"/>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A6BC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A6BC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A6BC4"/>
    <w:rPr>
      <w:vertAlign w:val="superscript"/>
    </w:rPr>
  </w:style>
  <w:style w:type="character" w:styleId="Hyperlink">
    <w:name w:val="Hyperlink"/>
    <w:basedOn w:val="Standaardalinea-lettertype"/>
    <w:uiPriority w:val="99"/>
    <w:unhideWhenUsed/>
    <w:rsid w:val="008A6BC4"/>
    <w:rPr>
      <w:color w:val="467886" w:themeColor="hyperlink"/>
      <w:u w:val="single"/>
    </w:rPr>
  </w:style>
  <w:style w:type="character" w:styleId="Onopgelostemelding">
    <w:name w:val="Unresolved Mention"/>
    <w:basedOn w:val="Standaardalinea-lettertype"/>
    <w:uiPriority w:val="99"/>
    <w:semiHidden/>
    <w:unhideWhenUsed/>
    <w:rsid w:val="008A6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777</ap:Words>
  <ap:Characters>4275</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2025-07-03T14:11:00.0000000Z</lastPrinted>
  <dcterms:created xsi:type="dcterms:W3CDTF">2025-07-04T08:56:00.0000000Z</dcterms:created>
  <dcterms:modified xsi:type="dcterms:W3CDTF">2025-07-04T08:56:00.0000000Z</dcterms:modified>
  <version/>
  <category/>
</coreProperties>
</file>