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278" w:rsidP="00D15278" w:rsidRDefault="00D15278" w14:paraId="46F24A5E" w14:textId="68A0B9A3">
      <w:r>
        <w:t>AH 2620</w:t>
      </w:r>
    </w:p>
    <w:p w:rsidR="00D15278" w:rsidP="00D15278" w:rsidRDefault="00D15278" w14:paraId="574B86D9" w14:textId="3EB00914">
      <w:r>
        <w:t>2025Z11863</w:t>
      </w:r>
    </w:p>
    <w:p w:rsidR="00D15278" w:rsidP="00D15278" w:rsidRDefault="00D15278" w14:paraId="302120C4" w14:textId="1DDA8622">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 xml:space="preserve">Struycken </w:t>
      </w:r>
      <w:r w:rsidRPr="00A71055">
        <w:rPr>
          <w:rFonts w:ascii="Times New Roman" w:hAnsi="Times New Roman"/>
          <w:bCs/>
          <w:sz w:val="24"/>
          <w:szCs w:val="24"/>
        </w:rPr>
        <w:t>(Justitie en Veiligheid) (ontvangen</w:t>
      </w:r>
      <w:r>
        <w:rPr>
          <w:rFonts w:ascii="Times New Roman" w:hAnsi="Times New Roman"/>
          <w:bCs/>
          <w:sz w:val="24"/>
          <w:szCs w:val="24"/>
        </w:rPr>
        <w:t xml:space="preserve"> 4 juli 2025)</w:t>
      </w:r>
    </w:p>
    <w:p w:rsidR="00D15278" w:rsidP="00D15278" w:rsidRDefault="00D15278" w14:paraId="575D081F" w14:textId="4FAD0109">
      <w:pPr>
        <w:rPr>
          <w:rFonts w:ascii="Times New Roman" w:hAnsi="Times New Roman"/>
          <w:bCs/>
          <w:sz w:val="24"/>
          <w:szCs w:val="24"/>
        </w:rPr>
      </w:pPr>
      <w:r w:rsidRPr="00D15278">
        <w:rPr>
          <w:rFonts w:ascii="Times New Roman" w:hAnsi="Times New Roman"/>
          <w:bCs/>
          <w:sz w:val="24"/>
          <w:szCs w:val="24"/>
        </w:rPr>
        <w:t>Zie ook Aanhangsel Handelingen, vergaderjaar 2024-2025, nr.</w:t>
      </w:r>
      <w:r>
        <w:rPr>
          <w:rFonts w:ascii="Times New Roman" w:hAnsi="Times New Roman"/>
          <w:bCs/>
          <w:sz w:val="24"/>
          <w:szCs w:val="24"/>
        </w:rPr>
        <w:t xml:space="preserve"> 2614</w:t>
      </w:r>
    </w:p>
    <w:p w:rsidRPr="00D15278" w:rsidR="00D15278" w:rsidP="00D15278" w:rsidRDefault="00D15278" w14:paraId="13D40309" w14:textId="77777777">
      <w:pPr>
        <w:rPr>
          <w:rFonts w:ascii="Times New Roman" w:hAnsi="Times New Roman"/>
          <w:bCs/>
          <w:sz w:val="24"/>
          <w:szCs w:val="24"/>
        </w:rPr>
      </w:pPr>
    </w:p>
    <w:p w:rsidRPr="00C729F0" w:rsidR="00D15278" w:rsidP="00D15278" w:rsidRDefault="00D15278" w14:paraId="581BDAD4" w14:textId="77777777">
      <w:r w:rsidRPr="00C729F0">
        <w:rPr>
          <w:b/>
          <w:bCs/>
        </w:rPr>
        <w:t>Vraag 1</w:t>
      </w:r>
      <w:r w:rsidRPr="00C729F0">
        <w:rPr>
          <w:b/>
          <w:bCs/>
        </w:rPr>
        <w:br/>
        <w:t>Waarom is in vijf van de zes gevallen van een verdenking van een zedendelict geen vervolging ingesteld? Betrof dit een gebrek aan bewijs, een sepotbeslissing op andere gronden of is sprake geweest van een andere afweging?</w:t>
      </w:r>
      <w:r w:rsidRPr="00C729F0">
        <w:t xml:space="preserve"> </w:t>
      </w:r>
    </w:p>
    <w:p w:rsidRPr="00C729F0" w:rsidR="00D15278" w:rsidP="00D15278" w:rsidRDefault="00D15278" w14:paraId="3FA6D952" w14:textId="77777777">
      <w:pPr>
        <w:rPr>
          <w:b/>
          <w:bCs/>
        </w:rPr>
      </w:pPr>
    </w:p>
    <w:p w:rsidRPr="00C729F0" w:rsidR="00D15278" w:rsidP="00D15278" w:rsidRDefault="00D15278" w14:paraId="7EEC049D" w14:textId="77777777">
      <w:r w:rsidRPr="00C729F0">
        <w:rPr>
          <w:b/>
          <w:bCs/>
        </w:rPr>
        <w:t>Antwoord op vraag 1</w:t>
      </w:r>
    </w:p>
    <w:p w:rsidRPr="00C729F0" w:rsidR="00D15278" w:rsidP="00D15278" w:rsidRDefault="00D15278" w14:paraId="3F79F578" w14:textId="77777777">
      <w:r w:rsidRPr="00C729F0">
        <w:t>In lijn met het opportuniteitsbeginsel beslist het Openbaar Ministerie (OM) te allen tijde zelf of wordt overgegaan tot de vervolging van een strafbaar feit. Het is dan ook niet aan mij om in te gaan op de afwegingen die het OM in individuele gevallen maakt en de uitkomsten van deze afwegingen.  In het algemeen kan het OM afzien van vervolging indien op grond van het onderzoek geconcludeerd moet worden dat niet vervolgd kan worden omdat een veroordeling niet haalbaar is (technisch sepot) of indien een vervolging (technisch) mogelijk is, maar op gronden aan het algemeen belang ontleend onwenselijk is (beleidssepot). In de vijf gevallen waarbij er sprake was van een verdenking van een zedendelict en geen vervolging is ingesteld, ging het om technisch sepots.</w:t>
      </w:r>
    </w:p>
    <w:p w:rsidRPr="00C729F0" w:rsidR="00D15278" w:rsidP="00D15278" w:rsidRDefault="00D15278" w14:paraId="44CACEF1" w14:textId="77777777">
      <w:pPr>
        <w:rPr>
          <w:b/>
          <w:bCs/>
        </w:rPr>
      </w:pPr>
    </w:p>
    <w:p w:rsidRPr="00C729F0" w:rsidR="00D15278" w:rsidP="00D15278" w:rsidRDefault="00D15278" w14:paraId="3371BEEE" w14:textId="77777777">
      <w:r w:rsidRPr="00C729F0">
        <w:rPr>
          <w:b/>
          <w:bCs/>
        </w:rPr>
        <w:t>Vraag 2</w:t>
      </w:r>
      <w:r w:rsidRPr="00C729F0">
        <w:rPr>
          <w:b/>
          <w:bCs/>
        </w:rPr>
        <w:br/>
        <w:t>Zijn ouders van kinderen die in opvang zaten op een locatie waar een medewerker verdacht is (geweest) van een zedenmisdrijf geïnformeerd over deze verdenking, zodat zij het gedrag van hun kinderen actief konden monitoren op mogelijke aanwijzingen van slachtofferschap? Zo nee, waarom niet?</w:t>
      </w:r>
    </w:p>
    <w:p w:rsidRPr="00C729F0" w:rsidR="00D15278" w:rsidP="00D15278" w:rsidRDefault="00D15278" w14:paraId="2DB67FF6" w14:textId="77777777">
      <w:pPr>
        <w:rPr>
          <w:b/>
          <w:bCs/>
        </w:rPr>
      </w:pPr>
    </w:p>
    <w:p w:rsidRPr="00C729F0" w:rsidR="00D15278" w:rsidP="00D15278" w:rsidRDefault="00D15278" w14:paraId="4D57CF7E" w14:textId="77777777">
      <w:pPr>
        <w:rPr>
          <w:b/>
          <w:bCs/>
        </w:rPr>
      </w:pPr>
      <w:r w:rsidRPr="00C729F0">
        <w:rPr>
          <w:b/>
          <w:bCs/>
        </w:rPr>
        <w:t>Antwoord op vraag 2</w:t>
      </w:r>
    </w:p>
    <w:p w:rsidRPr="00C729F0" w:rsidR="00D15278" w:rsidP="00D15278" w:rsidRDefault="00D15278" w14:paraId="3CBFE76B" w14:textId="77777777">
      <w:r w:rsidRPr="00C729F0">
        <w:t>Zoals in mijn Kamerbrief van 6 juni jl. is toegelicht, heeft de Justitiële Informatiedienst (</w:t>
      </w:r>
      <w:proofErr w:type="spellStart"/>
      <w:r w:rsidRPr="00C729F0">
        <w:t>Justid</w:t>
      </w:r>
      <w:proofErr w:type="spellEnd"/>
      <w:r w:rsidRPr="00C729F0">
        <w:t xml:space="preserve">) in de periode 2018-2025 drie signalen over personen die werkzaam zijn in de kinderopvang gerelateerd aan zedenzaken niet doorgezet naar </w:t>
      </w:r>
      <w:proofErr w:type="spellStart"/>
      <w:r w:rsidRPr="00C729F0">
        <w:t>Justis</w:t>
      </w:r>
      <w:proofErr w:type="spellEnd"/>
      <w:r w:rsidRPr="00C729F0">
        <w:t xml:space="preserve">. </w:t>
      </w:r>
      <w:proofErr w:type="spellStart"/>
      <w:r w:rsidRPr="00C729F0">
        <w:t>Justis</w:t>
      </w:r>
      <w:proofErr w:type="spellEnd"/>
      <w:r w:rsidRPr="00C729F0">
        <w:t xml:space="preserve"> heeft onderzocht of deze personen op basis van het signaal een risico vormden voor de uitoefening van hun functie en heeft geconcludeerd dat dit niet het geval is. </w:t>
      </w:r>
      <w:proofErr w:type="spellStart"/>
      <w:r w:rsidRPr="00C729F0">
        <w:t>Justis</w:t>
      </w:r>
      <w:proofErr w:type="spellEnd"/>
      <w:r w:rsidRPr="00C729F0">
        <w:t xml:space="preserve"> heeft daarom geen kennisgeving verstuurd aan de Dienst </w:t>
      </w:r>
      <w:r w:rsidRPr="00C729F0">
        <w:lastRenderedPageBreak/>
        <w:t>Uitvoering Onderwijs (DUO).</w:t>
      </w:r>
      <w:r w:rsidRPr="00C729F0">
        <w:rPr>
          <w:rStyle w:val="Voetnootmarkering"/>
        </w:rPr>
        <w:footnoteReference w:id="1"/>
      </w:r>
      <w:r w:rsidRPr="00C729F0">
        <w:t xml:space="preserve"> Dit betekent dat andere partijen niet zijn geïnformeerd over de betreffende personen.</w:t>
      </w:r>
    </w:p>
    <w:p w:rsidRPr="00C729F0" w:rsidR="00D15278" w:rsidP="00D15278" w:rsidRDefault="00D15278" w14:paraId="291DDB20" w14:textId="77777777"/>
    <w:p w:rsidRPr="00C729F0" w:rsidR="00D15278" w:rsidP="00D15278" w:rsidRDefault="00D15278" w14:paraId="796C19A3" w14:textId="77777777">
      <w:r w:rsidRPr="00C729F0">
        <w:rPr>
          <w:b/>
          <w:bCs/>
        </w:rPr>
        <w:t>Vraag 3</w:t>
      </w:r>
      <w:r w:rsidRPr="00C729F0">
        <w:rPr>
          <w:b/>
          <w:bCs/>
        </w:rPr>
        <w:br/>
        <w:t>Kunt u concreet aangeven welke soorten overtredingen en misdrijven leiden tot het weigeren of intrekken van een Verklaring Omtrent het Gedrag (VOG) in de context van de kinderopvang?</w:t>
      </w:r>
    </w:p>
    <w:p w:rsidRPr="00C729F0" w:rsidR="00D15278" w:rsidP="00D15278" w:rsidRDefault="00D15278" w14:paraId="43207933" w14:textId="77777777">
      <w:pPr>
        <w:rPr>
          <w:b/>
          <w:bCs/>
        </w:rPr>
      </w:pPr>
    </w:p>
    <w:p w:rsidR="00D15278" w:rsidP="00D15278" w:rsidRDefault="00D15278" w14:paraId="4FD68473" w14:textId="77777777">
      <w:pPr>
        <w:rPr>
          <w:b/>
          <w:bCs/>
        </w:rPr>
      </w:pPr>
    </w:p>
    <w:p w:rsidR="00D15278" w:rsidP="00D15278" w:rsidRDefault="00D15278" w14:paraId="73A41155" w14:textId="77777777">
      <w:pPr>
        <w:rPr>
          <w:b/>
          <w:bCs/>
        </w:rPr>
      </w:pPr>
    </w:p>
    <w:p w:rsidR="00D15278" w:rsidP="00D15278" w:rsidRDefault="00D15278" w14:paraId="7839D6BF" w14:textId="77777777">
      <w:pPr>
        <w:rPr>
          <w:b/>
          <w:bCs/>
        </w:rPr>
      </w:pPr>
    </w:p>
    <w:p w:rsidR="00D15278" w:rsidP="00D15278" w:rsidRDefault="00D15278" w14:paraId="5DF05ABE" w14:textId="77777777">
      <w:pPr>
        <w:rPr>
          <w:b/>
          <w:bCs/>
        </w:rPr>
      </w:pPr>
    </w:p>
    <w:p w:rsidR="00D15278" w:rsidP="00D15278" w:rsidRDefault="00D15278" w14:paraId="68D60084" w14:textId="77777777">
      <w:pPr>
        <w:rPr>
          <w:b/>
          <w:bCs/>
        </w:rPr>
      </w:pPr>
    </w:p>
    <w:p w:rsidRPr="00C729F0" w:rsidR="00D15278" w:rsidP="00D15278" w:rsidRDefault="00D15278" w14:paraId="74DEAB74" w14:textId="77777777">
      <w:pPr>
        <w:rPr>
          <w:b/>
          <w:bCs/>
        </w:rPr>
      </w:pPr>
      <w:r w:rsidRPr="00C729F0">
        <w:rPr>
          <w:b/>
          <w:bCs/>
        </w:rPr>
        <w:t>Antwoord op vraag 3</w:t>
      </w:r>
    </w:p>
    <w:p w:rsidRPr="00C729F0" w:rsidR="00D15278" w:rsidP="00D15278" w:rsidRDefault="00D15278" w14:paraId="1D6489BD" w14:textId="77777777">
      <w:r w:rsidRPr="00C729F0">
        <w:t xml:space="preserve">In de kinderopvang wordt gewerkt met een kwetsbare groep die zo goed mogelijk beschermd moet worden. De personen die werkzaam zijn in de kinderopvang zijn belast met de zorg en het welzijn van kinderen. Ook hebben zij een voorbeeldfunctie en kunnen zij invloed uitoefenen op de aan hen toevertrouwden door middel van hun gedragingen. </w:t>
      </w:r>
    </w:p>
    <w:p w:rsidRPr="00C729F0" w:rsidR="00D15278" w:rsidP="00D15278" w:rsidRDefault="00D15278" w14:paraId="3504D03B" w14:textId="77777777"/>
    <w:p w:rsidRPr="00C729F0" w:rsidR="00D15278" w:rsidP="00D15278" w:rsidRDefault="00D15278" w14:paraId="14B54698" w14:textId="77777777">
      <w:proofErr w:type="spellStart"/>
      <w:r w:rsidRPr="00C729F0">
        <w:t>Justis</w:t>
      </w:r>
      <w:proofErr w:type="spellEnd"/>
      <w:r w:rsidRPr="00C729F0">
        <w:t xml:space="preserve"> beoordeelt het risico voor de samenleving van het strafrechtelijk verleden in verband met het doel waarvoor de VOG wordt gevraagd.  Daarbij betrekt </w:t>
      </w:r>
      <w:proofErr w:type="spellStart"/>
      <w:r w:rsidRPr="00C729F0">
        <w:t>Justis</w:t>
      </w:r>
      <w:proofErr w:type="spellEnd"/>
      <w:r w:rsidRPr="00C729F0">
        <w:t xml:space="preserve"> ook de omstandigheden van het geval, waaronder het tijdsverloop na het delict, de afdoening van het delict en het belang van de aanvrager. Dat maakt elke beoordeling van een VOG-aanvraag maatwerk. Een seksueel misdrijf leidt in beginsel tot het weigeren van de afgifte van een VOG voor het werken met kinderen. Er geldt hiervoor een verscherpt toetsingskader. De VOG kan in deze gevallen enkel worden afgegeven indien de weigering van de VOG evident disproportioneel is. Ook gewelds- en vermogensdelicten en overtredingen van de Opiumwet of machtsmisbruik, zoals afpersing en chantage, kunnen een gevaar vormen voor de veiligheid in de kinderopvang. Daarom weegt </w:t>
      </w:r>
      <w:proofErr w:type="spellStart"/>
      <w:r w:rsidRPr="00C729F0">
        <w:t>Justis</w:t>
      </w:r>
      <w:proofErr w:type="spellEnd"/>
      <w:r w:rsidRPr="00C729F0">
        <w:t xml:space="preserve"> deze feiten zwaar mee in de beoordeling.</w:t>
      </w:r>
    </w:p>
    <w:p w:rsidRPr="00C729F0" w:rsidR="00D15278" w:rsidP="00D15278" w:rsidRDefault="00D15278" w14:paraId="096202EC" w14:textId="77777777"/>
    <w:p w:rsidRPr="00C729F0" w:rsidR="00D15278" w:rsidP="00D15278" w:rsidRDefault="00D15278" w14:paraId="1016D913" w14:textId="77777777">
      <w:r w:rsidRPr="00C729F0">
        <w:rPr>
          <w:b/>
          <w:bCs/>
        </w:rPr>
        <w:lastRenderedPageBreak/>
        <w:t>Vraag 4</w:t>
      </w:r>
      <w:r w:rsidRPr="00C729F0">
        <w:rPr>
          <w:b/>
          <w:bCs/>
        </w:rPr>
        <w:br/>
        <w:t>In het ene geval waarin een vervolging voor een zedenmisdrijf in de taxibranche heeft plaatsgevonden: is dit zedendelict gepleegd tijdens de werkzaamheden in de taxibranche, jegens een klant of in een andere context?</w:t>
      </w:r>
    </w:p>
    <w:p w:rsidRPr="00C729F0" w:rsidR="00D15278" w:rsidP="00D15278" w:rsidRDefault="00D15278" w14:paraId="5792705D" w14:textId="77777777"/>
    <w:p w:rsidRPr="00C729F0" w:rsidR="00D15278" w:rsidP="00D15278" w:rsidRDefault="00D15278" w14:paraId="27ED7E0C" w14:textId="77777777">
      <w:r w:rsidRPr="00C729F0">
        <w:rPr>
          <w:b/>
          <w:bCs/>
        </w:rPr>
        <w:t>Antwoord op vraag 4</w:t>
      </w:r>
      <w:r w:rsidRPr="00C729F0">
        <w:br/>
        <w:t>Vanwege de bescherming van de persoonlijke levenssfeer van betrokkene kan ik niet ingaan op individuele casuïstiek. In het algemeen kan ik aangeven dat in de VOG-beoordeling wordt onderzocht in welke context het delict gepleegd is en dat er in de beoordeling zwaar gewicht wordt toegekend aan delicten gepleegd in de functie en/of context waarvoor een VOG wordt aangevraagd.</w:t>
      </w:r>
    </w:p>
    <w:p w:rsidRPr="00C729F0" w:rsidR="00D15278" w:rsidP="00D15278" w:rsidRDefault="00D15278" w14:paraId="5D09592A" w14:textId="77777777"/>
    <w:p w:rsidRPr="00C729F0" w:rsidR="00D15278" w:rsidP="00D15278" w:rsidRDefault="00D15278" w14:paraId="4AAE930C" w14:textId="77777777">
      <w:bookmarkStart w:name="_Hlk200638359" w:id="0"/>
      <w:r w:rsidRPr="00C729F0">
        <w:rPr>
          <w:b/>
          <w:bCs/>
        </w:rPr>
        <w:t>Vraag 5</w:t>
      </w:r>
      <w:r w:rsidRPr="00C729F0">
        <w:rPr>
          <w:b/>
          <w:bCs/>
        </w:rPr>
        <w:br/>
        <w:t xml:space="preserve">Zijn de 477 personen die mogelijk nog werkzaam zijn in de kinderopvang of taxibranche inmiddels allemaal gescreend op relevante antecedenten, </w:t>
      </w:r>
      <w:bookmarkStart w:name="_Hlk200638343" w:id="1"/>
      <w:r w:rsidRPr="00C729F0">
        <w:rPr>
          <w:b/>
          <w:bCs/>
        </w:rPr>
        <w:t>en zo ja, zijn werkrelaties, ouders en/of cliënten van deze personen op de hoogte gesteld van mogelijke risico’s?</w:t>
      </w:r>
      <w:bookmarkEnd w:id="0"/>
      <w:bookmarkEnd w:id="1"/>
    </w:p>
    <w:p w:rsidRPr="00C729F0" w:rsidR="00D15278" w:rsidP="00D15278" w:rsidRDefault="00D15278" w14:paraId="264C17B1" w14:textId="77777777">
      <w:pPr>
        <w:rPr>
          <w:b/>
          <w:bCs/>
        </w:rPr>
      </w:pPr>
    </w:p>
    <w:p w:rsidR="00D15278" w:rsidP="00D15278" w:rsidRDefault="00D15278" w14:paraId="50359D18" w14:textId="77777777">
      <w:pPr>
        <w:rPr>
          <w:b/>
          <w:bCs/>
        </w:rPr>
      </w:pPr>
    </w:p>
    <w:p w:rsidR="00D15278" w:rsidP="00D15278" w:rsidRDefault="00D15278" w14:paraId="33D8799C" w14:textId="77777777">
      <w:pPr>
        <w:rPr>
          <w:b/>
          <w:bCs/>
        </w:rPr>
      </w:pPr>
    </w:p>
    <w:p w:rsidR="00D15278" w:rsidP="00D15278" w:rsidRDefault="00D15278" w14:paraId="12BE31FD" w14:textId="77777777">
      <w:pPr>
        <w:rPr>
          <w:b/>
          <w:bCs/>
        </w:rPr>
      </w:pPr>
    </w:p>
    <w:p w:rsidR="00D15278" w:rsidP="00D15278" w:rsidRDefault="00D15278" w14:paraId="259061FF" w14:textId="77777777">
      <w:pPr>
        <w:rPr>
          <w:b/>
          <w:bCs/>
        </w:rPr>
      </w:pPr>
    </w:p>
    <w:p w:rsidR="00D15278" w:rsidP="00D15278" w:rsidRDefault="00D15278" w14:paraId="2F0C381F" w14:textId="77777777">
      <w:pPr>
        <w:rPr>
          <w:b/>
          <w:bCs/>
        </w:rPr>
      </w:pPr>
    </w:p>
    <w:p w:rsidR="00D15278" w:rsidP="00D15278" w:rsidRDefault="00D15278" w14:paraId="02D1D7DB" w14:textId="77777777">
      <w:pPr>
        <w:rPr>
          <w:b/>
          <w:bCs/>
        </w:rPr>
      </w:pPr>
    </w:p>
    <w:p w:rsidR="00D15278" w:rsidP="00D15278" w:rsidRDefault="00D15278" w14:paraId="475290D3" w14:textId="77777777">
      <w:pPr>
        <w:rPr>
          <w:b/>
          <w:bCs/>
        </w:rPr>
      </w:pPr>
    </w:p>
    <w:p w:rsidR="00D15278" w:rsidP="00D15278" w:rsidRDefault="00D15278" w14:paraId="458AC532" w14:textId="77777777">
      <w:pPr>
        <w:rPr>
          <w:b/>
          <w:bCs/>
        </w:rPr>
      </w:pPr>
    </w:p>
    <w:p w:rsidR="00D15278" w:rsidP="00D15278" w:rsidRDefault="00D15278" w14:paraId="77BBF823" w14:textId="77777777">
      <w:pPr>
        <w:rPr>
          <w:b/>
          <w:bCs/>
        </w:rPr>
      </w:pPr>
    </w:p>
    <w:p w:rsidR="00D15278" w:rsidP="00D15278" w:rsidRDefault="00D15278" w14:paraId="012B42EA" w14:textId="77777777">
      <w:pPr>
        <w:rPr>
          <w:b/>
          <w:bCs/>
        </w:rPr>
      </w:pPr>
    </w:p>
    <w:p w:rsidR="00D15278" w:rsidP="00D15278" w:rsidRDefault="00D15278" w14:paraId="73B2C992" w14:textId="77777777">
      <w:pPr>
        <w:rPr>
          <w:b/>
          <w:bCs/>
        </w:rPr>
      </w:pPr>
    </w:p>
    <w:p w:rsidR="00D15278" w:rsidP="00D15278" w:rsidRDefault="00D15278" w14:paraId="2CEBD995" w14:textId="77777777">
      <w:pPr>
        <w:rPr>
          <w:b/>
          <w:bCs/>
        </w:rPr>
      </w:pPr>
    </w:p>
    <w:p w:rsidRPr="00C729F0" w:rsidR="00D15278" w:rsidP="00D15278" w:rsidRDefault="00D15278" w14:paraId="6F06EB96" w14:textId="77777777">
      <w:r w:rsidRPr="00C729F0">
        <w:rPr>
          <w:b/>
          <w:bCs/>
        </w:rPr>
        <w:t>Antwoord op vraag 5</w:t>
      </w:r>
      <w:r w:rsidRPr="00C729F0">
        <w:br/>
        <w:t xml:space="preserve">Alle personen die mogelijk nog werkzaam zijn in de kinderopvang en de taxibranche </w:t>
      </w:r>
      <w:r w:rsidRPr="00C729F0">
        <w:lastRenderedPageBreak/>
        <w:t xml:space="preserve">zijn inmiddels gescreend door </w:t>
      </w:r>
      <w:proofErr w:type="spellStart"/>
      <w:r w:rsidRPr="00C729F0">
        <w:t>Justis</w:t>
      </w:r>
      <w:proofErr w:type="spellEnd"/>
      <w:r w:rsidRPr="00C729F0">
        <w:t>. Voor nadere informatie over de herbeoordeling en de aantallen verwijs ik u graag naar mijn brief van 24 juni jl.</w:t>
      </w:r>
      <w:r w:rsidRPr="00C729F0">
        <w:rPr>
          <w:rStyle w:val="Voetnootmarkering"/>
        </w:rPr>
        <w:footnoteReference w:id="2"/>
      </w:r>
      <w:r w:rsidRPr="00C729F0">
        <w:t xml:space="preserve"> </w:t>
      </w:r>
    </w:p>
    <w:p w:rsidRPr="00C729F0" w:rsidR="00D15278" w:rsidP="00D15278" w:rsidRDefault="00D15278" w14:paraId="7788DE1D" w14:textId="77777777"/>
    <w:p w:rsidRPr="00C729F0" w:rsidR="00D15278" w:rsidP="00D15278" w:rsidRDefault="00D15278" w14:paraId="58BDEBDB" w14:textId="77777777">
      <w:r w:rsidRPr="00C729F0">
        <w:t xml:space="preserve">In de kinderopvang is het proces continue screening gevolgd conform de </w:t>
      </w:r>
      <w:hyperlink w:history="1" r:id="rId6">
        <w:r w:rsidRPr="00C729F0">
          <w:rPr>
            <w:rStyle w:val="Hyperlink"/>
          </w:rPr>
          <w:t>Handleiding continue screening kinderopvang</w:t>
        </w:r>
      </w:hyperlink>
      <w:r w:rsidRPr="00C729F0">
        <w:t>. In vijf gevallen heeft dit geleid tot een kennisgeving. Alle partijen in de keten zijn geïnformeerd over deze signalen. Dit betreft DUO, Gemeentelijke Gezondheidsdiensten (</w:t>
      </w:r>
      <w:proofErr w:type="spellStart"/>
      <w:r w:rsidRPr="00C729F0">
        <w:t>GGD’en</w:t>
      </w:r>
      <w:proofErr w:type="spellEnd"/>
      <w:r w:rsidRPr="00C729F0">
        <w:t xml:space="preserve">), gemeenten en houders van een kinderopvanglocatie. Bij de vijf gevallen hebben houders en/of gastouderbureaus vervolgens gepaste actie ondernomen. Dit kan betekenen dat de betreffende personen op non-actief zijn gezet, de toegang is ontzegd of dat de gastouderopvang op verzoek van het gastouderbureau is gestaakt totdat een nieuwe VOG kan worden verstrekt. </w:t>
      </w:r>
    </w:p>
    <w:p w:rsidRPr="00C729F0" w:rsidR="00D15278" w:rsidP="00D15278" w:rsidRDefault="00D15278" w14:paraId="090E0B00" w14:textId="77777777">
      <w:r w:rsidRPr="00C729F0">
        <w:t xml:space="preserve">Het is aan houders van een kinderopvanglocatie om ouders te informeren, zodra duidelijk is dat een persoon geen nieuwe VOG krijgt en wordt ontslagen of de relatie tussen het gastouderbureau en de gastouder officieel wordt beëindigd. Wanneer en hoe dit wordt gedaan is aan de houder om af te wegen.  </w:t>
      </w:r>
    </w:p>
    <w:p w:rsidRPr="00C729F0" w:rsidR="00D15278" w:rsidP="00D15278" w:rsidRDefault="00D15278" w14:paraId="7AC8BBB0" w14:textId="77777777"/>
    <w:p w:rsidRPr="00C729F0" w:rsidR="00D15278" w:rsidP="00D15278" w:rsidRDefault="00D15278" w14:paraId="01D55417" w14:textId="77777777">
      <w:bookmarkStart w:name="_Hlk201913922" w:id="2"/>
      <w:proofErr w:type="spellStart"/>
      <w:r w:rsidRPr="00C729F0">
        <w:t>Justis</w:t>
      </w:r>
      <w:proofErr w:type="spellEnd"/>
      <w:r w:rsidRPr="00C729F0">
        <w:t xml:space="preserve"> heeft voor negen chauffeurs in de taxibranche een signaal verstuurd aan de Inspectie Leefomgeving en Transport (ILT). De ILT heeft deze signalen doorgezet aan Kiwa Register, waarop Kiwa Register deze chauffeurs heeft verzocht om een nieuwe VOG aan te vragen. Als de VOG niet verleend wordt, wordt de chauffeurskaart van deze persoon ingetrokken. Iedere taxi moet beschikken over een boardcomputer. Voor bediening hiervan is de chauffeurskaart nodig. Als de chauffeurskaart is ingetrokken, kan de betreffende chauffeur niet meer werken in de taxibranche. Wanneer de ILT informatie heeft over de werkgever van de chauffeur, dan wordt deze geïnformeerd. </w:t>
      </w:r>
    </w:p>
    <w:p w:rsidRPr="00C729F0" w:rsidR="00D15278" w:rsidP="00D15278" w:rsidRDefault="00D15278" w14:paraId="7007A149" w14:textId="77777777"/>
    <w:p w:rsidRPr="00C729F0" w:rsidR="00D15278" w:rsidP="00D15278" w:rsidRDefault="00D15278" w14:paraId="6FC370CB" w14:textId="77777777"/>
    <w:bookmarkEnd w:id="2"/>
    <w:p w:rsidRPr="00C729F0" w:rsidR="00D15278" w:rsidP="00D15278" w:rsidRDefault="00D15278" w14:paraId="37CB15A8" w14:textId="77777777"/>
    <w:p w:rsidR="003174C9" w:rsidRDefault="003174C9" w14:paraId="050A95E4" w14:textId="77777777"/>
    <w:sectPr w:rsidR="003174C9" w:rsidSect="00D15278">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C555" w14:textId="77777777" w:rsidR="00D15278" w:rsidRDefault="00D15278" w:rsidP="00D15278">
      <w:pPr>
        <w:spacing w:after="0" w:line="240" w:lineRule="auto"/>
      </w:pPr>
      <w:r>
        <w:separator/>
      </w:r>
    </w:p>
  </w:endnote>
  <w:endnote w:type="continuationSeparator" w:id="0">
    <w:p w14:paraId="2555E36F" w14:textId="77777777" w:rsidR="00D15278" w:rsidRDefault="00D15278" w:rsidP="00D1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D1C0" w14:textId="77777777" w:rsidR="00D15278" w:rsidRPr="00D15278" w:rsidRDefault="00D15278" w:rsidP="00D152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7E1F" w14:textId="77777777" w:rsidR="00D15278" w:rsidRPr="00D15278" w:rsidRDefault="00D15278" w:rsidP="00D152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3361" w14:textId="77777777" w:rsidR="00D15278" w:rsidRPr="00D15278" w:rsidRDefault="00D15278" w:rsidP="00D152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28C4" w14:textId="77777777" w:rsidR="00D15278" w:rsidRDefault="00D15278" w:rsidP="00D15278">
      <w:pPr>
        <w:spacing w:after="0" w:line="240" w:lineRule="auto"/>
      </w:pPr>
      <w:r>
        <w:separator/>
      </w:r>
    </w:p>
  </w:footnote>
  <w:footnote w:type="continuationSeparator" w:id="0">
    <w:p w14:paraId="07918B4E" w14:textId="77777777" w:rsidR="00D15278" w:rsidRDefault="00D15278" w:rsidP="00D15278">
      <w:pPr>
        <w:spacing w:after="0" w:line="240" w:lineRule="auto"/>
      </w:pPr>
      <w:r>
        <w:continuationSeparator/>
      </w:r>
    </w:p>
  </w:footnote>
  <w:footnote w:id="1">
    <w:p w14:paraId="687070D5" w14:textId="77777777" w:rsidR="00D15278" w:rsidRPr="000B0EE2" w:rsidRDefault="00D15278" w:rsidP="00D15278">
      <w:pPr>
        <w:pStyle w:val="Voetnoottekst"/>
        <w:rPr>
          <w:sz w:val="16"/>
          <w:szCs w:val="16"/>
        </w:rPr>
      </w:pPr>
      <w:r w:rsidRPr="003361E5">
        <w:rPr>
          <w:rStyle w:val="Voetnootmarkering"/>
          <w:sz w:val="16"/>
          <w:szCs w:val="16"/>
        </w:rPr>
        <w:footnoteRef/>
      </w:r>
      <w:r w:rsidRPr="003361E5">
        <w:rPr>
          <w:sz w:val="16"/>
          <w:szCs w:val="16"/>
        </w:rPr>
        <w:t xml:space="preserve"> </w:t>
      </w:r>
      <w:r w:rsidRPr="000B0EE2">
        <w:rPr>
          <w:sz w:val="16"/>
          <w:szCs w:val="16"/>
        </w:rPr>
        <w:t>Kamerstukken II 2024/25, 31322, nr. 557.</w:t>
      </w:r>
    </w:p>
  </w:footnote>
  <w:footnote w:id="2">
    <w:p w14:paraId="3CA5931D" w14:textId="77777777" w:rsidR="00D15278" w:rsidRPr="000B0EE2" w:rsidRDefault="00D15278" w:rsidP="00D15278">
      <w:pPr>
        <w:pStyle w:val="Voetnoottekst"/>
        <w:rPr>
          <w:sz w:val="16"/>
          <w:szCs w:val="16"/>
        </w:rPr>
      </w:pPr>
      <w:r w:rsidRPr="00E768EB">
        <w:rPr>
          <w:rStyle w:val="Voetnootmarkering"/>
          <w:sz w:val="16"/>
          <w:szCs w:val="16"/>
        </w:rPr>
        <w:footnoteRef/>
      </w:r>
      <w:r w:rsidRPr="00E768EB">
        <w:rPr>
          <w:sz w:val="16"/>
          <w:szCs w:val="16"/>
        </w:rPr>
        <w:t xml:space="preserve"> </w:t>
      </w:r>
      <w:r w:rsidRPr="000B0EE2">
        <w:rPr>
          <w:sz w:val="16"/>
          <w:szCs w:val="16"/>
        </w:rPr>
        <w:t>Kamerstukken II 2024/25, 2025Z13107.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82F7" w14:textId="77777777" w:rsidR="00D15278" w:rsidRPr="00D15278" w:rsidRDefault="00D15278" w:rsidP="00D152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5A80" w14:textId="77777777" w:rsidR="00D15278" w:rsidRPr="00D15278" w:rsidRDefault="00D15278" w:rsidP="00D152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67AC" w14:textId="77777777" w:rsidR="00D15278" w:rsidRPr="00D15278" w:rsidRDefault="00D15278" w:rsidP="00D152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78"/>
    <w:rsid w:val="003174C9"/>
    <w:rsid w:val="00B211CD"/>
    <w:rsid w:val="00D15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1CD2"/>
  <w15:chartTrackingRefBased/>
  <w15:docId w15:val="{B2818196-C9CD-4E8E-A6ED-74DA1994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5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52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52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52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52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2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2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2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2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52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52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52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52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52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2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2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278"/>
    <w:rPr>
      <w:rFonts w:eastAsiaTheme="majorEastAsia" w:cstheme="majorBidi"/>
      <w:color w:val="272727" w:themeColor="text1" w:themeTint="D8"/>
    </w:rPr>
  </w:style>
  <w:style w:type="paragraph" w:styleId="Titel">
    <w:name w:val="Title"/>
    <w:basedOn w:val="Standaard"/>
    <w:next w:val="Standaard"/>
    <w:link w:val="TitelChar"/>
    <w:uiPriority w:val="10"/>
    <w:qFormat/>
    <w:rsid w:val="00D15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2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2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2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2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278"/>
    <w:rPr>
      <w:i/>
      <w:iCs/>
      <w:color w:val="404040" w:themeColor="text1" w:themeTint="BF"/>
    </w:rPr>
  </w:style>
  <w:style w:type="paragraph" w:styleId="Lijstalinea">
    <w:name w:val="List Paragraph"/>
    <w:basedOn w:val="Standaard"/>
    <w:uiPriority w:val="34"/>
    <w:qFormat/>
    <w:rsid w:val="00D15278"/>
    <w:pPr>
      <w:ind w:left="720"/>
      <w:contextualSpacing/>
    </w:pPr>
  </w:style>
  <w:style w:type="character" w:styleId="Intensievebenadrukking">
    <w:name w:val="Intense Emphasis"/>
    <w:basedOn w:val="Standaardalinea-lettertype"/>
    <w:uiPriority w:val="21"/>
    <w:qFormat/>
    <w:rsid w:val="00D15278"/>
    <w:rPr>
      <w:i/>
      <w:iCs/>
      <w:color w:val="2F5496" w:themeColor="accent1" w:themeShade="BF"/>
    </w:rPr>
  </w:style>
  <w:style w:type="paragraph" w:styleId="Duidelijkcitaat">
    <w:name w:val="Intense Quote"/>
    <w:basedOn w:val="Standaard"/>
    <w:next w:val="Standaard"/>
    <w:link w:val="DuidelijkcitaatChar"/>
    <w:uiPriority w:val="30"/>
    <w:qFormat/>
    <w:rsid w:val="00D15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5278"/>
    <w:rPr>
      <w:i/>
      <w:iCs/>
      <w:color w:val="2F5496" w:themeColor="accent1" w:themeShade="BF"/>
    </w:rPr>
  </w:style>
  <w:style w:type="character" w:styleId="Intensieveverwijzing">
    <w:name w:val="Intense Reference"/>
    <w:basedOn w:val="Standaardalinea-lettertype"/>
    <w:uiPriority w:val="32"/>
    <w:qFormat/>
    <w:rsid w:val="00D15278"/>
    <w:rPr>
      <w:b/>
      <w:bCs/>
      <w:smallCaps/>
      <w:color w:val="2F5496" w:themeColor="accent1" w:themeShade="BF"/>
      <w:spacing w:val="5"/>
    </w:rPr>
  </w:style>
  <w:style w:type="character" w:styleId="Hyperlink">
    <w:name w:val="Hyperlink"/>
    <w:basedOn w:val="Standaardalinea-lettertype"/>
    <w:uiPriority w:val="99"/>
    <w:unhideWhenUsed/>
    <w:rsid w:val="00D15278"/>
    <w:rPr>
      <w:color w:val="0563C1" w:themeColor="hyperlink"/>
      <w:u w:val="single"/>
    </w:rPr>
  </w:style>
  <w:style w:type="paragraph" w:styleId="Voetnoottekst">
    <w:name w:val="footnote text"/>
    <w:basedOn w:val="Standaard"/>
    <w:link w:val="VoetnoottekstChar"/>
    <w:uiPriority w:val="99"/>
    <w:semiHidden/>
    <w:unhideWhenUsed/>
    <w:rsid w:val="00D1527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527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5278"/>
    <w:rPr>
      <w:vertAlign w:val="superscript"/>
    </w:rPr>
  </w:style>
  <w:style w:type="paragraph" w:styleId="Koptekst">
    <w:name w:val="header"/>
    <w:basedOn w:val="Standaard"/>
    <w:link w:val="KoptekstChar"/>
    <w:uiPriority w:val="99"/>
    <w:unhideWhenUsed/>
    <w:rsid w:val="00D152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5278"/>
  </w:style>
  <w:style w:type="paragraph" w:styleId="Voettekst">
    <w:name w:val="footer"/>
    <w:basedOn w:val="Standaard"/>
    <w:link w:val="VoettekstChar"/>
    <w:uiPriority w:val="99"/>
    <w:unhideWhenUsed/>
    <w:rsid w:val="00D152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richtlijnen/2013/02/18/handleiding-continue-screening-kinderopva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989</ap:Words>
  <ap:Characters>5441</ap:Characters>
  <ap:DocSecurity>0</ap:DocSecurity>
  <ap:Lines>45</ap:Lines>
  <ap:Paragraphs>12</ap:Paragraphs>
  <ap:ScaleCrop>false</ap:ScaleCrop>
  <ap:LinksUpToDate>false</ap:LinksUpToDate>
  <ap:CharactersWithSpaces>6418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2025-07-07T06:36:00.0000000Z</dcterms:created>
  <dcterms:modified xsi:type="dcterms:W3CDTF">2025-07-07T06:37:00.0000000Z</dcterms:modified>
  <version/>
  <category/>
</coreProperties>
</file>