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FF2" w:rsidP="00FA2FF2" w:rsidRDefault="00FA2FF2" w14:paraId="7469DEF1" w14:textId="4C583665">
      <w:pPr>
        <w:suppressAutoHyphens/>
      </w:pPr>
      <w:r>
        <w:t>AH 2677</w:t>
      </w:r>
    </w:p>
    <w:p w:rsidR="00FA2FF2" w:rsidP="00FA2FF2" w:rsidRDefault="00FA2FF2" w14:paraId="6ED7794D" w14:textId="76204D6A">
      <w:pPr>
        <w:suppressAutoHyphens/>
      </w:pPr>
      <w:r>
        <w:t>2025Z09992</w:t>
      </w:r>
    </w:p>
    <w:p w:rsidRPr="00A71055" w:rsidR="00FA2FF2" w:rsidP="007B1AD8" w:rsidRDefault="00FA2FF2" w14:paraId="62B1B59E" w14:textId="306B0A9F">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7 juli 2025)</w:t>
      </w:r>
    </w:p>
    <w:p w:rsidR="00FA2FF2" w:rsidP="00FA2FF2" w:rsidRDefault="00FA2FF2" w14:paraId="4E463BF1" w14:textId="33027776">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2399</w:t>
      </w:r>
    </w:p>
    <w:p w:rsidRPr="005C33D0" w:rsidR="00FA2FF2" w:rsidP="00FA2FF2" w:rsidRDefault="00FA2FF2" w14:paraId="1C9AAD80" w14:textId="77777777">
      <w:pPr>
        <w:suppressAutoHyphens/>
      </w:pPr>
    </w:p>
    <w:p w:rsidR="00FA2FF2" w:rsidP="00FA2FF2" w:rsidRDefault="00FA2FF2" w14:paraId="74FEDB58" w14:textId="77777777">
      <w:pPr>
        <w:suppressAutoHyphens/>
      </w:pPr>
      <w:r w:rsidRPr="005C33D0">
        <w:t xml:space="preserve">Vraag 1. </w:t>
      </w:r>
    </w:p>
    <w:p w:rsidRPr="005C33D0" w:rsidR="00FA2FF2" w:rsidP="00FA2FF2" w:rsidRDefault="00FA2FF2" w14:paraId="7031A29F" w14:textId="77777777">
      <w:pPr>
        <w:suppressAutoHyphens/>
      </w:pPr>
      <w:r w:rsidRPr="005C33D0">
        <w:t xml:space="preserve">Bent u bekend met de uitspraak van de rechtbank Noord-Nederland (ECLI:NL:RBNNE:2024:4759) </w:t>
      </w:r>
      <w:r>
        <w:t xml:space="preserve">1) </w:t>
      </w:r>
      <w:r w:rsidRPr="005C33D0">
        <w:t xml:space="preserve">waarin de rechter prejudiciële vragen stelt aan de Hoge Raad over de toepassing en mogelijke tekortkomingen van de Jeugdwet, specifiek in relatie tot de screening van pleeggezinnen? </w:t>
      </w:r>
      <w:r>
        <w:t xml:space="preserve">2) </w:t>
      </w:r>
      <w:r w:rsidRPr="005C33D0">
        <w:t>Kunt u deze prejudiciële vragen beantwoorden die opgesomd staan in r.o. 2.11 en 2.12? Zo nee, waarom niet?</w:t>
      </w:r>
    </w:p>
    <w:p w:rsidRPr="005C33D0" w:rsidR="00FA2FF2" w:rsidP="00FA2FF2" w:rsidRDefault="00FA2FF2" w14:paraId="3B389E14" w14:textId="77777777">
      <w:pPr>
        <w:suppressAutoHyphens/>
      </w:pPr>
    </w:p>
    <w:p w:rsidRPr="005C33D0" w:rsidR="00FA2FF2" w:rsidP="00FA2FF2" w:rsidRDefault="00FA2FF2" w14:paraId="061549E6" w14:textId="77777777">
      <w:pPr>
        <w:suppressAutoHyphens/>
      </w:pPr>
      <w:r w:rsidRPr="005C33D0">
        <w:t>Antwoord 1</w:t>
      </w:r>
    </w:p>
    <w:p w:rsidRPr="005C33D0" w:rsidR="00FA2FF2" w:rsidP="00FA2FF2" w:rsidRDefault="00FA2FF2" w14:paraId="79C0ADDB" w14:textId="77777777">
      <w:pPr>
        <w:suppressAutoHyphens/>
      </w:pPr>
      <w:r w:rsidRPr="005C33D0">
        <w:t xml:space="preserve">Ja, </w:t>
      </w:r>
      <w:r>
        <w:t>ik ben</w:t>
      </w:r>
      <w:r w:rsidRPr="005C33D0">
        <w:t xml:space="preserve"> bekend met deze uitspraak. Via een prejudiciële vraag kunnen rechters een rechtsvraag aan de Hoge Raad stellen over de uitleg van een rechtsregel. Het is dan ook de taak van de Hoge Raad om deze prejudiciële vragen te beantwoorden en niet aan </w:t>
      </w:r>
      <w:r>
        <w:t>mij</w:t>
      </w:r>
      <w:r w:rsidRPr="005C33D0">
        <w:t xml:space="preserve">. </w:t>
      </w:r>
    </w:p>
    <w:p w:rsidRPr="005C33D0" w:rsidR="00FA2FF2" w:rsidP="00FA2FF2" w:rsidRDefault="00FA2FF2" w14:paraId="6FDA9853" w14:textId="77777777">
      <w:pPr>
        <w:suppressAutoHyphens/>
      </w:pPr>
    </w:p>
    <w:p w:rsidR="00FA2FF2" w:rsidP="00FA2FF2" w:rsidRDefault="00FA2FF2" w14:paraId="3012AC67" w14:textId="77777777">
      <w:pPr>
        <w:suppressAutoHyphens/>
      </w:pPr>
      <w:r w:rsidRPr="005C33D0">
        <w:t xml:space="preserve">Vraag 2. </w:t>
      </w:r>
    </w:p>
    <w:p w:rsidRPr="005C33D0" w:rsidR="00FA2FF2" w:rsidP="00FA2FF2" w:rsidRDefault="00FA2FF2" w14:paraId="576CB5D2" w14:textId="77777777">
      <w:pPr>
        <w:suppressAutoHyphens/>
      </w:pPr>
      <w:r w:rsidRPr="005C33D0">
        <w:t>Bent u van mening dat het mogelijk is om een kind toch in een pleeggezin te plaatsen als geen pleegzorgscreening heeft plaatsgevonden, die screening niet positief is of wanneer de</w:t>
      </w:r>
      <w:r>
        <w:t xml:space="preserve"> </w:t>
      </w:r>
      <w:r w:rsidRPr="005C33D0">
        <w:t>pleegzorgaanbieder tot de slotsom komt dat de plaatsing grote veiligheidsrisico’s voor een kind met</w:t>
      </w:r>
      <w:r>
        <w:t xml:space="preserve"> </w:t>
      </w:r>
      <w:r w:rsidRPr="005C33D0">
        <w:t xml:space="preserve">zich brengt en daarom geen verantwoordelijkheid voor die plaatsing wil dragen? </w:t>
      </w:r>
      <w:r>
        <w:t xml:space="preserve">3) </w:t>
      </w:r>
      <w:r w:rsidRPr="005C33D0">
        <w:t>Zo nee, waarom niet? Zo ja, waarom wel?</w:t>
      </w:r>
    </w:p>
    <w:p w:rsidRPr="005C33D0" w:rsidR="00FA2FF2" w:rsidP="00FA2FF2" w:rsidRDefault="00FA2FF2" w14:paraId="0088214B" w14:textId="77777777">
      <w:pPr>
        <w:suppressAutoHyphens/>
      </w:pPr>
    </w:p>
    <w:p w:rsidRPr="005C33D0" w:rsidR="00FA2FF2" w:rsidP="00FA2FF2" w:rsidRDefault="00FA2FF2" w14:paraId="0171F239" w14:textId="77777777">
      <w:pPr>
        <w:suppressAutoHyphens/>
      </w:pPr>
      <w:r w:rsidRPr="005C33D0">
        <w:t>Antwoord 2</w:t>
      </w:r>
    </w:p>
    <w:p w:rsidRPr="005C33D0" w:rsidR="00FA2FF2" w:rsidP="00FA2FF2" w:rsidRDefault="00FA2FF2" w14:paraId="0B661C20" w14:textId="77777777">
      <w:pPr>
        <w:suppressAutoHyphens/>
      </w:pPr>
      <w:r w:rsidRPr="005C33D0">
        <w:t xml:space="preserve">Om pleegouder te worden, moet een persoon voldoen aan de criteria uit artikel 5.1, eerste lid van de Jeugdwet: </w:t>
      </w:r>
    </w:p>
    <w:p w:rsidRPr="005C33D0" w:rsidR="00FA2FF2" w:rsidP="00FA2FF2" w:rsidRDefault="00FA2FF2" w14:paraId="6751A511" w14:textId="77777777">
      <w:pPr>
        <w:suppressAutoHyphens/>
      </w:pPr>
    </w:p>
    <w:p w:rsidRPr="005C33D0" w:rsidR="00FA2FF2" w:rsidP="00FA2FF2" w:rsidRDefault="00FA2FF2" w14:paraId="42365989" w14:textId="77777777">
      <w:pPr>
        <w:numPr>
          <w:ilvl w:val="0"/>
          <w:numId w:val="1"/>
        </w:numPr>
        <w:suppressAutoHyphens/>
        <w:spacing w:after="0" w:line="240" w:lineRule="atLeast"/>
      </w:pPr>
      <w:r w:rsidRPr="005C33D0">
        <w:t>de pleegouder moet minstens 21 jaar oud zijn;</w:t>
      </w:r>
    </w:p>
    <w:p w:rsidRPr="005C33D0" w:rsidR="00FA2FF2" w:rsidP="00FA2FF2" w:rsidRDefault="00FA2FF2" w14:paraId="3A15ADC5" w14:textId="77777777">
      <w:pPr>
        <w:numPr>
          <w:ilvl w:val="0"/>
          <w:numId w:val="1"/>
        </w:numPr>
        <w:suppressAutoHyphens/>
        <w:spacing w:after="0" w:line="240" w:lineRule="atLeast"/>
      </w:pPr>
      <w:r w:rsidRPr="005C33D0">
        <w:t>de pleegouder begeleidt geen andere pleegouders;</w:t>
      </w:r>
    </w:p>
    <w:p w:rsidRPr="005C33D0" w:rsidR="00FA2FF2" w:rsidP="00FA2FF2" w:rsidRDefault="00FA2FF2" w14:paraId="6CB81F9A" w14:textId="77777777">
      <w:pPr>
        <w:numPr>
          <w:ilvl w:val="0"/>
          <w:numId w:val="1"/>
        </w:numPr>
        <w:suppressAutoHyphens/>
        <w:spacing w:after="0" w:line="240" w:lineRule="atLeast"/>
      </w:pPr>
      <w:r w:rsidRPr="005C33D0">
        <w:t>de pleegouder heeft met goed gevolg een door de pleegzorgaanbieder aangeboden voorbereidings- en selectietraject afgerond; en</w:t>
      </w:r>
    </w:p>
    <w:p w:rsidRPr="005C33D0" w:rsidR="00FA2FF2" w:rsidP="00FA2FF2" w:rsidRDefault="00FA2FF2" w14:paraId="6EA14A42" w14:textId="77777777">
      <w:pPr>
        <w:numPr>
          <w:ilvl w:val="0"/>
          <w:numId w:val="1"/>
        </w:numPr>
        <w:suppressAutoHyphens/>
        <w:spacing w:after="0" w:line="240" w:lineRule="atLeast"/>
      </w:pPr>
      <w:r w:rsidRPr="005C33D0">
        <w:lastRenderedPageBreak/>
        <w:t>de pleegouder beschikt over een Verklaring van Geen Bezwaar</w:t>
      </w:r>
      <w:r>
        <w:t xml:space="preserve"> (hierna: VGB)</w:t>
      </w:r>
      <w:r w:rsidRPr="005C33D0">
        <w:t xml:space="preserve">, die is afgegeven door de Raad voor de Kinderbescherming. </w:t>
      </w:r>
    </w:p>
    <w:p w:rsidRPr="005C33D0" w:rsidR="00FA2FF2" w:rsidP="00FA2FF2" w:rsidRDefault="00FA2FF2" w14:paraId="3CAAB4CC" w14:textId="77777777">
      <w:pPr>
        <w:suppressAutoHyphens/>
      </w:pPr>
    </w:p>
    <w:p w:rsidRPr="005C33D0" w:rsidR="00FA2FF2" w:rsidP="00FA2FF2" w:rsidRDefault="00FA2FF2" w14:paraId="7BE6C275" w14:textId="77777777">
      <w:pPr>
        <w:suppressAutoHyphens/>
      </w:pPr>
      <w:r w:rsidRPr="005C33D0">
        <w:t xml:space="preserve">Bij netwerkpleegzorg kan het soms voorkomen dat een pleegkind al in een gezin woont, bijvoorbeeld bij een opa of oma, voordat officieel een pleegcontract is ondertekend. In deze situaties geldt de uitzondering van artikel 5.1, derde lid van de Jeugdwet: binnen 13 weken na het sluiten van het pleegcontract, moet alsnog aan de voorgeschreven wettelijke vereisten worden voldaan. Voorwaarde is wel dat een pleegzorgaanbieder van mening moet zijn dat de pleegouder een passende en veilige plek kan aanbieden aan het pleegkind. Zodra tijdens de periode blijkt dat niet aan de vereisten zal worden voldaan, kan de pleegzorgaanbieder per direct het pleegcontract beëindigen. </w:t>
      </w:r>
    </w:p>
    <w:p w:rsidRPr="005C33D0" w:rsidR="00FA2FF2" w:rsidP="00FA2FF2" w:rsidRDefault="00FA2FF2" w14:paraId="5EBF063A" w14:textId="77777777">
      <w:pPr>
        <w:suppressAutoHyphens/>
      </w:pPr>
    </w:p>
    <w:p w:rsidR="00FA2FF2" w:rsidP="00FA2FF2" w:rsidRDefault="00FA2FF2" w14:paraId="615EC57F" w14:textId="77777777">
      <w:pPr>
        <w:suppressAutoHyphens/>
      </w:pPr>
      <w:r w:rsidRPr="005C33D0">
        <w:t xml:space="preserve">Bij het beantwoorden van deze vragen is het van belang om te benadrukken dat in Nederland veel kinderen worden opgevangen door familieleden of bekenden wanneer thuis wonen (tijdelijk) niet mogelijk is. Als er (nog) geen formele jeugdhulp- of pleegzorgorganisatie bij betrokken is, wordt dit niet als formele </w:t>
      </w:r>
    </w:p>
    <w:p w:rsidR="00FA2FF2" w:rsidP="00FA2FF2" w:rsidRDefault="00FA2FF2" w14:paraId="0BCB7E98" w14:textId="77777777">
      <w:pPr>
        <w:suppressAutoHyphens/>
      </w:pPr>
    </w:p>
    <w:p w:rsidR="00FA2FF2" w:rsidP="00FA2FF2" w:rsidRDefault="00FA2FF2" w14:paraId="18C43E73" w14:textId="77777777">
      <w:pPr>
        <w:suppressAutoHyphens/>
      </w:pPr>
    </w:p>
    <w:p w:rsidR="00FA2FF2" w:rsidP="00FA2FF2" w:rsidRDefault="00FA2FF2" w14:paraId="3B9C8237" w14:textId="77777777">
      <w:pPr>
        <w:suppressAutoHyphens/>
      </w:pPr>
    </w:p>
    <w:p w:rsidRPr="005C33D0" w:rsidR="00FA2FF2" w:rsidP="00FA2FF2" w:rsidRDefault="00FA2FF2" w14:paraId="7E3C59E9" w14:textId="77777777">
      <w:pPr>
        <w:suppressAutoHyphens/>
      </w:pPr>
      <w:r w:rsidRPr="005C33D0">
        <w:t>pleegzorg beschouwd in de zin van artikel 5.1 van de Jeugdwet. Bij de beantwoording van deze vragen, ga</w:t>
      </w:r>
      <w:r>
        <w:t xml:space="preserve"> ik</w:t>
      </w:r>
      <w:r w:rsidRPr="005C33D0">
        <w:t xml:space="preserve"> uit van de situatie waar sprake is van formele pleegzorg, zoals omschreven in de Jeugdwet. </w:t>
      </w:r>
    </w:p>
    <w:p w:rsidRPr="005C33D0" w:rsidR="00FA2FF2" w:rsidP="00FA2FF2" w:rsidRDefault="00FA2FF2" w14:paraId="6C5228FE" w14:textId="77777777">
      <w:pPr>
        <w:suppressAutoHyphens/>
      </w:pPr>
    </w:p>
    <w:p w:rsidR="00FA2FF2" w:rsidP="00FA2FF2" w:rsidRDefault="00FA2FF2" w14:paraId="26FB811A" w14:textId="77777777">
      <w:pPr>
        <w:suppressAutoHyphens/>
      </w:pPr>
      <w:r w:rsidRPr="005C33D0">
        <w:t xml:space="preserve">Vraag 3. </w:t>
      </w:r>
    </w:p>
    <w:p w:rsidRPr="005C33D0" w:rsidR="00FA2FF2" w:rsidP="00FA2FF2" w:rsidRDefault="00FA2FF2" w14:paraId="19947A6B" w14:textId="77777777">
      <w:pPr>
        <w:suppressAutoHyphens/>
      </w:pPr>
      <w:r w:rsidRPr="005C33D0">
        <w:t>Kan het zo zijn dat rechters geen zelfstandige toets doen op grond van artikel 5.1 jeugdwet gezien de prejudiciële vragen aan de Hoge Raad? Hoe kijkt u naar de rol van de kinderrechter als het gaat om pleegzorgscreening en artikel 5.1 Jeugdwet?</w:t>
      </w:r>
    </w:p>
    <w:p w:rsidRPr="005C33D0" w:rsidR="00FA2FF2" w:rsidP="00FA2FF2" w:rsidRDefault="00FA2FF2" w14:paraId="702928A5" w14:textId="77777777">
      <w:pPr>
        <w:suppressAutoHyphens/>
      </w:pPr>
    </w:p>
    <w:p w:rsidRPr="005C33D0" w:rsidR="00FA2FF2" w:rsidP="00FA2FF2" w:rsidRDefault="00FA2FF2" w14:paraId="7609309C" w14:textId="77777777">
      <w:pPr>
        <w:suppressAutoHyphens/>
      </w:pPr>
      <w:r w:rsidRPr="005C33D0">
        <w:t>Antwoord 3</w:t>
      </w:r>
    </w:p>
    <w:p w:rsidRPr="005C33D0" w:rsidR="00FA2FF2" w:rsidP="00FA2FF2" w:rsidRDefault="00FA2FF2" w14:paraId="599AB573" w14:textId="77777777">
      <w:pPr>
        <w:suppressAutoHyphens/>
      </w:pPr>
      <w:r w:rsidRPr="005C33D0">
        <w:t xml:space="preserve">Een pleegzorgaanbieder kan een contract sluiten met een pleegouder, wanneer de pleegouder voldoet aan de voorwaarden uit artikel 5.1 van de Jeugdwet. Het artikel geeft dus geen zelfstandige rol aan de rechter.  </w:t>
      </w:r>
    </w:p>
    <w:p w:rsidRPr="005C33D0" w:rsidR="00FA2FF2" w:rsidP="00FA2FF2" w:rsidRDefault="00FA2FF2" w14:paraId="1F2FE275" w14:textId="77777777">
      <w:pPr>
        <w:suppressAutoHyphens/>
      </w:pPr>
    </w:p>
    <w:p w:rsidR="00FA2FF2" w:rsidP="00FA2FF2" w:rsidRDefault="00FA2FF2" w14:paraId="0B0F68A4" w14:textId="77777777">
      <w:pPr>
        <w:suppressAutoHyphens/>
      </w:pPr>
      <w:r w:rsidRPr="005C33D0">
        <w:t xml:space="preserve">Vraag 4. </w:t>
      </w:r>
    </w:p>
    <w:p w:rsidRPr="005C33D0" w:rsidR="00FA2FF2" w:rsidP="00FA2FF2" w:rsidRDefault="00FA2FF2" w14:paraId="692E0FA7" w14:textId="77777777">
      <w:pPr>
        <w:suppressAutoHyphens/>
      </w:pPr>
      <w:r w:rsidRPr="005C33D0">
        <w:t>Deelt u de mening dat het niet wenselijk is dat kinderen geplaatst kunnen worden in pleeggezinnen als de screening niet juist of op orde is? Zo nee, waarom niet?</w:t>
      </w:r>
    </w:p>
    <w:p w:rsidRPr="005C33D0" w:rsidR="00FA2FF2" w:rsidP="00FA2FF2" w:rsidRDefault="00FA2FF2" w14:paraId="271B5CBA" w14:textId="77777777">
      <w:pPr>
        <w:suppressAutoHyphens/>
      </w:pPr>
    </w:p>
    <w:p w:rsidRPr="005C33D0" w:rsidR="00FA2FF2" w:rsidP="00FA2FF2" w:rsidRDefault="00FA2FF2" w14:paraId="5FC103FD" w14:textId="77777777">
      <w:pPr>
        <w:suppressAutoHyphens/>
      </w:pPr>
      <w:r w:rsidRPr="005C33D0">
        <w:t>Antwoord vraag 4</w:t>
      </w:r>
    </w:p>
    <w:p w:rsidRPr="005C33D0" w:rsidR="00FA2FF2" w:rsidP="00FA2FF2" w:rsidRDefault="00FA2FF2" w14:paraId="0AC2F880" w14:textId="77777777">
      <w:pPr>
        <w:suppressAutoHyphens/>
      </w:pPr>
      <w:r w:rsidRPr="005C33D0">
        <w:t>Het is wenselijk dat de screening van pleegouders op orde is. Er zijn echter situaties denkbaar, waarbij het in het belang van de kinderen is dat zij verblijven bij aspirant</w:t>
      </w:r>
      <w:r>
        <w:t>-</w:t>
      </w:r>
      <w:r w:rsidRPr="005C33D0">
        <w:t xml:space="preserve">pleegouders waarvan de screening nog niet is afgerond. Bijvoorbeeld in de situatie zoals omschreven in antwoord 3, waarbij een kind al tijdelijk woont bij een opa of oma, voordat de pleegzorg is geformaliseerd. In zulke situaties kan het onwenselijk zijn om een kind hier weg te halen. Artikel 5.1, derde lid van de Jeugdwet biedt deze mogelijkheid. </w:t>
      </w:r>
      <w:r>
        <w:t>Ook kunnen pleegzorgaanbieders zelf</w:t>
      </w:r>
      <w:r w:rsidRPr="005C33D0">
        <w:t xml:space="preserve"> extra voorwaarden verb</w:t>
      </w:r>
      <w:r>
        <w:t>i</w:t>
      </w:r>
      <w:r w:rsidRPr="005C33D0">
        <w:t xml:space="preserve">nden aan de plaatsing, zoals het volgen van een extra training of psycho-educatie voor pleegouders. </w:t>
      </w:r>
    </w:p>
    <w:p w:rsidRPr="005C33D0" w:rsidR="00FA2FF2" w:rsidP="00FA2FF2" w:rsidRDefault="00FA2FF2" w14:paraId="74C3F614" w14:textId="77777777">
      <w:pPr>
        <w:suppressAutoHyphens/>
      </w:pPr>
    </w:p>
    <w:p w:rsidR="00FA2FF2" w:rsidP="00FA2FF2" w:rsidRDefault="00FA2FF2" w14:paraId="1CC44438" w14:textId="77777777">
      <w:pPr>
        <w:suppressAutoHyphens/>
      </w:pPr>
      <w:r w:rsidRPr="005C33D0">
        <w:t xml:space="preserve">Vraag 5. </w:t>
      </w:r>
    </w:p>
    <w:p w:rsidRPr="005C33D0" w:rsidR="00FA2FF2" w:rsidP="00FA2FF2" w:rsidRDefault="00FA2FF2" w14:paraId="3079E200" w14:textId="77777777">
      <w:pPr>
        <w:suppressAutoHyphens/>
      </w:pPr>
      <w:r w:rsidRPr="005C33D0">
        <w:t xml:space="preserve">Deelt u de zorg van de kinderrechter dat er mogelijk hiaten bestaan in de wetgeving of toepassing daarvan, die kunnen leiden tot onvoldoende waarborging van de veiligheid van pleegkinderen? </w:t>
      </w:r>
      <w:r>
        <w:t xml:space="preserve">4) </w:t>
      </w:r>
      <w:r w:rsidRPr="005C33D0">
        <w:t>Zo ja, welke maatregelen acht u noodzakelijk? Zo nee, kunt u dit nader toelichten?</w:t>
      </w:r>
    </w:p>
    <w:p w:rsidRPr="005C33D0" w:rsidR="00FA2FF2" w:rsidP="00FA2FF2" w:rsidRDefault="00FA2FF2" w14:paraId="4EDFE2AE" w14:textId="77777777">
      <w:pPr>
        <w:suppressAutoHyphens/>
      </w:pPr>
    </w:p>
    <w:p w:rsidRPr="005C33D0" w:rsidR="00FA2FF2" w:rsidP="00FA2FF2" w:rsidRDefault="00FA2FF2" w14:paraId="7E080E64" w14:textId="77777777">
      <w:pPr>
        <w:suppressAutoHyphens/>
      </w:pPr>
      <w:r w:rsidRPr="005C33D0">
        <w:t>Antwoord 5</w:t>
      </w:r>
    </w:p>
    <w:p w:rsidRPr="005C33D0" w:rsidR="00FA2FF2" w:rsidP="00FA2FF2" w:rsidRDefault="00FA2FF2" w14:paraId="161D02B9" w14:textId="77777777">
      <w:pPr>
        <w:suppressAutoHyphens/>
      </w:pPr>
      <w:r>
        <w:t>Ik</w:t>
      </w:r>
      <w:r w:rsidRPr="005C33D0">
        <w:t xml:space="preserve"> wacht de beoordeling van de prejudiciële vragen aan </w:t>
      </w:r>
      <w:r>
        <w:t xml:space="preserve">de </w:t>
      </w:r>
      <w:r w:rsidRPr="005C33D0">
        <w:t xml:space="preserve">Hoge Raad af, voordat </w:t>
      </w:r>
      <w:r>
        <w:t>ik</w:t>
      </w:r>
      <w:r w:rsidRPr="005C33D0">
        <w:t xml:space="preserve"> besluit of </w:t>
      </w:r>
      <w:r>
        <w:t xml:space="preserve">ik </w:t>
      </w:r>
      <w:r w:rsidRPr="005C33D0">
        <w:t xml:space="preserve">eventuele maatregelen moet nemen. </w:t>
      </w:r>
    </w:p>
    <w:p w:rsidRPr="005C33D0" w:rsidR="00FA2FF2" w:rsidP="00FA2FF2" w:rsidRDefault="00FA2FF2" w14:paraId="71FE385D" w14:textId="77777777">
      <w:pPr>
        <w:suppressAutoHyphens/>
      </w:pPr>
    </w:p>
    <w:p w:rsidR="00FA2FF2" w:rsidP="00FA2FF2" w:rsidRDefault="00FA2FF2" w14:paraId="40C53ABA" w14:textId="77777777">
      <w:pPr>
        <w:suppressAutoHyphens/>
      </w:pPr>
      <w:r w:rsidRPr="005C33D0">
        <w:t xml:space="preserve">Vraag 6. </w:t>
      </w:r>
    </w:p>
    <w:p w:rsidRPr="005C33D0" w:rsidR="00FA2FF2" w:rsidP="00FA2FF2" w:rsidRDefault="00FA2FF2" w14:paraId="696ABD9F" w14:textId="77777777">
      <w:pPr>
        <w:suppressAutoHyphens/>
      </w:pPr>
      <w:r w:rsidRPr="005C33D0">
        <w:t xml:space="preserve">Bent u op de hoogte van de bevindingen uit het Inspectie Gezondheidszorg en Jeugd (IGJ)-rapport over Enver (mei 2025), waarin wordt geconcludeerd dat Enver niet of grotendeels niet voldoet aan acht van de negen getoetste normen, waaronder die voor screening, dossiervoering, veiligheid en risicotaxatie? </w:t>
      </w:r>
      <w:r>
        <w:t>5)</w:t>
      </w:r>
    </w:p>
    <w:p w:rsidRPr="005C33D0" w:rsidR="00FA2FF2" w:rsidP="00FA2FF2" w:rsidRDefault="00FA2FF2" w14:paraId="3EF9649D" w14:textId="77777777">
      <w:pPr>
        <w:suppressAutoHyphens/>
      </w:pPr>
    </w:p>
    <w:p w:rsidRPr="005C33D0" w:rsidR="00FA2FF2" w:rsidP="00FA2FF2" w:rsidRDefault="00FA2FF2" w14:paraId="0095AB70" w14:textId="77777777">
      <w:pPr>
        <w:suppressAutoHyphens/>
      </w:pPr>
      <w:r w:rsidRPr="005C33D0">
        <w:t>Antwoord 6</w:t>
      </w:r>
    </w:p>
    <w:p w:rsidRPr="005C33D0" w:rsidR="00FA2FF2" w:rsidP="00FA2FF2" w:rsidRDefault="00FA2FF2" w14:paraId="08DE9758" w14:textId="77777777">
      <w:pPr>
        <w:suppressAutoHyphens/>
      </w:pPr>
      <w:r w:rsidRPr="005C33D0">
        <w:t xml:space="preserve">Ja. </w:t>
      </w:r>
    </w:p>
    <w:p w:rsidRPr="005C33D0" w:rsidR="00FA2FF2" w:rsidP="00FA2FF2" w:rsidRDefault="00FA2FF2" w14:paraId="5E60D286" w14:textId="77777777">
      <w:pPr>
        <w:suppressAutoHyphens/>
      </w:pPr>
    </w:p>
    <w:p w:rsidR="00FA2FF2" w:rsidP="00FA2FF2" w:rsidRDefault="00FA2FF2" w14:paraId="437955EE" w14:textId="77777777">
      <w:pPr>
        <w:suppressAutoHyphens/>
      </w:pPr>
    </w:p>
    <w:p w:rsidR="00FA2FF2" w:rsidP="00FA2FF2" w:rsidRDefault="00FA2FF2" w14:paraId="20E25531" w14:textId="77777777">
      <w:pPr>
        <w:suppressAutoHyphens/>
      </w:pPr>
    </w:p>
    <w:p w:rsidR="00FA2FF2" w:rsidP="00FA2FF2" w:rsidRDefault="00FA2FF2" w14:paraId="25EB0874" w14:textId="77777777">
      <w:pPr>
        <w:suppressAutoHyphens/>
      </w:pPr>
    </w:p>
    <w:p w:rsidR="00FA2FF2" w:rsidP="00FA2FF2" w:rsidRDefault="00FA2FF2" w14:paraId="44B000D7" w14:textId="77777777">
      <w:pPr>
        <w:suppressAutoHyphens/>
      </w:pPr>
      <w:r w:rsidRPr="005C33D0">
        <w:t xml:space="preserve">Vraag 7. </w:t>
      </w:r>
    </w:p>
    <w:p w:rsidRPr="005C33D0" w:rsidR="00FA2FF2" w:rsidP="00FA2FF2" w:rsidRDefault="00FA2FF2" w14:paraId="2F1D0283" w14:textId="77777777">
      <w:pPr>
        <w:suppressAutoHyphens/>
      </w:pPr>
      <w:r w:rsidRPr="005C33D0">
        <w:lastRenderedPageBreak/>
        <w:t>Hoe beoordeelt u het feit dat in 10 van de 19 onderzochte dossiers, dus bij meer dan de helft, bij Enver de screeningsverslagen ontbraken of incompleet waren, en dat bij nieuwe inwonenden in pleeggezinnen geen Verklaring van Geen Bezwaar werd opgevraagd? Acht u dit in strijd met artikel 5.1 Jeugdwet?</w:t>
      </w:r>
    </w:p>
    <w:p w:rsidRPr="005C33D0" w:rsidR="00FA2FF2" w:rsidP="00FA2FF2" w:rsidRDefault="00FA2FF2" w14:paraId="06F61D3B" w14:textId="77777777">
      <w:pPr>
        <w:suppressAutoHyphens/>
      </w:pPr>
    </w:p>
    <w:p w:rsidRPr="005C33D0" w:rsidR="00FA2FF2" w:rsidP="00FA2FF2" w:rsidRDefault="00FA2FF2" w14:paraId="2ACC1868" w14:textId="77777777">
      <w:pPr>
        <w:suppressAutoHyphens/>
      </w:pPr>
      <w:r w:rsidRPr="005C33D0">
        <w:t>Antwoord 7</w:t>
      </w:r>
    </w:p>
    <w:p w:rsidRPr="005C33D0" w:rsidR="00FA2FF2" w:rsidP="00FA2FF2" w:rsidRDefault="00FA2FF2" w14:paraId="72D11B8E" w14:textId="77777777">
      <w:pPr>
        <w:suppressAutoHyphens/>
      </w:pPr>
      <w:r w:rsidRPr="005C33D0">
        <w:t>Vooropgesteld: aspirant</w:t>
      </w:r>
      <w:r>
        <w:t>-</w:t>
      </w:r>
      <w:r w:rsidRPr="005C33D0">
        <w:t xml:space="preserve">pleegouders dienen voorafgaand aan een plaatsing over een </w:t>
      </w:r>
      <w:r>
        <w:t>Verklaring van Geen Bezwaar (</w:t>
      </w:r>
      <w:r w:rsidRPr="005C33D0">
        <w:t>VGB</w:t>
      </w:r>
      <w:r>
        <w:t>)</w:t>
      </w:r>
      <w:r w:rsidRPr="005C33D0">
        <w:t xml:space="preserve"> te beschikken. In het geval van een netwerkplaatsing </w:t>
      </w:r>
      <w:r>
        <w:t xml:space="preserve">moet dit </w:t>
      </w:r>
      <w:r w:rsidRPr="005C33D0">
        <w:t>zo snel mogelijk</w:t>
      </w:r>
      <w:r>
        <w:t xml:space="preserve"> plaatsvinden</w:t>
      </w:r>
      <w:r w:rsidRPr="005C33D0">
        <w:t>. Een VGB is een justitiële screening waarbij de R</w:t>
      </w:r>
      <w:r>
        <w:t>aad voor de Kinderbescherming</w:t>
      </w:r>
      <w:r w:rsidRPr="005C33D0">
        <w:t xml:space="preserve"> het Justitieel Documentatie Systeem en het eigen archief raadpleegt. De pleegzorgorganisatie doet vervolgens een pleegouderonderzoek waarin wordt beoordeeld of het pleeggezin geschikt is om een pleegkind te verzorgen en op te voeden. </w:t>
      </w:r>
      <w:r>
        <w:t>Bij de komst van nieuwe inwonenden in een pleeggezin die 12 jaar of ouder zijn, met uitzondering van pleegkinderen, is ook een nieuwe VGB vereist.</w:t>
      </w:r>
    </w:p>
    <w:p w:rsidRPr="005C33D0" w:rsidR="00FA2FF2" w:rsidP="00FA2FF2" w:rsidRDefault="00FA2FF2" w14:paraId="5B1B0541" w14:textId="77777777">
      <w:pPr>
        <w:suppressAutoHyphens/>
      </w:pPr>
    </w:p>
    <w:p w:rsidRPr="005C33D0" w:rsidR="00FA2FF2" w:rsidP="00FA2FF2" w:rsidRDefault="00FA2FF2" w14:paraId="36A57365" w14:textId="77777777">
      <w:pPr>
        <w:suppressAutoHyphens/>
      </w:pPr>
      <w:r w:rsidRPr="005C33D0">
        <w:t xml:space="preserve">De IGJ constateerde dat de onderzochte dossiers van Enver niet op orde zijn. Er ontbraken (her-)screeningsverslagen, het was onduidelijk of risico’s voldoende in kaart zijn gebracht en of hier een gestructureerde methodiek voor </w:t>
      </w:r>
      <w:r w:rsidRPr="00745D52">
        <w:t>gebruikt is. De IGJ ziet erop toe dat Enver de dossiervoering verbetert</w:t>
      </w:r>
      <w:r>
        <w:t xml:space="preserve"> en daarmee voldoet </w:t>
      </w:r>
      <w:r w:rsidRPr="00745D52">
        <w:t>aan de door de wet gestelde voorwaarden</w:t>
      </w:r>
      <w:r>
        <w:t>.</w:t>
      </w:r>
    </w:p>
    <w:p w:rsidRPr="005C33D0" w:rsidR="00FA2FF2" w:rsidP="00FA2FF2" w:rsidRDefault="00FA2FF2" w14:paraId="0448A8EF" w14:textId="77777777">
      <w:pPr>
        <w:suppressAutoHyphens/>
      </w:pPr>
    </w:p>
    <w:p w:rsidR="00FA2FF2" w:rsidP="00FA2FF2" w:rsidRDefault="00FA2FF2" w14:paraId="728597FC" w14:textId="77777777">
      <w:pPr>
        <w:suppressAutoHyphens/>
      </w:pPr>
      <w:r w:rsidRPr="005C33D0">
        <w:t xml:space="preserve">Vraag 8. </w:t>
      </w:r>
    </w:p>
    <w:p w:rsidRPr="005C33D0" w:rsidR="00FA2FF2" w:rsidP="00FA2FF2" w:rsidRDefault="00FA2FF2" w14:paraId="0A24A379" w14:textId="77777777">
      <w:pPr>
        <w:suppressAutoHyphens/>
      </w:pPr>
      <w:r w:rsidRPr="005C33D0">
        <w:t>Welke stappen gaat u ondernemen voor de pleegkinderen die nu geplaatst zijn bij een pleeggezin waar de screening niet afdoende op orde is? En welke stappen gaat u ondernemen richting de ouders waarvan de kinderen geplaatst zijn in pleeggezinnen waar de screening niet afdoende op orde is?</w:t>
      </w:r>
    </w:p>
    <w:p w:rsidRPr="005C33D0" w:rsidR="00FA2FF2" w:rsidP="00FA2FF2" w:rsidRDefault="00FA2FF2" w14:paraId="3AA0156D" w14:textId="77777777">
      <w:pPr>
        <w:suppressAutoHyphens/>
      </w:pPr>
    </w:p>
    <w:p w:rsidRPr="005C33D0" w:rsidR="00FA2FF2" w:rsidP="00FA2FF2" w:rsidRDefault="00FA2FF2" w14:paraId="2A62C07B" w14:textId="77777777">
      <w:pPr>
        <w:suppressAutoHyphens/>
      </w:pPr>
      <w:r w:rsidRPr="005C33D0">
        <w:t>Antwoord 8</w:t>
      </w:r>
    </w:p>
    <w:p w:rsidRPr="005C33D0" w:rsidR="00FA2FF2" w:rsidP="00FA2FF2" w:rsidRDefault="00FA2FF2" w14:paraId="297EE5E8" w14:textId="77777777">
      <w:pPr>
        <w:suppressAutoHyphens/>
      </w:pPr>
      <w:bookmarkStart w:name="_Hlk200361941" w:id="0"/>
      <w:r w:rsidRPr="005C33D0">
        <w:t>De IGJ heeft verbetermaatregelen geformuleerd voor Enver. Zo verwacht de IGJ dat nieuwe en/of aanvullende screening bij veranderende omstandigheden, zoals bij bijplaatsing van een</w:t>
      </w:r>
      <w:r>
        <w:t xml:space="preserve"> pleegkind</w:t>
      </w:r>
      <w:r w:rsidRPr="005C33D0">
        <w:t xml:space="preserve"> in een pleeggezin, navolgbaar wordt vastgelegd in het dossier. </w:t>
      </w:r>
      <w:r w:rsidRPr="00745D52">
        <w:t>De IGJ verwacht ook van Enver dat ze de aanvraagprocedure omtrent een VGB aanpast in lijn met de Jeugdwet (artikel 5.1) en ook een VGB aanvraagt bij de komst van nieuwe inwonenden.</w:t>
      </w:r>
      <w:r>
        <w:rPr>
          <w:vertAlign w:val="superscript"/>
        </w:rPr>
        <w:footnoteReference w:id="1"/>
      </w:r>
    </w:p>
    <w:p w:rsidRPr="005C33D0" w:rsidR="00FA2FF2" w:rsidP="00FA2FF2" w:rsidRDefault="00FA2FF2" w14:paraId="0446CA1B" w14:textId="77777777">
      <w:pPr>
        <w:suppressAutoHyphens/>
      </w:pPr>
      <w:r w:rsidRPr="005C33D0">
        <w:t xml:space="preserve">Omdat het verscherpt toezicht loopt, doet de IGJ geen uitspraken over de concrete maatregelen die Enver onderneemt. Gedurende het verscherpt toezicht houdt de </w:t>
      </w:r>
      <w:r w:rsidRPr="005C33D0">
        <w:lastRenderedPageBreak/>
        <w:t>IGJ nauwlettend in de gaten hoe Enver de verbeteringen in de organisatie gaat doorvoeren. Verder verwij</w:t>
      </w:r>
      <w:r>
        <w:t>s ik</w:t>
      </w:r>
      <w:r w:rsidRPr="005C33D0">
        <w:t xml:space="preserve"> u naar het antwoord op vraag 9.</w:t>
      </w:r>
    </w:p>
    <w:bookmarkEnd w:id="0"/>
    <w:p w:rsidRPr="005C33D0" w:rsidR="00FA2FF2" w:rsidP="00FA2FF2" w:rsidRDefault="00FA2FF2" w14:paraId="2AC4129A" w14:textId="77777777">
      <w:pPr>
        <w:suppressAutoHyphens/>
      </w:pPr>
    </w:p>
    <w:p w:rsidR="00FA2FF2" w:rsidP="00FA2FF2" w:rsidRDefault="00FA2FF2" w14:paraId="3F0A588A" w14:textId="77777777">
      <w:pPr>
        <w:suppressAutoHyphens/>
      </w:pPr>
      <w:r w:rsidRPr="005C33D0">
        <w:t xml:space="preserve">Vraag 9. </w:t>
      </w:r>
    </w:p>
    <w:p w:rsidRPr="005C33D0" w:rsidR="00FA2FF2" w:rsidP="00FA2FF2" w:rsidRDefault="00FA2FF2" w14:paraId="0AF381A0" w14:textId="77777777">
      <w:pPr>
        <w:suppressAutoHyphens/>
      </w:pPr>
      <w:r w:rsidRPr="005C33D0">
        <w:t>Welke concrete stappen heeft u reeds ondernomen of gaat u ondernemen om te waarborgen dat alle pleegzorgaanbieders vanaf nu voldoen aan de wettelijke eisen voor screening en herbeoordeling van pleeggezinnen? Hoe gaat u dat toetsen en volgen?</w:t>
      </w:r>
    </w:p>
    <w:p w:rsidRPr="005C33D0" w:rsidR="00FA2FF2" w:rsidP="00FA2FF2" w:rsidRDefault="00FA2FF2" w14:paraId="3AC08249" w14:textId="77777777">
      <w:pPr>
        <w:suppressAutoHyphens/>
      </w:pPr>
    </w:p>
    <w:p w:rsidR="00FA2FF2" w:rsidP="00FA2FF2" w:rsidRDefault="00FA2FF2" w14:paraId="0652F5FA" w14:textId="77777777">
      <w:pPr>
        <w:suppressAutoHyphens/>
      </w:pPr>
    </w:p>
    <w:p w:rsidR="00FA2FF2" w:rsidP="00FA2FF2" w:rsidRDefault="00FA2FF2" w14:paraId="37B327ED" w14:textId="77777777">
      <w:pPr>
        <w:suppressAutoHyphens/>
      </w:pPr>
    </w:p>
    <w:p w:rsidRPr="005C33D0" w:rsidR="00FA2FF2" w:rsidP="00FA2FF2" w:rsidRDefault="00FA2FF2" w14:paraId="6F0F7A19" w14:textId="77777777">
      <w:pPr>
        <w:suppressAutoHyphens/>
      </w:pPr>
      <w:r w:rsidRPr="005C33D0">
        <w:t>Antwoord 9</w:t>
      </w:r>
    </w:p>
    <w:p w:rsidRPr="005C33D0" w:rsidR="00FA2FF2" w:rsidP="00FA2FF2" w:rsidRDefault="00FA2FF2" w14:paraId="3FCC0A77" w14:textId="77777777">
      <w:pPr>
        <w:suppressAutoHyphens/>
      </w:pPr>
      <w:r w:rsidRPr="005C33D0">
        <w:t xml:space="preserve">Pleegzorgaanbieders dragen zorg voor zorgvuldige screening van pleegouders. Daarvoor richten zij hun screeningsprotocol in aan de hand van </w:t>
      </w:r>
      <w:r>
        <w:t xml:space="preserve">het </w:t>
      </w:r>
      <w:r w:rsidRPr="005C33D0">
        <w:t>landelijke Kwaliteitskader Voorbereiding en Screening Pleegzorg,</w:t>
      </w:r>
      <w:r>
        <w:rPr>
          <w:vertAlign w:val="superscript"/>
        </w:rPr>
        <w:footnoteReference w:id="2"/>
      </w:r>
      <w:r w:rsidRPr="005C33D0">
        <w:t xml:space="preserve"> waar Jeugdzorg Nederland eigenaar van is. Dit kwaliteitskader is door pleegzorgaanbieders gezamenlijk opgesteld met als doel om duidelijkheid, transparantie en eenduidigheid te brengen in het proces van voorbereiding en screening in de pleegzorg. Vanwege de </w:t>
      </w:r>
      <w:r>
        <w:t xml:space="preserve">vreselijke </w:t>
      </w:r>
      <w:r w:rsidRPr="005C33D0">
        <w:t>gebeurteni</w:t>
      </w:r>
      <w:r>
        <w:t>s</w:t>
      </w:r>
      <w:r w:rsidRPr="005C33D0">
        <w:t>s</w:t>
      </w:r>
      <w:r>
        <w:t>en in het pleeggezin</w:t>
      </w:r>
      <w:r w:rsidRPr="005C33D0">
        <w:t xml:space="preserve"> in Vlaardingen, heeft Jeugdzorg Nederland besloten de evaluatie van dit kwaliteitskader te vervroegen. Deze evaluatie loopt inmiddels. Hierbij kijkt Jeugdzorg Nederland in elk geval hoe betere afspraken gemaakt kunnen worden over (her)screening van pleegouders, in welke gevallen het mogelijk zou moeten zijn om een pleegzorgcontract te beëindigen en hoe de screening van netwerkpleegouders zo veel mogelijk gelijkgetrokken kan worden aan bestandspleegouders. Jeugdzorg Nederland streeft ernaar een nieuwe versie van het Kwaliteitskader dit najaar gereed te hebben. </w:t>
      </w:r>
      <w:r>
        <w:t xml:space="preserve">Ik </w:t>
      </w:r>
      <w:r w:rsidRPr="005C33D0">
        <w:t xml:space="preserve">volg deze ontwikkelingen op de voet.  </w:t>
      </w:r>
    </w:p>
    <w:p w:rsidRPr="005C33D0" w:rsidR="00FA2FF2" w:rsidP="00FA2FF2" w:rsidRDefault="00FA2FF2" w14:paraId="11BA5AF7" w14:textId="77777777">
      <w:pPr>
        <w:suppressAutoHyphens/>
      </w:pPr>
      <w:r w:rsidRPr="005C33D0">
        <w:t xml:space="preserve">In aanvulling hierop zijn </w:t>
      </w:r>
      <w:r>
        <w:t xml:space="preserve">de staatssecretaris Rechtsbescherming en ik </w:t>
      </w:r>
      <w:r w:rsidRPr="005C33D0">
        <w:t xml:space="preserve">– in samenwerking met de Raad voor de Kinderbescherming en Jeugdzorg Nederland – gestart met een verkenning naar de wenselijkheid van continue (justitiële) of periodieke screening van pleegouders. Hierbij wordt ook gekeken naar de wens van de Raad voor de Kinderbescherming om een Verklaring van </w:t>
      </w:r>
      <w:r>
        <w:t>G</w:t>
      </w:r>
      <w:r w:rsidRPr="005C33D0">
        <w:t xml:space="preserve">een </w:t>
      </w:r>
      <w:r>
        <w:t>B</w:t>
      </w:r>
      <w:r w:rsidRPr="005C33D0">
        <w:t>ezwaar in te kunnen trekken en/of een geldigheidsduur van een afgegeven VGB vast te stellen. Wij verwachten uw Kamer aan het eind van dit jaar hierover te informeren</w:t>
      </w:r>
      <w:r>
        <w:t>, in vervolg op de Kamerbrief van 19 juni jl.</w:t>
      </w:r>
      <w:r>
        <w:rPr>
          <w:rStyle w:val="Voetnootmarkering"/>
        </w:rPr>
        <w:footnoteReference w:id="3"/>
      </w:r>
    </w:p>
    <w:p w:rsidRPr="005C33D0" w:rsidR="00FA2FF2" w:rsidP="00FA2FF2" w:rsidRDefault="00FA2FF2" w14:paraId="35406024" w14:textId="77777777">
      <w:pPr>
        <w:suppressAutoHyphens/>
      </w:pPr>
    </w:p>
    <w:p w:rsidR="00FA2FF2" w:rsidP="00FA2FF2" w:rsidRDefault="00FA2FF2" w14:paraId="01B51794" w14:textId="77777777">
      <w:pPr>
        <w:suppressAutoHyphens/>
      </w:pPr>
      <w:r w:rsidRPr="005C33D0">
        <w:t xml:space="preserve">Vraag 10. </w:t>
      </w:r>
    </w:p>
    <w:p w:rsidRPr="005C33D0" w:rsidR="00FA2FF2" w:rsidP="00FA2FF2" w:rsidRDefault="00FA2FF2" w14:paraId="1B563BB8" w14:textId="77777777">
      <w:pPr>
        <w:suppressAutoHyphens/>
      </w:pPr>
      <w:r w:rsidRPr="005C33D0">
        <w:lastRenderedPageBreak/>
        <w:t>In de beantwoording van de vragen van het lid Bruyning, vastgelegd in “Aanhangsel van de handelingen 1533 van 4 maart 2025”</w:t>
      </w:r>
      <w:r>
        <w:t xml:space="preserve"> 6)</w:t>
      </w:r>
      <w:r w:rsidRPr="005C33D0">
        <w:t>, stelt u dat de WSS 3300 dossiers heeft doorgelicht en</w:t>
      </w:r>
      <w:r>
        <w:t xml:space="preserve"> </w:t>
      </w:r>
      <w:r w:rsidRPr="005C33D0">
        <w:t>concludeerde dat er "geen reden tot zorg" was ten aanzien van de veiligheid; kunt u toelichten op</w:t>
      </w:r>
      <w:r>
        <w:t xml:space="preserve"> </w:t>
      </w:r>
      <w:r w:rsidRPr="005C33D0">
        <w:t>welke wijze deze dossiers zijn onderzocht, of hierbij de volledigheid en betrouwbaarheid van de</w:t>
      </w:r>
    </w:p>
    <w:p w:rsidRPr="005C33D0" w:rsidR="00FA2FF2" w:rsidP="00FA2FF2" w:rsidRDefault="00FA2FF2" w14:paraId="563DC91A" w14:textId="77777777">
      <w:pPr>
        <w:suppressAutoHyphens/>
      </w:pPr>
      <w:r w:rsidRPr="005C33D0">
        <w:t>screeningsinformatie is getoetst, en hoe u de waarde van deze conclusie beoordeelt tegen de</w:t>
      </w:r>
      <w:r>
        <w:t xml:space="preserve"> </w:t>
      </w:r>
      <w:r w:rsidRPr="005C33D0">
        <w:t>achtergrond van de gebrekkige screening bij Enver?</w:t>
      </w:r>
    </w:p>
    <w:p w:rsidRPr="005C33D0" w:rsidR="00FA2FF2" w:rsidP="00FA2FF2" w:rsidRDefault="00FA2FF2" w14:paraId="1B58D153" w14:textId="77777777">
      <w:pPr>
        <w:suppressAutoHyphens/>
      </w:pPr>
    </w:p>
    <w:p w:rsidRPr="005C33D0" w:rsidR="00FA2FF2" w:rsidP="00FA2FF2" w:rsidRDefault="00FA2FF2" w14:paraId="39631FB0" w14:textId="77777777">
      <w:pPr>
        <w:suppressAutoHyphens/>
      </w:pPr>
      <w:r w:rsidRPr="005C33D0">
        <w:t>Antwoord 10</w:t>
      </w:r>
    </w:p>
    <w:p w:rsidRPr="00946CDC" w:rsidR="00FA2FF2" w:rsidP="00FA2FF2" w:rsidRDefault="00FA2FF2" w14:paraId="2AC3882B" w14:textId="77777777">
      <w:pPr>
        <w:suppressAutoHyphens/>
        <w:autoSpaceDE w:val="0"/>
        <w:autoSpaceDN w:val="0"/>
        <w:adjustRightInd w:val="0"/>
        <w:spacing w:line="240" w:lineRule="auto"/>
        <w:rPr>
          <w:rFonts w:eastAsia="DejaVuSerifCondensed" w:cs="DejaVuSerifCondensed"/>
          <w:szCs w:val="18"/>
        </w:rPr>
      </w:pPr>
      <w:r w:rsidRPr="00946CDC">
        <w:rPr>
          <w:rFonts w:eastAsia="DejaVuSerifCondensed" w:cs="DejaVuSerifCondensed"/>
          <w:szCs w:val="18"/>
        </w:rPr>
        <w:t xml:space="preserve">Door de WSS is een toets gedaan op </w:t>
      </w:r>
      <w:r>
        <w:rPr>
          <w:rFonts w:eastAsia="DejaVuSerifCondensed" w:cs="DejaVuSerifCondensed"/>
          <w:szCs w:val="18"/>
        </w:rPr>
        <w:t>de</w:t>
      </w:r>
      <w:r w:rsidRPr="00946CDC">
        <w:rPr>
          <w:rFonts w:eastAsia="DejaVuSerifCondensed" w:cs="DejaVuSerifCondensed"/>
          <w:szCs w:val="18"/>
        </w:rPr>
        <w:t xml:space="preserve"> 3</w:t>
      </w:r>
      <w:r>
        <w:rPr>
          <w:rFonts w:eastAsia="DejaVuSerifCondensed" w:cs="DejaVuSerifCondensed"/>
          <w:szCs w:val="18"/>
        </w:rPr>
        <w:t>.</w:t>
      </w:r>
      <w:r w:rsidRPr="00946CDC">
        <w:rPr>
          <w:rFonts w:eastAsia="DejaVuSerifCondensed" w:cs="DejaVuSerifCondensed"/>
          <w:szCs w:val="18"/>
        </w:rPr>
        <w:t xml:space="preserve">300 dossiers waar sprake is van plaatsing in een pleeggezin of gezinshuis. Daarbij is getoetst of er sprake was van een actueel gesprek met het kind alleen, een recente veiligheidsbeoordeling en een recente multidisciplinaire casuïstiekbespreking. Daar waar uit de toets naar voren kwam dat het zicht op de veiligheid onvoldoende navolgbaar was, hebben de betrokken gedragswetenschapper en jeugdbeschermer opnieuw </w:t>
      </w:r>
      <w:r>
        <w:rPr>
          <w:rFonts w:eastAsia="DejaVuSerifCondensed" w:cs="DejaVuSerifCondensed"/>
          <w:szCs w:val="18"/>
        </w:rPr>
        <w:t xml:space="preserve">en veiligheidsbeoordeling </w:t>
      </w:r>
      <w:r w:rsidRPr="00946CDC">
        <w:rPr>
          <w:rFonts w:eastAsia="DejaVuSerifCondensed" w:cs="DejaVuSerifCondensed"/>
          <w:szCs w:val="18"/>
        </w:rPr>
        <w:t xml:space="preserve">gedaan. </w:t>
      </w:r>
    </w:p>
    <w:p w:rsidR="00FA2FF2" w:rsidP="00FA2FF2" w:rsidRDefault="00FA2FF2" w14:paraId="2A4B9C4F" w14:textId="77777777">
      <w:pPr>
        <w:suppressAutoHyphens/>
        <w:autoSpaceDE w:val="0"/>
        <w:autoSpaceDN w:val="0"/>
        <w:adjustRightInd w:val="0"/>
        <w:spacing w:line="240" w:lineRule="auto"/>
        <w:rPr>
          <w:rFonts w:eastAsia="DejaVuSerifCondensed" w:cs="DejaVuSerifCondensed"/>
          <w:szCs w:val="18"/>
        </w:rPr>
      </w:pPr>
      <w:r w:rsidRPr="00946CDC">
        <w:rPr>
          <w:rFonts w:eastAsia="DejaVuSerifCondensed" w:cs="DejaVuSerifCondensed"/>
          <w:szCs w:val="18"/>
        </w:rPr>
        <w:t xml:space="preserve">De toets die door de WSS is gedaan ziet op enkele specifieke indicatoren op een specifiek moment. Op basis van die indicatoren, is volgens de WSS geen aanwijzing naar voren gekomen dat destijds het zicht op veiligheid in het geding was. WSS heeft aangegeven de toets op risicofactoren nu ieder kwartaal te herhalen. Indien er sprake is van onvoldoende navolgbaar zicht op de veiligheid wordt dan extra inzet gepleegd. WSS heeft aangegeven dat aanvullende maatregelen worden genomen in een beperkt aantal situaties. </w:t>
      </w:r>
      <w:r>
        <w:rPr>
          <w:rFonts w:eastAsia="DejaVuSerifCondensed" w:cs="DejaVuSerifCondensed"/>
          <w:szCs w:val="18"/>
        </w:rPr>
        <w:t xml:space="preserve">De IGJ en IJenV </w:t>
      </w:r>
    </w:p>
    <w:p w:rsidRPr="00946CDC" w:rsidR="00FA2FF2" w:rsidP="00FA2FF2" w:rsidRDefault="00FA2FF2" w14:paraId="31B84F80"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hebben recent toezicht uitgevoerd bij de WSS waarin onder andere is gekeken in welke mate erin wordt geslaagd te zorgen voor tijdig passende bescherming of begeleiding en hulp.</w:t>
      </w:r>
      <w:r>
        <w:rPr>
          <w:rStyle w:val="Voetnootmarkering"/>
          <w:rFonts w:eastAsia="DejaVuSerifCondensed" w:cs="DejaVuSerifCondensed"/>
          <w:szCs w:val="18"/>
        </w:rPr>
        <w:footnoteReference w:id="4"/>
      </w:r>
      <w:r w:rsidRPr="00946CDC">
        <w:rPr>
          <w:rFonts w:eastAsia="DejaVuSerifCondensed" w:cs="DejaVuSerifCondensed"/>
          <w:szCs w:val="18"/>
        </w:rPr>
        <w:t xml:space="preserve">  </w:t>
      </w:r>
      <w:r>
        <w:rPr>
          <w:rFonts w:eastAsia="DejaVuSerifCondensed" w:cs="DejaVuSerifCondensed"/>
          <w:szCs w:val="18"/>
        </w:rPr>
        <w:t>Verder verwijs ik u naar het antwoord op vraag 12.</w:t>
      </w:r>
    </w:p>
    <w:p w:rsidR="00FA2FF2" w:rsidP="00FA2FF2" w:rsidRDefault="00FA2FF2" w14:paraId="06CEC250" w14:textId="77777777">
      <w:pPr>
        <w:suppressAutoHyphens/>
      </w:pPr>
    </w:p>
    <w:p w:rsidR="00FA2FF2" w:rsidP="00FA2FF2" w:rsidRDefault="00FA2FF2" w14:paraId="45011E40" w14:textId="77777777">
      <w:pPr>
        <w:suppressAutoHyphens/>
      </w:pPr>
      <w:r w:rsidRPr="005C33D0">
        <w:t xml:space="preserve">Vraag 11. </w:t>
      </w:r>
    </w:p>
    <w:p w:rsidRPr="005C33D0" w:rsidR="00FA2FF2" w:rsidP="00FA2FF2" w:rsidRDefault="00FA2FF2" w14:paraId="56F25703" w14:textId="77777777">
      <w:pPr>
        <w:suppressAutoHyphens/>
      </w:pPr>
      <w:r w:rsidRPr="005C33D0">
        <w:t xml:space="preserve">Hoe kijkt u naar de situatie dat uit de 3300 dossiers van WSS </w:t>
      </w:r>
      <w:r>
        <w:t xml:space="preserve">7) </w:t>
      </w:r>
      <w:r w:rsidRPr="005C33D0">
        <w:t>geen zorgelijke situaties naar voren gekomen zijn met betrekking tot Enver? Kunt u het antwoord nader toelichten? Bent u van mening dat het fundamenteel misgaat in de jeugdbeschermingsketen? Zo ja, wat gaat er dan mis volgens u?</w:t>
      </w:r>
    </w:p>
    <w:p w:rsidRPr="005C33D0" w:rsidR="00FA2FF2" w:rsidP="00FA2FF2" w:rsidRDefault="00FA2FF2" w14:paraId="2A00FF29" w14:textId="77777777">
      <w:pPr>
        <w:suppressAutoHyphens/>
      </w:pPr>
    </w:p>
    <w:p w:rsidRPr="005C33D0" w:rsidR="00FA2FF2" w:rsidP="00FA2FF2" w:rsidRDefault="00FA2FF2" w14:paraId="03497F0C" w14:textId="77777777">
      <w:pPr>
        <w:suppressAutoHyphens/>
      </w:pPr>
      <w:r w:rsidRPr="005C33D0">
        <w:t>Antwoord 11</w:t>
      </w:r>
    </w:p>
    <w:p w:rsidRPr="00946CDC" w:rsidR="00FA2FF2" w:rsidP="00FA2FF2" w:rsidRDefault="00FA2FF2" w14:paraId="359B96D9" w14:textId="77777777">
      <w:pPr>
        <w:suppressAutoHyphens/>
        <w:autoSpaceDE w:val="0"/>
        <w:autoSpaceDN w:val="0"/>
        <w:adjustRightInd w:val="0"/>
        <w:spacing w:line="240" w:lineRule="auto"/>
        <w:rPr>
          <w:rFonts w:eastAsia="DejaVuSerifCondensed" w:cs="DejaVuSerifCondensed"/>
          <w:szCs w:val="18"/>
        </w:rPr>
      </w:pPr>
      <w:r w:rsidRPr="00946CDC">
        <w:rPr>
          <w:rFonts w:eastAsia="DejaVuSerifCondensed" w:cs="DejaVuSerifCondensed"/>
          <w:szCs w:val="18"/>
        </w:rPr>
        <w:t>De WSS heeft een toets uitgevoerd op basis van de risicofactoren</w:t>
      </w:r>
      <w:r>
        <w:rPr>
          <w:rFonts w:eastAsia="DejaVuSerifCondensed" w:cs="DejaVuSerifCondensed"/>
          <w:szCs w:val="18"/>
        </w:rPr>
        <w:t>,</w:t>
      </w:r>
      <w:r w:rsidRPr="00946CDC">
        <w:rPr>
          <w:rFonts w:eastAsia="DejaVuSerifCondensed" w:cs="DejaVuSerifCondensed"/>
          <w:szCs w:val="18"/>
        </w:rPr>
        <w:t xml:space="preserve"> zoals bij vraag 10 </w:t>
      </w:r>
      <w:r>
        <w:rPr>
          <w:rFonts w:eastAsia="DejaVuSerifCondensed" w:cs="DejaVuSerifCondensed"/>
          <w:szCs w:val="18"/>
        </w:rPr>
        <w:t>is</w:t>
      </w:r>
      <w:r w:rsidRPr="00946CDC">
        <w:rPr>
          <w:rFonts w:eastAsia="DejaVuSerifCondensed" w:cs="DejaVuSerifCondensed"/>
          <w:szCs w:val="18"/>
        </w:rPr>
        <w:t xml:space="preserve"> omschreven. De WSS heeft niet specifiek getoetst op betrokkenheid van Enver, maar op alle pleegzorgaanbieders die betrokken zijn of waren bij de betreffende 3</w:t>
      </w:r>
      <w:r>
        <w:rPr>
          <w:rFonts w:eastAsia="DejaVuSerifCondensed" w:cs="DejaVuSerifCondensed"/>
          <w:szCs w:val="18"/>
        </w:rPr>
        <w:t>.</w:t>
      </w:r>
      <w:r w:rsidRPr="00946CDC">
        <w:rPr>
          <w:rFonts w:eastAsia="DejaVuSerifCondensed" w:cs="DejaVuSerifCondensed"/>
          <w:szCs w:val="18"/>
        </w:rPr>
        <w:t>300 maatregelen.</w:t>
      </w:r>
    </w:p>
    <w:p w:rsidRPr="00946CDC" w:rsidR="00FA2FF2" w:rsidP="00FA2FF2" w:rsidRDefault="00FA2FF2" w14:paraId="2CF6D21C" w14:textId="77777777">
      <w:pPr>
        <w:suppressAutoHyphens/>
        <w:autoSpaceDE w:val="0"/>
        <w:autoSpaceDN w:val="0"/>
        <w:adjustRightInd w:val="0"/>
        <w:spacing w:line="240" w:lineRule="auto"/>
        <w:rPr>
          <w:rFonts w:eastAsia="DejaVuSerifCondensed" w:cs="DejaVuSerifCondensed"/>
          <w:szCs w:val="18"/>
        </w:rPr>
      </w:pPr>
    </w:p>
    <w:p w:rsidRPr="0054462E" w:rsidR="00FA2FF2" w:rsidP="00FA2FF2" w:rsidRDefault="00FA2FF2" w14:paraId="13E74D66"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De staatssecretaris Rechtsbescherming en ik</w:t>
      </w:r>
      <w:r w:rsidRPr="00946CDC">
        <w:rPr>
          <w:rFonts w:eastAsia="DejaVuSerifCondensed" w:cs="DejaVuSerifCondensed"/>
          <w:szCs w:val="18"/>
        </w:rPr>
        <w:t xml:space="preserve"> zien </w:t>
      </w:r>
      <w:r>
        <w:rPr>
          <w:rFonts w:eastAsia="DejaVuSerifCondensed" w:cs="DejaVuSerifCondensed"/>
          <w:szCs w:val="18"/>
        </w:rPr>
        <w:t xml:space="preserve">en erkennen </w:t>
      </w:r>
      <w:r w:rsidRPr="00946CDC">
        <w:rPr>
          <w:rFonts w:eastAsia="DejaVuSerifCondensed" w:cs="DejaVuSerifCondensed"/>
          <w:szCs w:val="18"/>
        </w:rPr>
        <w:t>de zorgen over de jeugdbeschermingsketen. Om die reden is er de afgelopen jaren stevig ingezet op verbeteringen en werken we aan een stelselwijziging in de uitwerking van het Toekomstscenario kind- en gezinsbescherming</w:t>
      </w:r>
      <w:r>
        <w:rPr>
          <w:rFonts w:eastAsia="DejaVuSerifCondensed" w:cs="DejaVuSerifCondensed"/>
          <w:szCs w:val="18"/>
        </w:rPr>
        <w:t>, waarover recent aan uw Kamer is gerapporteerd.</w:t>
      </w:r>
      <w:r>
        <w:rPr>
          <w:rStyle w:val="Voetnootmarkering"/>
          <w:rFonts w:eastAsia="DejaVuSerifCondensed" w:cs="DejaVuSerifCondensed"/>
          <w:szCs w:val="18"/>
        </w:rPr>
        <w:footnoteReference w:id="5"/>
      </w:r>
    </w:p>
    <w:p w:rsidRPr="005C33D0" w:rsidR="00FA2FF2" w:rsidP="00FA2FF2" w:rsidRDefault="00FA2FF2" w14:paraId="2B90F1A3" w14:textId="77777777">
      <w:pPr>
        <w:suppressAutoHyphens/>
      </w:pPr>
    </w:p>
    <w:p w:rsidR="00FA2FF2" w:rsidP="00FA2FF2" w:rsidRDefault="00FA2FF2" w14:paraId="7292BACD" w14:textId="77777777">
      <w:pPr>
        <w:suppressAutoHyphens/>
      </w:pPr>
      <w:r w:rsidRPr="005C33D0">
        <w:t xml:space="preserve">Vraag 12. </w:t>
      </w:r>
    </w:p>
    <w:p w:rsidRPr="005C33D0" w:rsidR="00FA2FF2" w:rsidP="00FA2FF2" w:rsidRDefault="00FA2FF2" w14:paraId="02153A58" w14:textId="77777777">
      <w:pPr>
        <w:suppressAutoHyphens/>
      </w:pPr>
      <w:r w:rsidRPr="005C33D0">
        <w:t>Hoe controleren de gecertificeerde instellingen de pleegzorgplaatsing en welke organisatie is verantwoordelijk voor de toetsing op grond van artikel 5.1 Jeugdwet?</w:t>
      </w:r>
    </w:p>
    <w:p w:rsidRPr="005C33D0" w:rsidR="00FA2FF2" w:rsidP="00FA2FF2" w:rsidRDefault="00FA2FF2" w14:paraId="036BFCCB" w14:textId="77777777">
      <w:pPr>
        <w:suppressAutoHyphens/>
      </w:pPr>
    </w:p>
    <w:p w:rsidRPr="005C33D0" w:rsidR="00FA2FF2" w:rsidP="00FA2FF2" w:rsidRDefault="00FA2FF2" w14:paraId="60CD9B6A" w14:textId="77777777">
      <w:pPr>
        <w:suppressAutoHyphens/>
      </w:pPr>
      <w:r w:rsidRPr="005C33D0">
        <w:t>Antwoord 12</w:t>
      </w:r>
    </w:p>
    <w:p w:rsidRPr="005C33D0" w:rsidR="00FA2FF2" w:rsidP="00FA2FF2" w:rsidRDefault="00FA2FF2" w14:paraId="4AD00DA9" w14:textId="77777777">
      <w:pPr>
        <w:suppressAutoHyphens/>
      </w:pPr>
      <w:r w:rsidRPr="005C33D0">
        <w:t xml:space="preserve">Zoals in het antwoord op vraag 3 is aangegeven, stelt artikel 5.1 van de Jeugdwet voorwaarden wanneer een pleegzorgaanbieder een contract kan sluiten met een pleegouder. Er is geen aparte (toetsende) rol voor een rechter of </w:t>
      </w:r>
      <w:r>
        <w:t>g</w:t>
      </w:r>
      <w:r w:rsidRPr="005C33D0">
        <w:t xml:space="preserve">ecertificeerde </w:t>
      </w:r>
      <w:r>
        <w:t>i</w:t>
      </w:r>
      <w:r w:rsidRPr="005C33D0">
        <w:t>nstelling</w:t>
      </w:r>
      <w:r w:rsidRPr="00745D52">
        <w:t>. In het geval er sprake is van een gedwongen kader is de pleegzorgorganisatie verantwoordelijk voor een veilig opvoedklimaat in het pleeggezin. De gecertificeerde instelling is verantwoordelijk voor de veiligheid van het pleegkind.</w:t>
      </w:r>
    </w:p>
    <w:p w:rsidRPr="005C33D0" w:rsidR="00FA2FF2" w:rsidP="00FA2FF2" w:rsidRDefault="00FA2FF2" w14:paraId="2AA8E6FC" w14:textId="77777777">
      <w:pPr>
        <w:suppressAutoHyphens/>
      </w:pPr>
    </w:p>
    <w:p w:rsidR="00FA2FF2" w:rsidP="00FA2FF2" w:rsidRDefault="00FA2FF2" w14:paraId="2CB21C2D" w14:textId="77777777">
      <w:pPr>
        <w:suppressAutoHyphens/>
      </w:pPr>
      <w:r w:rsidRPr="005C33D0">
        <w:t xml:space="preserve">Vraag 13. </w:t>
      </w:r>
    </w:p>
    <w:p w:rsidRPr="005C33D0" w:rsidR="00FA2FF2" w:rsidP="00FA2FF2" w:rsidRDefault="00FA2FF2" w14:paraId="47EFC0E4" w14:textId="77777777">
      <w:pPr>
        <w:suppressAutoHyphens/>
      </w:pPr>
      <w:r w:rsidRPr="005C33D0">
        <w:t xml:space="preserve">Kunt u gedetailleerd beschrijven welke concrete stappen genomen zijn naar aanleiding van de signaalbrief toezicht jeugdbeschermingsketen? </w:t>
      </w:r>
      <w:r>
        <w:t xml:space="preserve">8) </w:t>
      </w:r>
      <w:r w:rsidRPr="005C33D0">
        <w:t>Kunt u begrijpen dat ouders en kinderen weinig vertrouwen meer hebben in de overheid naar aanleiding van alle noodklokken die geluid zijn omtrent de jeugdzorg?</w:t>
      </w:r>
    </w:p>
    <w:p w:rsidRPr="005C33D0" w:rsidR="00FA2FF2" w:rsidP="00FA2FF2" w:rsidRDefault="00FA2FF2" w14:paraId="53C7BCCC" w14:textId="77777777">
      <w:pPr>
        <w:suppressAutoHyphens/>
      </w:pPr>
    </w:p>
    <w:p w:rsidRPr="005C33D0" w:rsidR="00FA2FF2" w:rsidP="00FA2FF2" w:rsidRDefault="00FA2FF2" w14:paraId="30A2D360" w14:textId="77777777">
      <w:pPr>
        <w:suppressAutoHyphens/>
      </w:pPr>
      <w:r w:rsidRPr="005C33D0">
        <w:t>Antwoord 13</w:t>
      </w:r>
    </w:p>
    <w:p w:rsidRPr="006A3D19" w:rsidR="00FA2FF2" w:rsidP="00FA2FF2" w:rsidRDefault="00FA2FF2" w14:paraId="7193C79D"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De staatssecretaris Rechtsbescherming en ik </w:t>
      </w:r>
      <w:r w:rsidRPr="006A3D19">
        <w:rPr>
          <w:rFonts w:eastAsia="DejaVuSerifCondensed" w:cs="DejaVuSerifCondensed"/>
          <w:szCs w:val="18"/>
        </w:rPr>
        <w:t>onderken</w:t>
      </w:r>
      <w:r>
        <w:rPr>
          <w:rFonts w:eastAsia="DejaVuSerifCondensed" w:cs="DejaVuSerifCondensed"/>
          <w:szCs w:val="18"/>
        </w:rPr>
        <w:t>nen</w:t>
      </w:r>
      <w:r w:rsidRPr="006A3D19">
        <w:rPr>
          <w:rFonts w:eastAsia="DejaVuSerifCondensed" w:cs="DejaVuSerifCondensed"/>
          <w:szCs w:val="18"/>
        </w:rPr>
        <w:t xml:space="preserve"> dat er zorgen bestaan over de jeugdbeschermingsketen</w:t>
      </w:r>
      <w:r>
        <w:rPr>
          <w:rFonts w:eastAsia="DejaVuSerifCondensed" w:cs="DejaVuSerifCondensed"/>
          <w:szCs w:val="18"/>
        </w:rPr>
        <w:t xml:space="preserve">. </w:t>
      </w:r>
    </w:p>
    <w:p w:rsidR="00FA2FF2" w:rsidP="00FA2FF2" w:rsidRDefault="00FA2FF2" w14:paraId="4D5DC5A6" w14:textId="77777777">
      <w:pPr>
        <w:suppressAutoHyphens/>
        <w:autoSpaceDE w:val="0"/>
        <w:autoSpaceDN w:val="0"/>
        <w:adjustRightInd w:val="0"/>
        <w:spacing w:line="240" w:lineRule="auto"/>
        <w:rPr>
          <w:rFonts w:eastAsia="DejaVuSerifCondensed" w:cs="DejaVuSerifCondensed"/>
          <w:szCs w:val="18"/>
        </w:rPr>
      </w:pPr>
      <w:r w:rsidRPr="006A3D19">
        <w:rPr>
          <w:rFonts w:eastAsia="DejaVuSerifCondensed" w:cs="DejaVuSerifCondensed"/>
          <w:szCs w:val="18"/>
        </w:rPr>
        <w:t xml:space="preserve">Sinds de signaalbrief van de inspecties </w:t>
      </w:r>
      <w:r>
        <w:rPr>
          <w:rFonts w:eastAsia="DejaVuSerifCondensed" w:cs="DejaVuSerifCondensed"/>
          <w:szCs w:val="18"/>
        </w:rPr>
        <w:t>van 9 september 2022 is er daarom stevig ingezet op verbeteringen van de jeugdbeschermingsketen.</w:t>
      </w:r>
      <w:r w:rsidRPr="006A3D19">
        <w:rPr>
          <w:rFonts w:eastAsia="DejaVuSerifCondensed" w:cs="DejaVuSerifCondensed"/>
          <w:szCs w:val="18"/>
        </w:rPr>
        <w:t xml:space="preserve"> Hier zijn we uitgebreid op ingegaan in de verschillende (voortgangs)brieven in 2022, 2023, 2024 en 2025</w:t>
      </w:r>
      <w:r>
        <w:rPr>
          <w:rFonts w:eastAsia="DejaVuSerifCondensed" w:cs="DejaVuSerifCondensed"/>
          <w:szCs w:val="18"/>
        </w:rPr>
        <w:t>.</w:t>
      </w:r>
      <w:r>
        <w:rPr>
          <w:rStyle w:val="Voetnootmarkering"/>
          <w:rFonts w:eastAsia="DejaVuSerifCondensed" w:cs="DejaVuSerifCondensed"/>
          <w:szCs w:val="18"/>
        </w:rPr>
        <w:footnoteReference w:id="6"/>
      </w:r>
      <w:r w:rsidRPr="006A3D19">
        <w:rPr>
          <w:rFonts w:eastAsia="DejaVuSerifCondensed" w:cs="DejaVuSerifCondensed"/>
          <w:szCs w:val="18"/>
        </w:rPr>
        <w:t xml:space="preserve"> Zo is ingezet op het verlagen van de werkdruk binnen </w:t>
      </w:r>
      <w:r>
        <w:rPr>
          <w:rFonts w:eastAsia="DejaVuSerifCondensed" w:cs="DejaVuSerifCondensed"/>
          <w:szCs w:val="18"/>
        </w:rPr>
        <w:t>de gecertificeerde instellingen</w:t>
      </w:r>
      <w:r w:rsidRPr="006A3D19">
        <w:rPr>
          <w:rFonts w:eastAsia="DejaVuSerifCondensed" w:cs="DejaVuSerifCondensed"/>
          <w:szCs w:val="18"/>
        </w:rPr>
        <w:t xml:space="preserve"> door onder andere de invoering van het landelijk tarief en de zij-instroomregeling. Dit heeft geresulteerd in een verlaging van de werkdruk naar </w:t>
      </w:r>
    </w:p>
    <w:p w:rsidRPr="006A3D19" w:rsidR="00FA2FF2" w:rsidP="00FA2FF2" w:rsidRDefault="00FA2FF2" w14:paraId="217455A3" w14:textId="77777777">
      <w:pPr>
        <w:suppressAutoHyphens/>
        <w:autoSpaceDE w:val="0"/>
        <w:autoSpaceDN w:val="0"/>
        <w:adjustRightInd w:val="0"/>
        <w:spacing w:line="240" w:lineRule="auto"/>
        <w:rPr>
          <w:rFonts w:eastAsia="DejaVuSerifCondensed" w:cs="DejaVuSerifCondensed"/>
          <w:szCs w:val="18"/>
        </w:rPr>
      </w:pPr>
      <w:r w:rsidRPr="006A3D19">
        <w:rPr>
          <w:rFonts w:eastAsia="DejaVuSerifCondensed" w:cs="DejaVuSerifCondensed"/>
          <w:szCs w:val="18"/>
        </w:rPr>
        <w:lastRenderedPageBreak/>
        <w:t>een gemiddelde van 12 kinderen per jeugdbeschermer/jeugdreclasseerder</w:t>
      </w:r>
      <w:r>
        <w:rPr>
          <w:rFonts w:eastAsia="DejaVuSerifCondensed" w:cs="DejaVuSerifCondensed"/>
          <w:szCs w:val="18"/>
        </w:rPr>
        <w:t>, op peildatum 1 april 2025</w:t>
      </w:r>
      <w:r w:rsidRPr="006A3D19">
        <w:rPr>
          <w:rFonts w:eastAsia="DejaVuSerifCondensed" w:cs="DejaVuSerifCondensed"/>
          <w:szCs w:val="18"/>
        </w:rPr>
        <w:t>.</w:t>
      </w:r>
      <w:r>
        <w:rPr>
          <w:rStyle w:val="Voetnootmarkering"/>
          <w:rFonts w:eastAsia="DejaVuSerifCondensed" w:cs="DejaVuSerifCondensed"/>
          <w:szCs w:val="18"/>
        </w:rPr>
        <w:footnoteReference w:id="7"/>
      </w:r>
      <w:r w:rsidRPr="006A3D19">
        <w:rPr>
          <w:rFonts w:eastAsia="DejaVuSerifCondensed" w:cs="DejaVuSerifCondensed"/>
          <w:szCs w:val="18"/>
        </w:rPr>
        <w:t xml:space="preserve"> Ten tijde van de signaalbrief was dit nog 17,1 kinderen per jeugdbeschermer/jeugdreclasseerder. Daarnaast wordt gewerkt aan het wetsvoorstel </w:t>
      </w:r>
      <w:r>
        <w:rPr>
          <w:rFonts w:eastAsia="DejaVuSerifCondensed" w:cs="DejaVuSerifCondensed"/>
          <w:szCs w:val="18"/>
        </w:rPr>
        <w:t xml:space="preserve">dat tot doel heeft de </w:t>
      </w:r>
      <w:r w:rsidRPr="006A3D19">
        <w:rPr>
          <w:rFonts w:eastAsia="DejaVuSerifCondensed" w:cs="DejaVuSerifCondensed"/>
          <w:szCs w:val="18"/>
        </w:rPr>
        <w:t>rechtsbescherming voor ouders en kinderen</w:t>
      </w:r>
      <w:r>
        <w:rPr>
          <w:rFonts w:eastAsia="DejaVuSerifCondensed" w:cs="DejaVuSerifCondensed"/>
          <w:szCs w:val="18"/>
        </w:rPr>
        <w:t xml:space="preserve"> in de jeugdbescherming te verbeteren</w:t>
      </w:r>
      <w:r w:rsidRPr="006A3D19">
        <w:rPr>
          <w:rFonts w:eastAsia="DejaVuSerifCondensed" w:cs="DejaVuSerifCondensed"/>
          <w:szCs w:val="18"/>
        </w:rPr>
        <w:t xml:space="preserve">. Het streven is om het wetsvoorstel dit najaar ter advisering voor te leggen aan de Raad van State.   </w:t>
      </w:r>
    </w:p>
    <w:p w:rsidR="00FA2FF2" w:rsidP="00FA2FF2" w:rsidRDefault="00FA2FF2" w14:paraId="07060A03" w14:textId="77777777">
      <w:pPr>
        <w:suppressAutoHyphens/>
      </w:pPr>
    </w:p>
    <w:p w:rsidR="00FA2FF2" w:rsidP="00FA2FF2" w:rsidRDefault="00FA2FF2" w14:paraId="0DBAC69F" w14:textId="77777777">
      <w:pPr>
        <w:suppressAutoHyphens/>
      </w:pPr>
    </w:p>
    <w:p w:rsidR="00FA2FF2" w:rsidP="00FA2FF2" w:rsidRDefault="00FA2FF2" w14:paraId="516277B6" w14:textId="77777777">
      <w:pPr>
        <w:suppressAutoHyphens/>
      </w:pPr>
    </w:p>
    <w:p w:rsidR="00FA2FF2" w:rsidP="00FA2FF2" w:rsidRDefault="00FA2FF2" w14:paraId="49975290" w14:textId="77777777">
      <w:pPr>
        <w:suppressAutoHyphens/>
      </w:pPr>
    </w:p>
    <w:p w:rsidR="00FA2FF2" w:rsidP="00FA2FF2" w:rsidRDefault="00FA2FF2" w14:paraId="4D474929" w14:textId="77777777">
      <w:pPr>
        <w:suppressAutoHyphens/>
      </w:pPr>
    </w:p>
    <w:p w:rsidR="00FA2FF2" w:rsidP="00FA2FF2" w:rsidRDefault="00FA2FF2" w14:paraId="42CE847C" w14:textId="77777777">
      <w:pPr>
        <w:suppressAutoHyphens/>
      </w:pPr>
    </w:p>
    <w:p w:rsidRPr="00FA2FF2" w:rsidR="00FA2FF2" w:rsidP="00FA2FF2" w:rsidRDefault="00FA2FF2" w14:paraId="07BD53AE" w14:textId="77777777">
      <w:pPr>
        <w:pStyle w:val="Lijstalinea"/>
        <w:numPr>
          <w:ilvl w:val="0"/>
          <w:numId w:val="2"/>
        </w:numPr>
        <w:suppressAutoHyphens/>
        <w:spacing w:after="0" w:line="240" w:lineRule="atLeast"/>
        <w:rPr>
          <w:lang w:val="en-US"/>
        </w:rPr>
      </w:pPr>
      <w:r w:rsidRPr="00FA2FF2">
        <w:rPr>
          <w:lang w:val="en-US"/>
        </w:rPr>
        <w:t>ECLI:NL:RBNNE:2024:4759, r.o. 2.11.</w:t>
      </w:r>
    </w:p>
    <w:p w:rsidRPr="00FA2FF2" w:rsidR="00FA2FF2" w:rsidP="00FA2FF2" w:rsidRDefault="00FA2FF2" w14:paraId="053FEA65" w14:textId="77777777">
      <w:pPr>
        <w:pStyle w:val="Lijstalinea"/>
        <w:suppressAutoHyphens/>
        <w:ind w:left="0"/>
        <w:rPr>
          <w:lang w:val="en-US"/>
        </w:rPr>
      </w:pPr>
    </w:p>
    <w:p w:rsidR="00FA2FF2" w:rsidP="00FA2FF2" w:rsidRDefault="00FA2FF2" w14:paraId="000FD04E" w14:textId="77777777">
      <w:pPr>
        <w:pStyle w:val="Lijstalinea"/>
        <w:numPr>
          <w:ilvl w:val="0"/>
          <w:numId w:val="2"/>
        </w:numPr>
        <w:suppressAutoHyphens/>
        <w:spacing w:after="0" w:line="240" w:lineRule="atLeast"/>
      </w:pPr>
      <w:r>
        <w:t>ECLI:NL:RBNNE:2024:4759.</w:t>
      </w:r>
    </w:p>
    <w:p w:rsidR="00FA2FF2" w:rsidP="00FA2FF2" w:rsidRDefault="00FA2FF2" w14:paraId="79B6E8DE" w14:textId="77777777">
      <w:pPr>
        <w:suppressAutoHyphens/>
      </w:pPr>
    </w:p>
    <w:p w:rsidR="00FA2FF2" w:rsidP="00FA2FF2" w:rsidRDefault="00FA2FF2" w14:paraId="7910971D" w14:textId="77777777">
      <w:pPr>
        <w:pStyle w:val="Lijstalinea"/>
        <w:numPr>
          <w:ilvl w:val="0"/>
          <w:numId w:val="2"/>
        </w:numPr>
        <w:suppressAutoHyphens/>
        <w:spacing w:after="0" w:line="240" w:lineRule="atLeast"/>
      </w:pPr>
      <w:r>
        <w:t>ECLI:NL:RBNNE:2024:4759.</w:t>
      </w:r>
    </w:p>
    <w:p w:rsidR="00FA2FF2" w:rsidP="00FA2FF2" w:rsidRDefault="00FA2FF2" w14:paraId="0C8234F1" w14:textId="77777777">
      <w:pPr>
        <w:pStyle w:val="Lijstalinea"/>
        <w:suppressAutoHyphens/>
        <w:ind w:left="0"/>
      </w:pPr>
    </w:p>
    <w:p w:rsidR="00FA2FF2" w:rsidP="00FA2FF2" w:rsidRDefault="00FA2FF2" w14:paraId="7A35A956" w14:textId="77777777">
      <w:pPr>
        <w:pStyle w:val="Lijstalinea"/>
        <w:numPr>
          <w:ilvl w:val="0"/>
          <w:numId w:val="2"/>
        </w:numPr>
        <w:suppressAutoHyphens/>
        <w:spacing w:after="0" w:line="240" w:lineRule="atLeast"/>
      </w:pPr>
      <w:r>
        <w:t>ECLI:NL:RBNNE:2024:4759.</w:t>
      </w:r>
    </w:p>
    <w:p w:rsidR="00FA2FF2" w:rsidP="00FA2FF2" w:rsidRDefault="00FA2FF2" w14:paraId="77AE3363" w14:textId="77777777">
      <w:pPr>
        <w:suppressAutoHyphens/>
      </w:pPr>
    </w:p>
    <w:p w:rsidR="00FA2FF2" w:rsidP="00FA2FF2" w:rsidRDefault="00FA2FF2" w14:paraId="70F65393" w14:textId="77777777">
      <w:pPr>
        <w:pStyle w:val="Lijstalinea"/>
        <w:numPr>
          <w:ilvl w:val="0"/>
          <w:numId w:val="2"/>
        </w:numPr>
        <w:suppressAutoHyphens/>
        <w:spacing w:after="0" w:line="240" w:lineRule="atLeast"/>
      </w:pPr>
      <w:r>
        <w:t>IGJ, 15 mei 2025, Rapport en verscherpt toezicht voor Enver Pleegzorg (</w:t>
      </w:r>
      <w:hyperlink w:history="1" r:id="rId7">
        <w:r w:rsidRPr="00956385">
          <w:rPr>
            <w:rStyle w:val="Hyperlink"/>
          </w:rPr>
          <w:t>https://www.igj/publicaties/rapporten/2025/05/14/verscherpt-toezicht-enver-rotterdam</w:t>
        </w:r>
      </w:hyperlink>
      <w:r>
        <w:t>).</w:t>
      </w:r>
    </w:p>
    <w:p w:rsidR="00FA2FF2" w:rsidP="00FA2FF2" w:rsidRDefault="00FA2FF2" w14:paraId="34F11CEC" w14:textId="77777777">
      <w:pPr>
        <w:pStyle w:val="Lijstalinea"/>
        <w:suppressAutoHyphens/>
        <w:ind w:left="0"/>
      </w:pPr>
    </w:p>
    <w:p w:rsidR="00FA2FF2" w:rsidP="00FA2FF2" w:rsidRDefault="00FA2FF2" w14:paraId="20EF6094" w14:textId="77777777">
      <w:pPr>
        <w:pStyle w:val="Lijstalinea"/>
        <w:numPr>
          <w:ilvl w:val="0"/>
          <w:numId w:val="2"/>
        </w:numPr>
        <w:suppressAutoHyphens/>
        <w:spacing w:after="0" w:line="240" w:lineRule="atLeast"/>
      </w:pPr>
      <w:r>
        <w:t>Aanhangsel van de Handelingen, vergaderjaar 2024-2025, nr. 1533.</w:t>
      </w:r>
    </w:p>
    <w:p w:rsidR="00FA2FF2" w:rsidP="00FA2FF2" w:rsidRDefault="00FA2FF2" w14:paraId="1A58D540" w14:textId="77777777">
      <w:pPr>
        <w:pStyle w:val="Lijstalinea"/>
        <w:suppressAutoHyphens/>
        <w:ind w:left="0"/>
      </w:pPr>
    </w:p>
    <w:p w:rsidR="00FA2FF2" w:rsidP="00FA2FF2" w:rsidRDefault="00FA2FF2" w14:paraId="5CF9B6AA" w14:textId="77777777">
      <w:pPr>
        <w:pStyle w:val="Lijstalinea"/>
        <w:numPr>
          <w:ilvl w:val="0"/>
          <w:numId w:val="2"/>
        </w:numPr>
        <w:suppressAutoHyphens/>
        <w:spacing w:after="0" w:line="240" w:lineRule="atLeast"/>
      </w:pPr>
      <w:r>
        <w:t>Aanhangsel van de Handelingen, vergaderjaar 2024-2025, nr. 1533.</w:t>
      </w:r>
    </w:p>
    <w:p w:rsidR="00FA2FF2" w:rsidP="00FA2FF2" w:rsidRDefault="00FA2FF2" w14:paraId="72E17D5C" w14:textId="77777777">
      <w:pPr>
        <w:pStyle w:val="Lijstalinea"/>
        <w:suppressAutoHyphens/>
        <w:ind w:left="0"/>
      </w:pPr>
    </w:p>
    <w:p w:rsidRPr="005C33D0" w:rsidR="00FA2FF2" w:rsidP="00FA2FF2" w:rsidRDefault="00FA2FF2" w14:paraId="4F9317F3" w14:textId="77777777">
      <w:pPr>
        <w:pStyle w:val="Lijstalinea"/>
        <w:numPr>
          <w:ilvl w:val="0"/>
          <w:numId w:val="2"/>
        </w:numPr>
        <w:suppressAutoHyphens/>
        <w:spacing w:after="0" w:line="240" w:lineRule="atLeast"/>
      </w:pPr>
      <w:r>
        <w:t>IGJ, 13 september 2022, Signaalbrief toezicht jeugdbeschermingsketen (https://www.igj.nl/publicaties/brieven/2022/09/13/signaalbrief-toezicht-jeugdbeschermingsketen).</w:t>
      </w:r>
    </w:p>
    <w:p w:rsidRPr="005C33D0" w:rsidR="00FA2FF2" w:rsidP="00FA2FF2" w:rsidRDefault="00FA2FF2" w14:paraId="590AA3E9" w14:textId="77777777">
      <w:pPr>
        <w:suppressAutoHyphens/>
      </w:pPr>
    </w:p>
    <w:p w:rsidR="00404EBC" w:rsidRDefault="00404EBC" w14:paraId="083F0B4C" w14:textId="77777777"/>
    <w:sectPr w:rsidR="00404EBC" w:rsidSect="00FA2FF2">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FF8D" w14:textId="77777777" w:rsidR="00FA2FF2" w:rsidRDefault="00FA2FF2" w:rsidP="00FA2FF2">
      <w:pPr>
        <w:spacing w:after="0" w:line="240" w:lineRule="auto"/>
      </w:pPr>
      <w:r>
        <w:separator/>
      </w:r>
    </w:p>
  </w:endnote>
  <w:endnote w:type="continuationSeparator" w:id="0">
    <w:p w14:paraId="22116CEF" w14:textId="77777777" w:rsidR="00FA2FF2" w:rsidRDefault="00FA2FF2" w:rsidP="00FA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CFF6" w14:textId="77777777" w:rsidR="00FA2FF2" w:rsidRPr="00FA2FF2" w:rsidRDefault="00FA2FF2" w:rsidP="00FA2F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3B0B" w14:textId="77777777" w:rsidR="00FA2FF2" w:rsidRPr="00FA2FF2" w:rsidRDefault="00FA2FF2" w:rsidP="00FA2F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0312" w14:textId="77777777" w:rsidR="00FA2FF2" w:rsidRPr="00FA2FF2" w:rsidRDefault="00FA2FF2" w:rsidP="00FA2F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77CA" w14:textId="77777777" w:rsidR="00FA2FF2" w:rsidRDefault="00FA2FF2" w:rsidP="00FA2FF2">
      <w:pPr>
        <w:spacing w:after="0" w:line="240" w:lineRule="auto"/>
      </w:pPr>
      <w:r>
        <w:separator/>
      </w:r>
    </w:p>
  </w:footnote>
  <w:footnote w:type="continuationSeparator" w:id="0">
    <w:p w14:paraId="48AE1C04" w14:textId="77777777" w:rsidR="00FA2FF2" w:rsidRDefault="00FA2FF2" w:rsidP="00FA2FF2">
      <w:pPr>
        <w:spacing w:after="0" w:line="240" w:lineRule="auto"/>
      </w:pPr>
      <w:r>
        <w:continuationSeparator/>
      </w:r>
    </w:p>
  </w:footnote>
  <w:footnote w:id="1">
    <w:p w14:paraId="6508B237" w14:textId="77777777" w:rsidR="00FA2FF2" w:rsidRPr="00C916C3" w:rsidRDefault="00FA2FF2" w:rsidP="00FA2FF2">
      <w:pPr>
        <w:pStyle w:val="Voetnoottekst"/>
        <w:rPr>
          <w:rFonts w:asciiTheme="minorHAnsi" w:hAnsiTheme="minorHAnsi"/>
          <w:sz w:val="16"/>
          <w:szCs w:val="16"/>
        </w:rPr>
      </w:pPr>
      <w:r w:rsidRPr="00C916C3">
        <w:rPr>
          <w:rStyle w:val="Voetnootmarkering"/>
          <w:sz w:val="16"/>
          <w:szCs w:val="16"/>
        </w:rPr>
        <w:footnoteRef/>
      </w:r>
      <w:r w:rsidRPr="00C916C3">
        <w:rPr>
          <w:sz w:val="16"/>
          <w:szCs w:val="16"/>
        </w:rPr>
        <w:t xml:space="preserve">  </w:t>
      </w:r>
      <w:hyperlink r:id="rId1" w:history="1">
        <w:r w:rsidRPr="00C916C3">
          <w:rPr>
            <w:rStyle w:val="Hyperlink"/>
            <w:sz w:val="16"/>
            <w:szCs w:val="16"/>
          </w:rPr>
          <w:t>Rapport en verscherpt toezicht voor Enver Pleegzorg | Rapport | Inspectie Gezondheidszorg en Jeugd</w:t>
        </w:r>
      </w:hyperlink>
      <w:r w:rsidRPr="00C916C3">
        <w:rPr>
          <w:sz w:val="16"/>
          <w:szCs w:val="16"/>
        </w:rPr>
        <w:t>, p. 15.</w:t>
      </w:r>
    </w:p>
  </w:footnote>
  <w:footnote w:id="2">
    <w:p w14:paraId="19A9E377" w14:textId="77777777" w:rsidR="00FA2FF2" w:rsidRPr="00C916C3" w:rsidRDefault="00FA2FF2" w:rsidP="00FA2FF2">
      <w:pPr>
        <w:pStyle w:val="Voetnoottekst"/>
        <w:rPr>
          <w:sz w:val="16"/>
          <w:szCs w:val="16"/>
        </w:rPr>
      </w:pPr>
      <w:r w:rsidRPr="00C916C3">
        <w:rPr>
          <w:rStyle w:val="Voetnootmarkering"/>
          <w:sz w:val="16"/>
          <w:szCs w:val="16"/>
        </w:rPr>
        <w:footnoteRef/>
      </w:r>
      <w:r w:rsidRPr="00C916C3">
        <w:rPr>
          <w:sz w:val="16"/>
          <w:szCs w:val="16"/>
        </w:rPr>
        <w:t xml:space="preserve"> </w:t>
      </w:r>
      <w:hyperlink r:id="rId2" w:history="1">
        <w:r w:rsidRPr="00C916C3">
          <w:rPr>
            <w:rStyle w:val="Hyperlink"/>
            <w:sz w:val="16"/>
            <w:szCs w:val="16"/>
          </w:rPr>
          <w:t>Kwaliteitskader-Voorbereiding-en-screening-in-de-pleegzorg_2019_definitief.pdf</w:t>
        </w:r>
      </w:hyperlink>
    </w:p>
  </w:footnote>
  <w:footnote w:id="3">
    <w:p w14:paraId="25880CE5" w14:textId="77777777" w:rsidR="00FA2FF2" w:rsidRPr="00C916C3" w:rsidRDefault="00FA2FF2" w:rsidP="00FA2FF2">
      <w:pPr>
        <w:pStyle w:val="Voetnoottekst"/>
        <w:rPr>
          <w:sz w:val="16"/>
          <w:szCs w:val="16"/>
        </w:rPr>
      </w:pPr>
      <w:r w:rsidRPr="00C916C3">
        <w:rPr>
          <w:rStyle w:val="Voetnootmarkering"/>
          <w:sz w:val="16"/>
          <w:szCs w:val="16"/>
        </w:rPr>
        <w:footnoteRef/>
      </w:r>
      <w:r w:rsidRPr="00C916C3">
        <w:rPr>
          <w:sz w:val="16"/>
          <w:szCs w:val="16"/>
        </w:rPr>
        <w:t xml:space="preserve"> Kamerstukken II, 2024/2045, 31015-303.</w:t>
      </w:r>
    </w:p>
  </w:footnote>
  <w:footnote w:id="4">
    <w:p w14:paraId="6F637DA9" w14:textId="77777777" w:rsidR="00FA2FF2" w:rsidRPr="00C916C3" w:rsidRDefault="00FA2FF2" w:rsidP="00FA2FF2">
      <w:pPr>
        <w:pStyle w:val="Voetnoottekst"/>
        <w:rPr>
          <w:sz w:val="16"/>
          <w:szCs w:val="16"/>
        </w:rPr>
      </w:pPr>
      <w:r w:rsidRPr="00C916C3">
        <w:rPr>
          <w:rStyle w:val="Voetnootmarkering"/>
          <w:sz w:val="16"/>
          <w:szCs w:val="16"/>
        </w:rPr>
        <w:footnoteRef/>
      </w:r>
      <w:r w:rsidRPr="00C916C3">
        <w:rPr>
          <w:sz w:val="16"/>
          <w:szCs w:val="16"/>
        </w:rPr>
        <w:t xml:space="preserve"> Kamerstukken II, 2024/2025, 31839-1092.</w:t>
      </w:r>
    </w:p>
  </w:footnote>
  <w:footnote w:id="5">
    <w:p w14:paraId="56D8BFBE" w14:textId="77777777" w:rsidR="00FA2FF2" w:rsidRPr="00C916C3" w:rsidRDefault="00FA2FF2" w:rsidP="00FA2FF2">
      <w:pPr>
        <w:pStyle w:val="Voetnoottekst"/>
        <w:rPr>
          <w:sz w:val="16"/>
          <w:szCs w:val="16"/>
        </w:rPr>
      </w:pPr>
      <w:r w:rsidRPr="00C916C3">
        <w:rPr>
          <w:rStyle w:val="Voetnootmarkering"/>
          <w:sz w:val="16"/>
          <w:szCs w:val="16"/>
        </w:rPr>
        <w:footnoteRef/>
      </w:r>
      <w:r w:rsidRPr="00C916C3">
        <w:rPr>
          <w:sz w:val="16"/>
          <w:szCs w:val="16"/>
        </w:rPr>
        <w:t xml:space="preserve"> Kamerstukken II, 2024/2025, 31839-1087.</w:t>
      </w:r>
    </w:p>
  </w:footnote>
  <w:footnote w:id="6">
    <w:p w14:paraId="5440C5E5" w14:textId="77777777" w:rsidR="00FA2FF2" w:rsidRPr="00C916C3" w:rsidRDefault="00FA2FF2" w:rsidP="00FA2FF2">
      <w:pPr>
        <w:pStyle w:val="Voetnoottekst"/>
        <w:rPr>
          <w:sz w:val="16"/>
          <w:szCs w:val="16"/>
        </w:rPr>
      </w:pPr>
      <w:r w:rsidRPr="00C916C3">
        <w:rPr>
          <w:rStyle w:val="Voetnootmarkering"/>
          <w:sz w:val="16"/>
          <w:szCs w:val="16"/>
        </w:rPr>
        <w:footnoteRef/>
      </w:r>
      <w:r w:rsidRPr="00C916C3">
        <w:rPr>
          <w:sz w:val="16"/>
          <w:szCs w:val="16"/>
        </w:rPr>
        <w:t xml:space="preserve">  Kamerstukken II: 31 839, nr. 876, 31 839, nr. 915, </w:t>
      </w:r>
      <w:r w:rsidRPr="00C916C3">
        <w:rPr>
          <w:rFonts w:eastAsia="DejaVuSerifCondensed" w:cs="DejaVuSerifCondensed"/>
          <w:sz w:val="16"/>
          <w:szCs w:val="16"/>
        </w:rPr>
        <w:t>31839-921, 31839–985, 31839-921, 31 839, nr. 990, 31839-1089.</w:t>
      </w:r>
    </w:p>
  </w:footnote>
  <w:footnote w:id="7">
    <w:p w14:paraId="53F4D548" w14:textId="77777777" w:rsidR="00FA2FF2" w:rsidRPr="00C916C3" w:rsidRDefault="00FA2FF2" w:rsidP="00FA2FF2">
      <w:pPr>
        <w:pStyle w:val="Voetnoottekst"/>
        <w:rPr>
          <w:sz w:val="16"/>
          <w:szCs w:val="16"/>
        </w:rPr>
      </w:pPr>
      <w:r w:rsidRPr="00C916C3">
        <w:rPr>
          <w:rStyle w:val="Voetnootmarkering"/>
          <w:sz w:val="16"/>
          <w:szCs w:val="16"/>
        </w:rPr>
        <w:footnoteRef/>
      </w:r>
      <w:r w:rsidRPr="00C916C3">
        <w:rPr>
          <w:sz w:val="16"/>
          <w:szCs w:val="16"/>
        </w:rPr>
        <w:t xml:space="preserve"> </w:t>
      </w:r>
      <w:r w:rsidRPr="00C916C3">
        <w:rPr>
          <w:sz w:val="16"/>
          <w:szCs w:val="16"/>
          <w:lang w:val="en-US"/>
        </w:rPr>
        <w:t>Kamerstukken II, 2024/2025,</w:t>
      </w:r>
      <w:r w:rsidRPr="00C916C3">
        <w:rPr>
          <w:rFonts w:ascii="Arial" w:hAnsi="Arial" w:cs="Arial"/>
          <w:color w:val="132439"/>
          <w:sz w:val="16"/>
          <w:szCs w:val="16"/>
          <w:shd w:val="clear" w:color="auto" w:fill="E0E7EA"/>
        </w:rPr>
        <w:t xml:space="preserve"> </w:t>
      </w:r>
      <w:r w:rsidRPr="00C916C3">
        <w:rPr>
          <w:sz w:val="16"/>
          <w:szCs w:val="16"/>
        </w:rPr>
        <w:t>31839-1089</w:t>
      </w:r>
      <w:r w:rsidRPr="00C916C3">
        <w:rPr>
          <w:sz w:val="16"/>
          <w:szCs w:val="16"/>
          <w:lang w:val="en-US"/>
        </w:rPr>
        <w:t xml:space="preserve">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080B" w14:textId="77777777" w:rsidR="00FA2FF2" w:rsidRPr="00FA2FF2" w:rsidRDefault="00FA2FF2" w:rsidP="00FA2F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2602" w14:textId="77777777" w:rsidR="00FA2FF2" w:rsidRPr="00FA2FF2" w:rsidRDefault="00FA2FF2" w:rsidP="00FA2F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A3F6" w14:textId="77777777" w:rsidR="00FA2FF2" w:rsidRPr="00FA2FF2" w:rsidRDefault="00FA2FF2" w:rsidP="00FA2F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02040"/>
    <w:multiLevelType w:val="hybridMultilevel"/>
    <w:tmpl w:val="565C6B96"/>
    <w:lvl w:ilvl="0" w:tplc="E6142282">
      <w:start w:val="11"/>
      <w:numFmt w:val="bullet"/>
      <w:lvlText w:val="-"/>
      <w:lvlJc w:val="left"/>
      <w:pPr>
        <w:ind w:left="720" w:hanging="360"/>
      </w:pPr>
      <w:rPr>
        <w:rFonts w:ascii="Verdana" w:eastAsia="DejaVuSerifCondensed" w:hAnsi="Verdana" w:cs="DejaVuSerifCondensed" w:hint="default"/>
      </w:rPr>
    </w:lvl>
    <w:lvl w:ilvl="1" w:tplc="59BCEB6E">
      <w:start w:val="1"/>
      <w:numFmt w:val="bullet"/>
      <w:lvlText w:val="o"/>
      <w:lvlJc w:val="left"/>
      <w:pPr>
        <w:ind w:left="1440" w:hanging="360"/>
      </w:pPr>
      <w:rPr>
        <w:rFonts w:ascii="Courier New" w:hAnsi="Courier New" w:cs="Courier New" w:hint="default"/>
      </w:rPr>
    </w:lvl>
    <w:lvl w:ilvl="2" w:tplc="9F3C6320">
      <w:start w:val="1"/>
      <w:numFmt w:val="bullet"/>
      <w:lvlText w:val=""/>
      <w:lvlJc w:val="left"/>
      <w:pPr>
        <w:ind w:left="2160" w:hanging="360"/>
      </w:pPr>
      <w:rPr>
        <w:rFonts w:ascii="Wingdings" w:hAnsi="Wingdings" w:hint="default"/>
      </w:rPr>
    </w:lvl>
    <w:lvl w:ilvl="3" w:tplc="3378F83A">
      <w:start w:val="1"/>
      <w:numFmt w:val="bullet"/>
      <w:lvlText w:val=""/>
      <w:lvlJc w:val="left"/>
      <w:pPr>
        <w:ind w:left="2880" w:hanging="360"/>
      </w:pPr>
      <w:rPr>
        <w:rFonts w:ascii="Symbol" w:hAnsi="Symbol" w:hint="default"/>
      </w:rPr>
    </w:lvl>
    <w:lvl w:ilvl="4" w:tplc="893EA2AC">
      <w:start w:val="1"/>
      <w:numFmt w:val="bullet"/>
      <w:lvlText w:val="o"/>
      <w:lvlJc w:val="left"/>
      <w:pPr>
        <w:ind w:left="3600" w:hanging="360"/>
      </w:pPr>
      <w:rPr>
        <w:rFonts w:ascii="Courier New" w:hAnsi="Courier New" w:cs="Courier New" w:hint="default"/>
      </w:rPr>
    </w:lvl>
    <w:lvl w:ilvl="5" w:tplc="2D465DBC">
      <w:start w:val="1"/>
      <w:numFmt w:val="bullet"/>
      <w:lvlText w:val=""/>
      <w:lvlJc w:val="left"/>
      <w:pPr>
        <w:ind w:left="4320" w:hanging="360"/>
      </w:pPr>
      <w:rPr>
        <w:rFonts w:ascii="Wingdings" w:hAnsi="Wingdings" w:hint="default"/>
      </w:rPr>
    </w:lvl>
    <w:lvl w:ilvl="6" w:tplc="663EDEB2">
      <w:start w:val="1"/>
      <w:numFmt w:val="bullet"/>
      <w:lvlText w:val=""/>
      <w:lvlJc w:val="left"/>
      <w:pPr>
        <w:ind w:left="5040" w:hanging="360"/>
      </w:pPr>
      <w:rPr>
        <w:rFonts w:ascii="Symbol" w:hAnsi="Symbol" w:hint="default"/>
      </w:rPr>
    </w:lvl>
    <w:lvl w:ilvl="7" w:tplc="D4B2678C">
      <w:start w:val="1"/>
      <w:numFmt w:val="bullet"/>
      <w:lvlText w:val="o"/>
      <w:lvlJc w:val="left"/>
      <w:pPr>
        <w:ind w:left="5760" w:hanging="360"/>
      </w:pPr>
      <w:rPr>
        <w:rFonts w:ascii="Courier New" w:hAnsi="Courier New" w:cs="Courier New" w:hint="default"/>
      </w:rPr>
    </w:lvl>
    <w:lvl w:ilvl="8" w:tplc="E0747FA8">
      <w:start w:val="1"/>
      <w:numFmt w:val="bullet"/>
      <w:lvlText w:val=""/>
      <w:lvlJc w:val="left"/>
      <w:pPr>
        <w:ind w:left="6480" w:hanging="360"/>
      </w:pPr>
      <w:rPr>
        <w:rFonts w:ascii="Wingdings" w:hAnsi="Wingdings" w:hint="default"/>
      </w:rPr>
    </w:lvl>
  </w:abstractNum>
  <w:abstractNum w:abstractNumId="1" w15:restartNumberingAfterBreak="0">
    <w:nsid w:val="6AFA420C"/>
    <w:multiLevelType w:val="hybridMultilevel"/>
    <w:tmpl w:val="B290DEC4"/>
    <w:lvl w:ilvl="0" w:tplc="5846E344">
      <w:start w:val="1"/>
      <w:numFmt w:val="decimal"/>
      <w:lvlText w:val="%1)"/>
      <w:lvlJc w:val="left"/>
      <w:pPr>
        <w:ind w:left="720" w:hanging="360"/>
      </w:pPr>
      <w:rPr>
        <w:rFonts w:hint="default"/>
      </w:rPr>
    </w:lvl>
    <w:lvl w:ilvl="1" w:tplc="57B6638A" w:tentative="1">
      <w:start w:val="1"/>
      <w:numFmt w:val="lowerLetter"/>
      <w:lvlText w:val="%2."/>
      <w:lvlJc w:val="left"/>
      <w:pPr>
        <w:ind w:left="1440" w:hanging="360"/>
      </w:pPr>
    </w:lvl>
    <w:lvl w:ilvl="2" w:tplc="254AF394" w:tentative="1">
      <w:start w:val="1"/>
      <w:numFmt w:val="lowerRoman"/>
      <w:lvlText w:val="%3."/>
      <w:lvlJc w:val="right"/>
      <w:pPr>
        <w:ind w:left="2160" w:hanging="180"/>
      </w:pPr>
    </w:lvl>
    <w:lvl w:ilvl="3" w:tplc="1054D658" w:tentative="1">
      <w:start w:val="1"/>
      <w:numFmt w:val="decimal"/>
      <w:lvlText w:val="%4."/>
      <w:lvlJc w:val="left"/>
      <w:pPr>
        <w:ind w:left="2880" w:hanging="360"/>
      </w:pPr>
    </w:lvl>
    <w:lvl w:ilvl="4" w:tplc="7F36A520" w:tentative="1">
      <w:start w:val="1"/>
      <w:numFmt w:val="lowerLetter"/>
      <w:lvlText w:val="%5."/>
      <w:lvlJc w:val="left"/>
      <w:pPr>
        <w:ind w:left="3600" w:hanging="360"/>
      </w:pPr>
    </w:lvl>
    <w:lvl w:ilvl="5" w:tplc="46F8070E" w:tentative="1">
      <w:start w:val="1"/>
      <w:numFmt w:val="lowerRoman"/>
      <w:lvlText w:val="%6."/>
      <w:lvlJc w:val="right"/>
      <w:pPr>
        <w:ind w:left="4320" w:hanging="180"/>
      </w:pPr>
    </w:lvl>
    <w:lvl w:ilvl="6" w:tplc="047A21CC" w:tentative="1">
      <w:start w:val="1"/>
      <w:numFmt w:val="decimal"/>
      <w:lvlText w:val="%7."/>
      <w:lvlJc w:val="left"/>
      <w:pPr>
        <w:ind w:left="5040" w:hanging="360"/>
      </w:pPr>
    </w:lvl>
    <w:lvl w:ilvl="7" w:tplc="1A522C66" w:tentative="1">
      <w:start w:val="1"/>
      <w:numFmt w:val="lowerLetter"/>
      <w:lvlText w:val="%8."/>
      <w:lvlJc w:val="left"/>
      <w:pPr>
        <w:ind w:left="5760" w:hanging="360"/>
      </w:pPr>
    </w:lvl>
    <w:lvl w:ilvl="8" w:tplc="A2EE3664" w:tentative="1">
      <w:start w:val="1"/>
      <w:numFmt w:val="lowerRoman"/>
      <w:lvlText w:val="%9."/>
      <w:lvlJc w:val="right"/>
      <w:pPr>
        <w:ind w:left="6480" w:hanging="180"/>
      </w:pPr>
    </w:lvl>
  </w:abstractNum>
  <w:num w:numId="1" w16cid:durableId="1355888304">
    <w:abstractNumId w:val="0"/>
  </w:num>
  <w:num w:numId="2" w16cid:durableId="61028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F2"/>
    <w:rsid w:val="00404EBC"/>
    <w:rsid w:val="00E05918"/>
    <w:rsid w:val="00FA2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5501"/>
  <w15:chartTrackingRefBased/>
  <w15:docId w15:val="{E0B0FA09-6F6A-4B3B-AC59-61D65BC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2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2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2F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2F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2F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2F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F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F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F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F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2F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2F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2F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2F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2F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F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F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FF2"/>
    <w:rPr>
      <w:rFonts w:eastAsiaTheme="majorEastAsia" w:cstheme="majorBidi"/>
      <w:color w:val="272727" w:themeColor="text1" w:themeTint="D8"/>
    </w:rPr>
  </w:style>
  <w:style w:type="paragraph" w:styleId="Titel">
    <w:name w:val="Title"/>
    <w:basedOn w:val="Standaard"/>
    <w:next w:val="Standaard"/>
    <w:link w:val="TitelChar"/>
    <w:uiPriority w:val="10"/>
    <w:qFormat/>
    <w:rsid w:val="00FA2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F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F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F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F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FF2"/>
    <w:rPr>
      <w:i/>
      <w:iCs/>
      <w:color w:val="404040" w:themeColor="text1" w:themeTint="BF"/>
    </w:rPr>
  </w:style>
  <w:style w:type="paragraph" w:styleId="Lijstalinea">
    <w:name w:val="List Paragraph"/>
    <w:basedOn w:val="Standaard"/>
    <w:uiPriority w:val="34"/>
    <w:qFormat/>
    <w:rsid w:val="00FA2FF2"/>
    <w:pPr>
      <w:ind w:left="720"/>
      <w:contextualSpacing/>
    </w:pPr>
  </w:style>
  <w:style w:type="character" w:styleId="Intensievebenadrukking">
    <w:name w:val="Intense Emphasis"/>
    <w:basedOn w:val="Standaardalinea-lettertype"/>
    <w:uiPriority w:val="21"/>
    <w:qFormat/>
    <w:rsid w:val="00FA2FF2"/>
    <w:rPr>
      <w:i/>
      <w:iCs/>
      <w:color w:val="2F5496" w:themeColor="accent1" w:themeShade="BF"/>
    </w:rPr>
  </w:style>
  <w:style w:type="paragraph" w:styleId="Duidelijkcitaat">
    <w:name w:val="Intense Quote"/>
    <w:basedOn w:val="Standaard"/>
    <w:next w:val="Standaard"/>
    <w:link w:val="DuidelijkcitaatChar"/>
    <w:uiPriority w:val="30"/>
    <w:qFormat/>
    <w:rsid w:val="00FA2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2FF2"/>
    <w:rPr>
      <w:i/>
      <w:iCs/>
      <w:color w:val="2F5496" w:themeColor="accent1" w:themeShade="BF"/>
    </w:rPr>
  </w:style>
  <w:style w:type="character" w:styleId="Intensieveverwijzing">
    <w:name w:val="Intense Reference"/>
    <w:basedOn w:val="Standaardalinea-lettertype"/>
    <w:uiPriority w:val="32"/>
    <w:qFormat/>
    <w:rsid w:val="00FA2FF2"/>
    <w:rPr>
      <w:b/>
      <w:bCs/>
      <w:smallCaps/>
      <w:color w:val="2F5496" w:themeColor="accent1" w:themeShade="BF"/>
      <w:spacing w:val="5"/>
    </w:rPr>
  </w:style>
  <w:style w:type="paragraph" w:styleId="Voetnoottekst">
    <w:name w:val="footnote text"/>
    <w:basedOn w:val="Standaard"/>
    <w:link w:val="VoetnoottekstChar"/>
    <w:uiPriority w:val="99"/>
    <w:semiHidden/>
    <w:rsid w:val="00FA2FF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A2FF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A2F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A2FF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A2F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A2FF2"/>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FA2FF2"/>
    <w:rPr>
      <w:color w:val="0563C1" w:themeColor="hyperlink"/>
      <w:u w:val="single"/>
    </w:rPr>
  </w:style>
  <w:style w:type="character" w:styleId="Voetnootmarkering">
    <w:name w:val="footnote reference"/>
    <w:basedOn w:val="Standaardalinea-lettertype"/>
    <w:uiPriority w:val="99"/>
    <w:unhideWhenUsed/>
    <w:rsid w:val="00FA2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gj/publicaties/rapporten/2025/05/14/verscherpt-toezicht-enver-rotterda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jeugdzorgnederland.nl/wp-content/uploads/2019/07/Kwaliteitskader-Voorbereiding-en-screening-in-de-pleegzorg_2019_definitief.pdf" TargetMode="External"/><Relationship Id="rId1" Type="http://schemas.openxmlformats.org/officeDocument/2006/relationships/hyperlink" Target="https://www.igj.nl/publicaties/rapporten/2025/05/14/verscherpt-toezicht-enver-rotterda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2282</ap:Words>
  <ap:Characters>12553</ap:Characters>
  <ap:DocSecurity>0</ap:DocSecurity>
  <ap:Lines>104</ap:Lines>
  <ap:Paragraphs>29</ap:Paragraphs>
  <ap:ScaleCrop>false</ap:ScaleCrop>
  <ap:LinksUpToDate>false</ap:LinksUpToDate>
  <ap:CharactersWithSpaces>14806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2025-07-08T08:00:00.0000000Z</dcterms:created>
  <dcterms:modified xsi:type="dcterms:W3CDTF">2025-07-08T08:01:00.0000000Z</dcterms:modified>
  <version/>
  <category/>
</coreProperties>
</file>