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2025Z14395</w:t>
        <w:br/>
      </w:r>
      <w:proofErr w:type="spellEnd"/>
    </w:p>
    <w:p>
      <w:pPr>
        <w:pStyle w:val="Normal"/>
        <w:rPr>
          <w:b w:val="1"/>
          <w:bCs w:val="1"/>
        </w:rPr>
      </w:pPr>
      <w:r w:rsidR="250AE766">
        <w:rPr>
          <w:b w:val="0"/>
          <w:bCs w:val="0"/>
        </w:rPr>
        <w:t>(ingezonden 8 juli 2025)</w:t>
        <w:br/>
      </w:r>
    </w:p>
    <w:p>
      <w:r>
        <w:t xml:space="preserve">Vragen van de leden Pierik (BBB) en Verkuijlen (VVD) aan de minister van Infrastructuur en Waterstaat over de bereikbaarheid van de Waddeneilanden in de nacht.</w:t>
      </w:r>
      <w:r>
        <w:br/>
      </w:r>
    </w:p>
    <w:p>
      <w:r>
        <w:t xml:space="preserve"> </w:t>
      </w:r>
      <w:r>
        <w:br/>
      </w:r>
    </w:p>
    <w:p>
      <w:r>
        <w:t xml:space="preserve">1. Heeft u kennisgenomen van het feit dat het belang van de watertaxi voor Ameland als complementaire vervoersmodaliteit in aanvulling op de veerdiensten in de nachtelijke uren nog eens benadrukt is tijdens het rondetafelgesprek over het 'Ontwerp Programma van Eisen concessies Friese Waddenveren vanaf 2029' op 18 juni jl.? Herkent u dit grote belang voor de eilanders ook?</w:t>
      </w:r>
      <w:r>
        <w:br/>
      </w:r>
    </w:p>
    <w:p>
      <w:r>
        <w:t xml:space="preserve">2. Wat is de stand van zaken van de uitvoering van de motie Pierik c.s.? 1)</w:t>
      </w:r>
      <w:r>
        <w:br/>
      </w:r>
    </w:p>
    <w:p>
      <w:r>
        <w:t xml:space="preserve">3. Heeft het in de brief van 12 maart jl. genoemde overleg met de bestuurders van de Waddeneilanden Ameland en Terschelling en de watertaxiondernemers op de Waddenzee over de voorbereiding van een pilot al iets opgeleverd? Zo niet, waarom niet? 2)</w:t>
      </w:r>
      <w:r>
        <w:br/>
      </w:r>
    </w:p>
    <w:p>
      <w:r>
        <w:t xml:space="preserve">4. Wat heeft het onderzoek van MARIN daaraan bijgedragen? 3)</w:t>
      </w:r>
      <w:r>
        <w:br/>
      </w:r>
    </w:p>
    <w:p>
      <w:r>
        <w:t xml:space="preserve">5. Kunt u garanderen dat deze pilot op zeer korte termijn gestart kan worden?</w:t>
      </w:r>
      <w:r>
        <w:br/>
      </w:r>
    </w:p>
    <w:p>
      <w:r>
        <w:t xml:space="preserve">6. Op welke wijze wordt in de pilot geborgd dat de uitkomsten ook daadwerkelijk kunnen leiden tot structurele inpassing van nachtelijke watertaxi’s in de concessie?</w:t>
      </w:r>
      <w:r>
        <w:br/>
      </w:r>
    </w:p>
    <w:p>
      <w:r>
        <w:t xml:space="preserve">7. Wordt in de pilot ook onderzocht hoe de watertaxi kan aansluiten op de sociale behoefte en vervoersbehoefte van eilandbewoners buiten de reguliere dienstregeling, zoals bij medische spoed of familieomstandigheden?</w:t>
      </w:r>
      <w:r>
        <w:br/>
      </w:r>
    </w:p>
    <w:p>
      <w:r>
        <w:t xml:space="preserve">8. Wat is de verwachte looptijd van de pilot met nachtelijke watertaxi’s en hoe wordt voorkomen dat de besluitvorming over structurele inzet onnodig wordt vertraagd?</w:t>
      </w:r>
      <w:r>
        <w:br/>
      </w:r>
    </w:p>
    <w:p>
      <w:r>
        <w:t xml:space="preserve">9. Bent u bereid om, in overleg met de betrokken ondernemers en eilanden, te verkennen hoe tijdelijke ontheffingen of experimenteerregelingen kunnen bijdragen aan een versnelde en gecontroleerde start van de pilot met nachtelijke watertaxidiensten?</w:t>
      </w:r>
      <w:r>
        <w:br/>
      </w:r>
    </w:p>
    <w:p>
      <w:r>
        <w:t xml:space="preserve">10. Wordt bij de voorbereiding van de pilot ook gekeken naar welke aanpassingen in het bestaande vergunningstelsel nodig zijn om nachtelijke watertaxidiensten op termijn structureel mogelijk te maken?</w:t>
      </w:r>
      <w:r>
        <w:br/>
      </w:r>
    </w:p>
    <w:p>
      <w:r>
        <w:t xml:space="preserve"> </w:t>
      </w:r>
      <w:r>
        <w:br/>
      </w:r>
    </w:p>
    <w:p>
      <w:r>
        <w:t xml:space="preserve">1) Kamerstuk 31 409, nr. 471</w:t>
      </w:r>
      <w:r>
        <w:br/>
      </w:r>
    </w:p>
    <w:p>
      <w:r>
        <w:t xml:space="preserve">2) Kamerstuk 31 409, nr. 291</w:t>
      </w:r>
      <w:r>
        <w:br/>
      </w:r>
    </w:p>
    <w:p>
      <w:r>
        <w:t xml:space="preserve">3) Kamerstuk 31 409, nr. 414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