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2025Z14396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juli 2025)</w:t>
        <w:br/>
      </w:r>
    </w:p>
    <w:p>
      <w:r>
        <w:t xml:space="preserve">Vragen van het lid Ergin (DENK) aan de staatssecretaris van Sociale Zaken en Werkgelegenheid over de Kamerbrief over voortgang Actieagenda Integratie en de Open en Vrije Samenleving.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Kunt u de noodzaak voor het reguleren van versterkte oproepen nader toelichten? 1)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Kunt u het onderzoek (nulmeting) en de opdrachtbevestiging daarvan delen met de Kamer?</w:t>
      </w:r>
      <w:r>
        <w:br/>
      </w:r>
    </w:p>
    <w:p>
      <w:r>
        <w:t xml:space="preserve"> </w:t>
      </w:r>
      <w:r>
        <w:br/>
      </w:r>
    </w:p>
    <w:p>
      <w:r>
        <w:t xml:space="preserve">3 </w:t>
      </w:r>
      <w:r>
        <w:br/>
      </w:r>
    </w:p>
    <w:p>
      <w:r>
        <w:t xml:space="preserve">Kunt u nader toelichten op welke wijze u gegevens gaat verzamelen over het toezicht en het aantal moskeeën dat gebruik maakt van de versterkte gebedsoproep?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Gaat u ook versterkte oproepen van andere religieuze denominaties onderzoeken?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 Kamerstuk 32 824, nr. 456.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