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B80" w:rsidRDefault="00A92B80" w14:paraId="746439D4"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A92B80" w14:paraId="0498695C" w14:textId="77777777">
        <w:tc>
          <w:tcPr>
            <w:tcW w:w="8844" w:type="dxa"/>
            <w:tcBorders>
              <w:bottom w:val="single" w:color="000000" w:sz="2" w:space="0"/>
            </w:tcBorders>
            <w:shd w:val="clear" w:color="auto" w:fill="auto"/>
            <w:tcMar>
              <w:top w:w="22" w:type="dxa"/>
              <w:left w:w="55" w:type="dxa"/>
              <w:bottom w:w="22" w:type="dxa"/>
              <w:right w:w="55" w:type="dxa"/>
            </w:tcMar>
          </w:tcPr>
          <w:p w:rsidR="00A92B80" w:rsidRDefault="00B2714D" w14:paraId="440B5CFF"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A92B80" w:rsidRDefault="00A92B80" w14:paraId="02FB7A88" w14:textId="77777777">
            <w:pPr>
              <w:pStyle w:val="kamernummer-p"/>
            </w:pPr>
          </w:p>
        </w:tc>
      </w:tr>
      <w:tr w:rsidR="00A92B80" w14:paraId="5923EBB4" w14:textId="77777777">
        <w:tc>
          <w:tcPr>
            <w:tcW w:w="9694" w:type="dxa"/>
            <w:gridSpan w:val="2"/>
            <w:tcBorders>
              <w:top w:val="single" w:color="000000" w:sz="4" w:space="0"/>
            </w:tcBorders>
            <w:shd w:val="clear" w:color="auto" w:fill="auto"/>
            <w:tcMar>
              <w:top w:w="0" w:type="dxa"/>
              <w:left w:w="108" w:type="dxa"/>
              <w:bottom w:w="0" w:type="dxa"/>
              <w:right w:w="108" w:type="dxa"/>
            </w:tcMar>
          </w:tcPr>
          <w:p w:rsidR="00A92B80" w:rsidRDefault="00B2714D" w14:paraId="660E9982" w14:textId="77777777">
            <w:pPr>
              <w:pStyle w:val="vergaderjaar-p"/>
            </w:pPr>
            <w:r>
              <w:rPr>
                <w:rStyle w:val="vergaderjaar-text"/>
              </w:rPr>
              <w:t>Vergaderjaar 2024‒2025</w:t>
            </w:r>
          </w:p>
        </w:tc>
      </w:tr>
    </w:tbl>
    <w:p w:rsidR="00A92B80" w:rsidRDefault="00A92B80" w14:paraId="521640FD" w14:textId="77777777"/>
    <w:p w:rsidR="00A92B80" w:rsidRDefault="00A92B80" w14:paraId="3AC819A1"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A92B80" w14:paraId="194EC990" w14:textId="77777777">
        <w:tc>
          <w:tcPr>
            <w:tcW w:w="3317" w:type="dxa"/>
            <w:tcBorders>
              <w:top w:val="single" w:color="000000" w:sz="2" w:space="0"/>
            </w:tcBorders>
            <w:shd w:val="clear" w:color="auto" w:fill="auto"/>
            <w:tcMar>
              <w:top w:w="22" w:type="dxa"/>
              <w:left w:w="55" w:type="dxa"/>
              <w:bottom w:w="22" w:type="dxa"/>
              <w:right w:w="55" w:type="dxa"/>
            </w:tcMar>
          </w:tcPr>
          <w:p w:rsidR="00A92B80" w:rsidRDefault="00B2714D" w14:paraId="298C08A9" w14:textId="77777777">
            <w:pPr>
              <w:rPr>
                <w:rFonts w:ascii="Times New Roman" w:hAnsi="Times New Roman" w:cs="Times New Roman"/>
                <w:b/>
                <w:bCs/>
                <w:sz w:val="24"/>
                <w:szCs w:val="24"/>
              </w:rPr>
            </w:pPr>
            <w:r>
              <w:rPr>
                <w:rFonts w:ascii="Times New Roman" w:hAnsi="Times New Roman" w:cs="Times New Roman"/>
                <w:b/>
                <w:bCs/>
                <w:sz w:val="24"/>
                <w:szCs w:val="24"/>
              </w:rPr>
              <w:t>36 786</w:t>
            </w:r>
          </w:p>
        </w:tc>
        <w:tc>
          <w:tcPr>
            <w:tcW w:w="6377" w:type="dxa"/>
            <w:tcBorders>
              <w:top w:val="single" w:color="000000" w:sz="4" w:space="0"/>
            </w:tcBorders>
            <w:shd w:val="clear" w:color="auto" w:fill="auto"/>
            <w:tcMar>
              <w:top w:w="0" w:type="dxa"/>
              <w:left w:w="0" w:type="dxa"/>
              <w:bottom w:w="0" w:type="dxa"/>
              <w:right w:w="108" w:type="dxa"/>
            </w:tcMar>
          </w:tcPr>
          <w:p w:rsidR="00A92B80" w:rsidRDefault="00B2714D" w14:paraId="7C3506B2" w14:textId="77777777">
            <w:pPr>
              <w:rPr>
                <w:rFonts w:ascii="Times New Roman" w:hAnsi="Times New Roman" w:cs="Times New Roman"/>
                <w:b/>
                <w:bCs/>
                <w:sz w:val="24"/>
                <w:szCs w:val="24"/>
              </w:rPr>
            </w:pPr>
            <w:r>
              <w:rPr>
                <w:rFonts w:ascii="Times New Roman" w:hAnsi="Times New Roman" w:cs="Times New Roman"/>
                <w:b/>
                <w:bCs/>
                <w:sz w:val="24"/>
                <w:szCs w:val="24"/>
              </w:rPr>
              <w:t>Wijziging van de begrotingsstaat van het Ministerie van Economische Zaken (XIII) voor het jaar 2025 (Tweede incidentele suppletoire begroting inzake bedrijfssteun)</w:t>
            </w:r>
          </w:p>
        </w:tc>
      </w:tr>
      <w:tr w:rsidR="00A92B80" w14:paraId="120F491F" w14:textId="77777777">
        <w:tc>
          <w:tcPr>
            <w:tcW w:w="3317" w:type="dxa"/>
            <w:shd w:val="clear" w:color="auto" w:fill="auto"/>
            <w:tcMar>
              <w:top w:w="0" w:type="dxa"/>
              <w:left w:w="108" w:type="dxa"/>
              <w:bottom w:w="0" w:type="dxa"/>
              <w:right w:w="108" w:type="dxa"/>
            </w:tcMar>
          </w:tcPr>
          <w:p w:rsidR="00A92B80" w:rsidRDefault="00B2714D" w14:paraId="2367B972" w14:textId="77777777">
            <w:pPr>
              <w:pStyle w:val="stuknr-p"/>
            </w:pPr>
            <w:r>
              <w:t>Nr. 2</w:t>
            </w:r>
          </w:p>
        </w:tc>
        <w:tc>
          <w:tcPr>
            <w:tcW w:w="6377" w:type="dxa"/>
            <w:shd w:val="clear" w:color="auto" w:fill="auto"/>
            <w:tcMar>
              <w:top w:w="0" w:type="dxa"/>
              <w:left w:w="0" w:type="dxa"/>
              <w:bottom w:w="0" w:type="dxa"/>
              <w:right w:w="108" w:type="dxa"/>
            </w:tcMar>
          </w:tcPr>
          <w:p w:rsidR="00A92B80" w:rsidRDefault="00B2714D" w14:paraId="5D4210EC" w14:textId="77777777">
            <w:pPr>
              <w:pStyle w:val="titel-p"/>
            </w:pPr>
            <w:r>
              <w:t>Memorie van toelichting</w:t>
            </w:r>
          </w:p>
          <w:p w:rsidR="00A92B80" w:rsidRDefault="00A92B80" w14:paraId="4A9004A7" w14:textId="77777777"/>
        </w:tc>
      </w:tr>
    </w:tbl>
    <w:p w:rsidR="000115E8" w:rsidRDefault="000115E8" w14:paraId="308CA5EE" w14:textId="77777777">
      <w:pPr>
        <w:pStyle w:val="section-title-1"/>
      </w:pPr>
      <w:bookmarkStart w:name="86608428660783" w:id="0"/>
    </w:p>
    <w:p w:rsidR="00A92B80" w:rsidRDefault="00B2714D" w14:paraId="72710190" w14:textId="6CE1E149">
      <w:pPr>
        <w:pStyle w:val="section-title-1"/>
      </w:pPr>
      <w:r>
        <w:t>A Artikelgewijze toelichting bij het wetsvoorstel</w:t>
      </w:r>
      <w:bookmarkEnd w:id="0"/>
    </w:p>
    <w:p w:rsidR="00A92B80" w:rsidRDefault="00B2714D" w14:paraId="7455D364" w14:textId="77777777">
      <w:pPr>
        <w:pStyle w:val="section-title-2"/>
      </w:pPr>
      <w:bookmarkStart w:name="86608468660786" w:id="1"/>
      <w:r>
        <w:t>Wetsartikelen 1</w:t>
      </w:r>
      <w:bookmarkEnd w:id="1"/>
    </w:p>
    <w:p w:rsidR="00A92B80" w:rsidRDefault="00B2714D" w14:paraId="1B9B9AB1"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t>
      </w:r>
      <w:proofErr w:type="spellStart"/>
      <w:r>
        <w:t>wĳzigingen</w:t>
      </w:r>
      <w:proofErr w:type="spellEnd"/>
      <w:r>
        <w:t xml:space="preserve"> aan te brengen in de departementale begrotingsstaat van het Ministerie van Economische Zaken.</w:t>
      </w:r>
    </w:p>
    <w:p w:rsidR="00A92B80" w:rsidRDefault="00B2714D" w14:paraId="3B8A396A" w14:textId="77777777">
      <w:pPr>
        <w:pStyle w:val="p"/>
      </w:pPr>
      <w:r>
        <w:t>De in de begrotingsstaten opgenomen begrotingsartikelen worden in onderdeel B van deze memorie van toelichting toegelicht.</w:t>
      </w:r>
    </w:p>
    <w:p w:rsidR="00A92B80" w:rsidRDefault="00B2714D" w14:paraId="40C96B6E" w14:textId="77777777">
      <w:pPr>
        <w:pStyle w:val="functie"/>
      </w:pPr>
      <w:r>
        <w:t>De Minister van Economische Zaken,</w:t>
      </w:r>
    </w:p>
    <w:p w:rsidR="00A92B80" w:rsidRDefault="00B2714D" w14:paraId="33599364" w14:textId="63B9D45C">
      <w:pPr>
        <w:pStyle w:val="naam"/>
      </w:pPr>
      <w:r>
        <w:t>V.P.G.</w:t>
      </w:r>
      <w:r w:rsidR="000115E8">
        <w:t xml:space="preserve"> </w:t>
      </w:r>
      <w:r>
        <w:t>Karremans</w:t>
      </w:r>
    </w:p>
    <w:p w:rsidR="00A92B80" w:rsidRDefault="00A92B80" w14:paraId="0E783A53" w14:textId="77777777"/>
    <w:p w:rsidR="00A92B80" w:rsidRDefault="00A92B80" w14:paraId="35623135" w14:textId="77777777">
      <w:pPr>
        <w:pStyle w:val="page-break"/>
      </w:pPr>
    </w:p>
    <w:p w:rsidR="00A92B80" w:rsidRDefault="00B2714D" w14:paraId="13069ACB" w14:textId="77777777">
      <w:pPr>
        <w:pStyle w:val="section-title-1"/>
      </w:pPr>
      <w:bookmarkStart w:name="86608508660789" w:id="2"/>
      <w:r>
        <w:t>B Artikelgewijze toelichting bij de begrotingsartikelen</w:t>
      </w:r>
      <w:bookmarkEnd w:id="2"/>
    </w:p>
    <w:p w:rsidR="00A92B80" w:rsidRDefault="00B2714D" w14:paraId="7F6D1DBB" w14:textId="77777777">
      <w:pPr>
        <w:pStyle w:val="section-title-2"/>
      </w:pPr>
      <w:bookmarkStart w:name="86608628660798" w:id="3"/>
      <w:r>
        <w:t>1. Leeswijzer</w:t>
      </w:r>
      <w:bookmarkEnd w:id="3"/>
    </w:p>
    <w:p w:rsidR="00A92B80" w:rsidRDefault="00B2714D" w14:paraId="181A93C9" w14:textId="77777777">
      <w:pPr>
        <w:pStyle w:val="p"/>
      </w:pPr>
      <w:r>
        <w:rPr>
          <w:b/>
        </w:rPr>
        <w:t>Ondergrenzen toelichtingen</w:t>
      </w:r>
      <w:r>
        <w:t xml:space="preserve"> </w:t>
      </w:r>
      <w:r>
        <w:br/>
        <w:t>Voor wat betreft het toelichten van significante verschillen in de uitgaven, ontvangsten en verplichtingen zĳn de ondergrenzen gehanteerd zoals opgenomen in de onderstaande tabel.</w:t>
      </w:r>
    </w:p>
    <w:tbl>
      <w:tblPr>
        <w:tblW w:w="5000" w:type="pct"/>
        <w:tblCellMar>
          <w:left w:w="10" w:type="dxa"/>
          <w:right w:w="10" w:type="dxa"/>
        </w:tblCellMar>
        <w:tblLook w:val="04A0" w:firstRow="1" w:lastRow="0" w:firstColumn="1" w:lastColumn="0" w:noHBand="0" w:noVBand="1"/>
      </w:tblPr>
      <w:tblGrid>
        <w:gridCol w:w="2114"/>
        <w:gridCol w:w="2132"/>
        <w:gridCol w:w="2132"/>
      </w:tblGrid>
      <w:tr w:rsidR="00A92B80" w14:paraId="59BAB85A" w14:textId="77777777">
        <w:trPr>
          <w:tblHeader/>
        </w:trPr>
        <w:tc>
          <w:tcPr>
            <w:tcW w:w="2114" w:type="dxa"/>
            <w:tcBorders>
              <w:top w:val="single" w:color="000000" w:sz="2" w:space="0"/>
              <w:bottom w:val="single" w:color="009EE0" w:sz="2" w:space="0"/>
            </w:tcBorders>
            <w:shd w:val="clear" w:color="auto" w:fill="auto"/>
            <w:tcMar>
              <w:top w:w="28" w:type="dxa"/>
              <w:left w:w="10" w:type="dxa"/>
              <w:bottom w:w="28" w:type="dxa"/>
              <w:right w:w="28" w:type="dxa"/>
            </w:tcMar>
          </w:tcPr>
          <w:p w:rsidR="00A92B80" w:rsidRDefault="00B2714D" w14:paraId="4EA43B71" w14:textId="77777777">
            <w:pPr>
              <w:pStyle w:val="p-table"/>
              <w:jc w:val="center"/>
              <w:rPr>
                <w:color w:val="000000"/>
                <w:sz w:val="17"/>
              </w:rPr>
            </w:pPr>
            <w:r>
              <w:rPr>
                <w:color w:val="000000"/>
                <w:sz w:val="17"/>
              </w:rPr>
              <w:t>Omvang begrotingsartikel (stand ontwerpbegroting)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0D894B73" w14:textId="77777777">
            <w:pPr>
              <w:pStyle w:val="p-table"/>
              <w:jc w:val="center"/>
              <w:rPr>
                <w:color w:val="000000"/>
                <w:sz w:val="17"/>
              </w:rPr>
            </w:pPr>
            <w:r>
              <w:rPr>
                <w:color w:val="000000"/>
                <w:sz w:val="17"/>
              </w:rPr>
              <w:t>Beleidsmatige mutaties (ondergrens in € miljoen)</w:t>
            </w:r>
          </w:p>
        </w:tc>
        <w:tc>
          <w:tcPr>
            <w:tcW w:w="2132"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672035BE" w14:textId="77777777">
            <w:pPr>
              <w:pStyle w:val="p-table"/>
              <w:jc w:val="center"/>
              <w:rPr>
                <w:color w:val="000000"/>
                <w:sz w:val="17"/>
              </w:rPr>
            </w:pPr>
            <w:r>
              <w:rPr>
                <w:color w:val="000000"/>
                <w:sz w:val="17"/>
              </w:rPr>
              <w:t>Technische mutaties (ondergrens in € miljoen)</w:t>
            </w:r>
          </w:p>
        </w:tc>
      </w:tr>
      <w:tr w:rsidR="00A92B80" w14:paraId="313EA5E7" w14:textId="77777777">
        <w:tc>
          <w:tcPr>
            <w:tcW w:w="2114" w:type="dxa"/>
            <w:tcBorders>
              <w:bottom w:val="single" w:color="009EE0" w:sz="2" w:space="0"/>
            </w:tcBorders>
            <w:shd w:val="clear" w:color="auto" w:fill="auto"/>
            <w:tcMar>
              <w:top w:w="22" w:type="dxa"/>
              <w:left w:w="10" w:type="dxa"/>
              <w:bottom w:w="22" w:type="dxa"/>
              <w:right w:w="28" w:type="dxa"/>
            </w:tcMar>
          </w:tcPr>
          <w:p w:rsidR="00A92B80" w:rsidRDefault="00B2714D" w14:paraId="6B3F37F9" w14:textId="77777777">
            <w:pPr>
              <w:pStyle w:val="p-table"/>
              <w:rPr>
                <w:sz w:val="17"/>
              </w:rPr>
            </w:pPr>
            <w:r>
              <w:rPr>
                <w:sz w:val="17"/>
              </w:rPr>
              <w:t>&lt; 50</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73533F25" w14:textId="77777777">
            <w:pPr>
              <w:pStyle w:val="p-table"/>
              <w:jc w:val="center"/>
              <w:rPr>
                <w:sz w:val="17"/>
              </w:rPr>
            </w:pPr>
            <w:r>
              <w:rPr>
                <w:sz w:val="17"/>
              </w:rPr>
              <w:t>1</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5BAA59AA" w14:textId="77777777">
            <w:pPr>
              <w:pStyle w:val="p-table"/>
              <w:jc w:val="center"/>
              <w:rPr>
                <w:sz w:val="17"/>
              </w:rPr>
            </w:pPr>
            <w:r>
              <w:rPr>
                <w:sz w:val="17"/>
              </w:rPr>
              <w:t>2</w:t>
            </w:r>
          </w:p>
        </w:tc>
      </w:tr>
      <w:tr w:rsidR="00A92B80" w14:paraId="53533953" w14:textId="77777777">
        <w:tc>
          <w:tcPr>
            <w:tcW w:w="2114" w:type="dxa"/>
            <w:tcBorders>
              <w:bottom w:val="single" w:color="009EE0" w:sz="2" w:space="0"/>
            </w:tcBorders>
            <w:shd w:val="clear" w:color="auto" w:fill="auto"/>
            <w:tcMar>
              <w:top w:w="22" w:type="dxa"/>
              <w:left w:w="10" w:type="dxa"/>
              <w:bottom w:w="22" w:type="dxa"/>
              <w:right w:w="28" w:type="dxa"/>
            </w:tcMar>
          </w:tcPr>
          <w:p w:rsidR="00A92B80" w:rsidRDefault="00B2714D" w14:paraId="4B6F4BE9" w14:textId="77777777">
            <w:pPr>
              <w:pStyle w:val="p-table"/>
              <w:rPr>
                <w:sz w:val="17"/>
              </w:rPr>
            </w:pPr>
            <w:r>
              <w:rPr>
                <w:sz w:val="17"/>
              </w:rPr>
              <w:t>=&gt; 50 en &lt; 200</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07BFFDF1" w14:textId="77777777">
            <w:pPr>
              <w:pStyle w:val="p-table"/>
              <w:jc w:val="center"/>
              <w:rPr>
                <w:sz w:val="17"/>
              </w:rPr>
            </w:pPr>
            <w:r>
              <w:rPr>
                <w:sz w:val="17"/>
              </w:rPr>
              <w:t>2</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6B7DC749" w14:textId="77777777">
            <w:pPr>
              <w:pStyle w:val="p-table"/>
              <w:jc w:val="center"/>
              <w:rPr>
                <w:sz w:val="17"/>
              </w:rPr>
            </w:pPr>
            <w:r>
              <w:rPr>
                <w:sz w:val="17"/>
              </w:rPr>
              <w:t>4</w:t>
            </w:r>
          </w:p>
        </w:tc>
      </w:tr>
      <w:tr w:rsidR="00A92B80" w14:paraId="7F20E420" w14:textId="77777777">
        <w:tc>
          <w:tcPr>
            <w:tcW w:w="2114" w:type="dxa"/>
            <w:tcBorders>
              <w:bottom w:val="single" w:color="009EE0" w:sz="2" w:space="0"/>
            </w:tcBorders>
            <w:shd w:val="clear" w:color="auto" w:fill="auto"/>
            <w:tcMar>
              <w:top w:w="22" w:type="dxa"/>
              <w:left w:w="10" w:type="dxa"/>
              <w:bottom w:w="22" w:type="dxa"/>
              <w:right w:w="28" w:type="dxa"/>
            </w:tcMar>
          </w:tcPr>
          <w:p w:rsidR="00A92B80" w:rsidRDefault="00B2714D" w14:paraId="3ACAFE18" w14:textId="77777777">
            <w:pPr>
              <w:pStyle w:val="p-table"/>
              <w:rPr>
                <w:sz w:val="17"/>
              </w:rPr>
            </w:pPr>
            <w:r>
              <w:rPr>
                <w:sz w:val="17"/>
              </w:rPr>
              <w:t>=&gt; 200 &lt; 1000</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1882A980" w14:textId="77777777">
            <w:pPr>
              <w:pStyle w:val="p-table"/>
              <w:jc w:val="center"/>
              <w:rPr>
                <w:sz w:val="17"/>
              </w:rPr>
            </w:pPr>
            <w:r>
              <w:rPr>
                <w:sz w:val="17"/>
              </w:rPr>
              <w:t>5</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67AD519D" w14:textId="77777777">
            <w:pPr>
              <w:pStyle w:val="p-table"/>
              <w:jc w:val="center"/>
              <w:rPr>
                <w:sz w:val="17"/>
              </w:rPr>
            </w:pPr>
            <w:r>
              <w:rPr>
                <w:sz w:val="17"/>
              </w:rPr>
              <w:t>10</w:t>
            </w:r>
          </w:p>
        </w:tc>
      </w:tr>
      <w:tr w:rsidR="00A92B80" w14:paraId="67D1C90E" w14:textId="77777777">
        <w:tc>
          <w:tcPr>
            <w:tcW w:w="2114" w:type="dxa"/>
            <w:tcBorders>
              <w:bottom w:val="single" w:color="009EE0" w:sz="2" w:space="0"/>
            </w:tcBorders>
            <w:shd w:val="clear" w:color="auto" w:fill="auto"/>
            <w:tcMar>
              <w:top w:w="22" w:type="dxa"/>
              <w:left w:w="10" w:type="dxa"/>
              <w:bottom w:w="22" w:type="dxa"/>
              <w:right w:w="28" w:type="dxa"/>
            </w:tcMar>
          </w:tcPr>
          <w:p w:rsidR="00A92B80" w:rsidRDefault="00B2714D" w14:paraId="2BDC95A3" w14:textId="77777777">
            <w:pPr>
              <w:pStyle w:val="p-table"/>
              <w:rPr>
                <w:sz w:val="17"/>
              </w:rPr>
            </w:pPr>
            <w:r>
              <w:rPr>
                <w:sz w:val="17"/>
              </w:rPr>
              <w:t>=&gt; 1000</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48656B5A" w14:textId="77777777">
            <w:pPr>
              <w:pStyle w:val="p-table"/>
              <w:jc w:val="center"/>
              <w:rPr>
                <w:sz w:val="17"/>
              </w:rPr>
            </w:pPr>
            <w:r>
              <w:rPr>
                <w:sz w:val="17"/>
              </w:rPr>
              <w:t>10</w:t>
            </w:r>
          </w:p>
        </w:tc>
        <w:tc>
          <w:tcPr>
            <w:tcW w:w="2132" w:type="dxa"/>
            <w:tcBorders>
              <w:bottom w:val="single" w:color="009EE0" w:sz="2" w:space="0"/>
            </w:tcBorders>
            <w:shd w:val="clear" w:color="auto" w:fill="auto"/>
            <w:tcMar>
              <w:top w:w="22" w:type="dxa"/>
              <w:left w:w="28" w:type="dxa"/>
              <w:bottom w:w="22" w:type="dxa"/>
              <w:right w:w="28" w:type="dxa"/>
            </w:tcMar>
          </w:tcPr>
          <w:p w:rsidR="00A92B80" w:rsidRDefault="00B2714D" w14:paraId="75D42D11" w14:textId="77777777">
            <w:pPr>
              <w:pStyle w:val="p-table"/>
              <w:jc w:val="center"/>
              <w:rPr>
                <w:sz w:val="17"/>
              </w:rPr>
            </w:pPr>
            <w:r>
              <w:rPr>
                <w:sz w:val="17"/>
              </w:rPr>
              <w:t>20</w:t>
            </w:r>
          </w:p>
        </w:tc>
      </w:tr>
    </w:tbl>
    <w:p w:rsidR="00A92B80" w:rsidRDefault="00A92B80" w14:paraId="761AFCDE" w14:textId="77777777">
      <w:pPr>
        <w:pStyle w:val="p-marginbottom"/>
      </w:pPr>
    </w:p>
    <w:p w:rsidR="00A92B80" w:rsidRDefault="00B2714D" w14:paraId="0463C83D" w14:textId="77777777">
      <w:pPr>
        <w:pStyle w:val="p"/>
      </w:pPr>
      <w:r>
        <w:t>In sommige gevallen, waar politiek relevant, worden ook posten toegelicht beneden deze ondergrenzen.</w:t>
      </w:r>
    </w:p>
    <w:p w:rsidR="00A92B80" w:rsidRDefault="00A92B80" w14:paraId="03057BBE" w14:textId="77777777">
      <w:pPr>
        <w:pStyle w:val="page-break"/>
      </w:pPr>
    </w:p>
    <w:p w:rsidR="00A92B80" w:rsidRDefault="00B2714D" w14:paraId="0468E89E" w14:textId="77777777">
      <w:pPr>
        <w:pStyle w:val="section-title-2"/>
      </w:pPr>
      <w:bookmarkStart w:name="86608548660792" w:id="4"/>
      <w:r>
        <w:t>2. Beleidsartikelen</w:t>
      </w:r>
      <w:bookmarkEnd w:id="4"/>
    </w:p>
    <w:p w:rsidR="00A92B80" w:rsidRDefault="00B2714D" w14:paraId="47B0988B" w14:textId="77777777">
      <w:pPr>
        <w:pStyle w:val="section-title-3"/>
      </w:pPr>
      <w:r>
        <w:t xml:space="preserve">2.1 Beleidsartikel 2 </w:t>
      </w:r>
      <w:proofErr w:type="spellStart"/>
      <w:r>
        <w:t>Bedrĳvenbeleid</w:t>
      </w:r>
      <w:proofErr w:type="spellEnd"/>
      <w:r>
        <w:t xml:space="preserve">: innovatie en ondernemerschap voor </w:t>
      </w:r>
      <w:r>
        <w:lastRenderedPageBreak/>
        <w:t>duurzame welvaartsgroei</w:t>
      </w:r>
    </w:p>
    <w:tbl>
      <w:tblPr>
        <w:tblW w:w="9694" w:type="dxa"/>
        <w:tblInd w:w="-3317" w:type="dxa"/>
        <w:tblCellMar>
          <w:left w:w="10" w:type="dxa"/>
          <w:right w:w="10" w:type="dxa"/>
        </w:tblCellMar>
        <w:tblLook w:val="04A0" w:firstRow="1" w:lastRow="0" w:firstColumn="1" w:lastColumn="0" w:noHBand="0" w:noVBand="1"/>
      </w:tblPr>
      <w:tblGrid>
        <w:gridCol w:w="2843"/>
        <w:gridCol w:w="1058"/>
        <w:gridCol w:w="947"/>
        <w:gridCol w:w="1058"/>
        <w:gridCol w:w="947"/>
        <w:gridCol w:w="947"/>
        <w:gridCol w:w="947"/>
        <w:gridCol w:w="947"/>
      </w:tblGrid>
      <w:tr w:rsidR="00A92B80" w14:paraId="06D274E0" w14:textId="77777777">
        <w:trPr>
          <w:tblHeader/>
        </w:trPr>
        <w:tc>
          <w:tcPr>
            <w:tcW w:w="9694" w:type="dxa"/>
            <w:gridSpan w:val="8"/>
            <w:shd w:val="clear" w:color="auto" w:fill="auto"/>
            <w:tcMar>
              <w:top w:w="22" w:type="dxa"/>
              <w:left w:w="113" w:type="dxa"/>
              <w:bottom w:w="22" w:type="dxa"/>
              <w:right w:w="10" w:type="dxa"/>
            </w:tcMar>
          </w:tcPr>
          <w:p w:rsidR="00A92B80" w:rsidRDefault="00B2714D" w14:paraId="5CD8DE3B" w14:textId="77777777">
            <w:pPr>
              <w:pStyle w:val="kio2-table-title"/>
            </w:pPr>
            <w:r>
              <w:lastRenderedPageBreak/>
              <w:t>Tabel 1 Budgettaire gevolgen van beleid Tweede incidentele suppletoire begroting (ISB) (bedragen x € 1.000)</w:t>
            </w:r>
          </w:p>
        </w:tc>
      </w:tr>
      <w:tr w:rsidR="00A92B80" w14:paraId="054B01CC" w14:textId="77777777">
        <w:trPr>
          <w:tblHeader/>
        </w:trPr>
        <w:tc>
          <w:tcPr>
            <w:tcW w:w="2843" w:type="dxa"/>
            <w:tcBorders>
              <w:top w:val="single" w:color="000000" w:sz="2" w:space="0"/>
              <w:bottom w:val="single" w:color="009EE0" w:sz="2" w:space="0"/>
            </w:tcBorders>
            <w:shd w:val="clear" w:color="auto" w:fill="auto"/>
            <w:tcMar>
              <w:top w:w="28" w:type="dxa"/>
              <w:left w:w="10" w:type="dxa"/>
              <w:bottom w:w="28" w:type="dxa"/>
              <w:right w:w="28" w:type="dxa"/>
            </w:tcMar>
          </w:tcPr>
          <w:p w:rsidR="00A92B80" w:rsidRDefault="00A92B80" w14:paraId="52DA5704" w14:textId="77777777">
            <w:pPr>
              <w:pStyle w:val="p-table"/>
              <w:rPr>
                <w:color w:val="000000"/>
                <w:sz w:val="17"/>
              </w:rPr>
            </w:pP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1D4923A6" w14:textId="77777777">
            <w:pPr>
              <w:pStyle w:val="p-table"/>
              <w:jc w:val="right"/>
            </w:pPr>
            <w:r>
              <w:rPr>
                <w:color w:val="000000"/>
                <w:sz w:val="17"/>
              </w:rPr>
              <w:t>Stand 1</w:t>
            </w:r>
            <w:r>
              <w:rPr>
                <w:color w:val="000000"/>
                <w:sz w:val="17"/>
                <w:vertAlign w:val="superscript"/>
              </w:rPr>
              <w:t>e</w:t>
            </w:r>
            <w:r>
              <w:rPr>
                <w:color w:val="000000"/>
                <w:sz w:val="17"/>
              </w:rPr>
              <w:t xml:space="preserve"> suppletoire begroting</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19E96010" w14:textId="77777777">
            <w:pPr>
              <w:pStyle w:val="p-table"/>
              <w:jc w:val="right"/>
            </w:pPr>
            <w:r>
              <w:rPr>
                <w:color w:val="000000"/>
                <w:sz w:val="17"/>
              </w:rPr>
              <w:t>Mutaties 2</w:t>
            </w:r>
            <w:r>
              <w:rPr>
                <w:color w:val="000000"/>
                <w:sz w:val="17"/>
                <w:vertAlign w:val="superscript"/>
              </w:rPr>
              <w:t>e</w:t>
            </w:r>
            <w:r>
              <w:rPr>
                <w:color w:val="000000"/>
                <w:sz w:val="17"/>
              </w:rPr>
              <w:t xml:space="preserve"> ISB</w:t>
            </w: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2917079A" w14:textId="77777777">
            <w:pPr>
              <w:pStyle w:val="p-table"/>
              <w:jc w:val="right"/>
            </w:pPr>
            <w:r>
              <w:rPr>
                <w:color w:val="000000"/>
                <w:sz w:val="17"/>
              </w:rPr>
              <w:t>Stand 2</w:t>
            </w:r>
            <w:r>
              <w:rPr>
                <w:color w:val="000000"/>
                <w:sz w:val="17"/>
                <w:vertAlign w:val="superscript"/>
              </w:rPr>
              <w:t>e</w:t>
            </w:r>
            <w:r>
              <w:rPr>
                <w:color w:val="000000"/>
                <w:sz w:val="17"/>
              </w:rPr>
              <w:t xml:space="preserve"> ISB</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738B64DA" w14:textId="77777777">
            <w:pPr>
              <w:pStyle w:val="p-table"/>
              <w:jc w:val="right"/>
              <w:rPr>
                <w:color w:val="000000"/>
                <w:sz w:val="17"/>
              </w:rPr>
            </w:pPr>
            <w:r>
              <w:rPr>
                <w:color w:val="000000"/>
                <w:sz w:val="17"/>
              </w:rPr>
              <w:t>Mutatie 2026</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45A8EB18" w14:textId="77777777">
            <w:pPr>
              <w:pStyle w:val="p-table"/>
              <w:jc w:val="right"/>
              <w:rPr>
                <w:color w:val="000000"/>
                <w:sz w:val="17"/>
              </w:rPr>
            </w:pPr>
            <w:r>
              <w:rPr>
                <w:color w:val="000000"/>
                <w:sz w:val="17"/>
              </w:rPr>
              <w:t>Mutatie 2027</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7C4FC0C5" w14:textId="77777777">
            <w:pPr>
              <w:pStyle w:val="p-table"/>
              <w:jc w:val="right"/>
              <w:rPr>
                <w:color w:val="000000"/>
                <w:sz w:val="17"/>
              </w:rPr>
            </w:pPr>
            <w:r>
              <w:rPr>
                <w:color w:val="000000"/>
                <w:sz w:val="17"/>
              </w:rPr>
              <w:t>Mutatie 2028</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1AA34998" w14:textId="77777777">
            <w:pPr>
              <w:pStyle w:val="p-table"/>
              <w:jc w:val="right"/>
              <w:rPr>
                <w:color w:val="000000"/>
                <w:sz w:val="17"/>
              </w:rPr>
            </w:pPr>
            <w:r>
              <w:rPr>
                <w:color w:val="000000"/>
                <w:sz w:val="17"/>
              </w:rPr>
              <w:t>Mutatie 2029</w:t>
            </w:r>
          </w:p>
        </w:tc>
      </w:tr>
      <w:tr w:rsidR="00A92B80" w14:paraId="22601346"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9909DB7" w14:textId="77777777">
            <w:pPr>
              <w:pStyle w:val="p-table"/>
            </w:pPr>
            <w:r>
              <w:rPr>
                <w:b/>
                <w:sz w:val="17"/>
              </w:rPr>
              <w:t>Verplichtingen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BFF4E92" w14:textId="77777777">
            <w:pPr>
              <w:pStyle w:val="p-table"/>
              <w:jc w:val="right"/>
            </w:pPr>
            <w:r>
              <w:rPr>
                <w:b/>
                <w:sz w:val="17"/>
              </w:rPr>
              <w:t>3.251.649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7C760FC0" w14:textId="77777777">
            <w:pPr>
              <w:pStyle w:val="p-table"/>
              <w:jc w:val="right"/>
            </w:pPr>
            <w:r>
              <w:rPr>
                <w:b/>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8473B59" w14:textId="77777777">
            <w:pPr>
              <w:pStyle w:val="p-table"/>
              <w:jc w:val="right"/>
            </w:pPr>
            <w:r>
              <w:rPr>
                <w:b/>
                <w:sz w:val="17"/>
              </w:rPr>
              <w:t>3.521.649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FBCB64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5A884D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CFC68B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A4B35EA" w14:textId="77777777">
            <w:pPr>
              <w:pStyle w:val="p-table"/>
              <w:rPr>
                <w:sz w:val="17"/>
              </w:rPr>
            </w:pPr>
          </w:p>
        </w:tc>
      </w:tr>
      <w:tr w:rsidR="00A92B80" w14:paraId="23D80397"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5AD01FE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7D65831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63DC55"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240878D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102F9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FE6DC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AC62E8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FF2E214" w14:textId="77777777">
            <w:pPr>
              <w:pStyle w:val="p-table"/>
              <w:rPr>
                <w:sz w:val="17"/>
              </w:rPr>
            </w:pPr>
          </w:p>
        </w:tc>
      </w:tr>
      <w:tr w:rsidR="00A92B80" w14:paraId="0B2474CF"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10E881B" w14:textId="77777777">
            <w:pPr>
              <w:pStyle w:val="p-table"/>
            </w:pPr>
            <w:r>
              <w:rPr>
                <w:b/>
                <w:sz w:val="17"/>
              </w:rPr>
              <w:t>Uitgaven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5883BE4" w14:textId="77777777">
            <w:pPr>
              <w:pStyle w:val="p-table"/>
              <w:jc w:val="right"/>
            </w:pPr>
            <w:r>
              <w:rPr>
                <w:b/>
                <w:sz w:val="17"/>
              </w:rPr>
              <w:t>1.935.406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266E69A1" w14:textId="77777777">
            <w:pPr>
              <w:pStyle w:val="p-table"/>
              <w:jc w:val="right"/>
            </w:pPr>
            <w:r>
              <w:rPr>
                <w:b/>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4D70A1F" w14:textId="77777777">
            <w:pPr>
              <w:pStyle w:val="p-table"/>
              <w:jc w:val="right"/>
            </w:pPr>
            <w:r>
              <w:rPr>
                <w:b/>
                <w:sz w:val="17"/>
              </w:rPr>
              <w:t>2.205.406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8AC2FC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0B21AD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BBCAEC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08AE29D" w14:textId="77777777">
            <w:pPr>
              <w:pStyle w:val="p-table"/>
              <w:rPr>
                <w:sz w:val="17"/>
              </w:rPr>
            </w:pPr>
          </w:p>
        </w:tc>
      </w:tr>
      <w:tr w:rsidR="00A92B80" w14:paraId="3EF7A18B"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10A1DF87"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2D08E59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5D418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19A89AB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430AF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B083B9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E3AB0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A2455AD" w14:textId="77777777">
            <w:pPr>
              <w:pStyle w:val="p-table"/>
              <w:rPr>
                <w:sz w:val="17"/>
              </w:rPr>
            </w:pPr>
          </w:p>
        </w:tc>
      </w:tr>
      <w:tr w:rsidR="00A92B80" w14:paraId="2D2299F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CFD2737" w14:textId="77777777">
            <w:pPr>
              <w:pStyle w:val="p-table"/>
            </w:pPr>
            <w:r>
              <w:rPr>
                <w:b/>
                <w:sz w:val="17"/>
              </w:rPr>
              <w:t>Subsidies (regelingen)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6D63B07" w14:textId="77777777">
            <w:pPr>
              <w:pStyle w:val="p-table"/>
              <w:jc w:val="right"/>
            </w:pPr>
            <w:r>
              <w:rPr>
                <w:b/>
                <w:sz w:val="17"/>
              </w:rPr>
              <w:t>675.531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73A35168"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B770920" w14:textId="77777777">
            <w:pPr>
              <w:pStyle w:val="p-table"/>
              <w:jc w:val="right"/>
            </w:pPr>
            <w:r>
              <w:rPr>
                <w:b/>
                <w:sz w:val="17"/>
              </w:rPr>
              <w:t>675.531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0A604B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C0EBBA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41450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F027A82" w14:textId="77777777">
            <w:pPr>
              <w:pStyle w:val="p-table"/>
              <w:rPr>
                <w:sz w:val="17"/>
              </w:rPr>
            </w:pPr>
          </w:p>
        </w:tc>
      </w:tr>
      <w:tr w:rsidR="00A92B80" w14:paraId="4222E59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378FF7B" w14:textId="77777777">
            <w:pPr>
              <w:pStyle w:val="p-table"/>
              <w:rPr>
                <w:sz w:val="17"/>
              </w:rPr>
            </w:pPr>
            <w:r>
              <w:rPr>
                <w:sz w:val="17"/>
              </w:rPr>
              <w:t>MKB-Innovatiestimulering Topsectoren (MIT)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3EDE35A" w14:textId="77777777">
            <w:pPr>
              <w:pStyle w:val="p-table"/>
              <w:jc w:val="right"/>
              <w:rPr>
                <w:sz w:val="17"/>
              </w:rPr>
            </w:pPr>
            <w:r>
              <w:rPr>
                <w:sz w:val="17"/>
              </w:rPr>
              <w:t>6.140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37F37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5835113" w14:textId="77777777">
            <w:pPr>
              <w:pStyle w:val="p-table"/>
              <w:jc w:val="right"/>
              <w:rPr>
                <w:sz w:val="17"/>
              </w:rPr>
            </w:pPr>
            <w:r>
              <w:rPr>
                <w:sz w:val="17"/>
              </w:rPr>
              <w:t>6.140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9CA3EF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EDF37C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46B3B8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D7CEBD" w14:textId="77777777">
            <w:pPr>
              <w:pStyle w:val="p-table"/>
              <w:rPr>
                <w:sz w:val="17"/>
              </w:rPr>
            </w:pPr>
          </w:p>
        </w:tc>
      </w:tr>
      <w:tr w:rsidR="00A92B80" w14:paraId="2CC83DAB"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FCE2C17" w14:textId="77777777">
            <w:pPr>
              <w:pStyle w:val="p-table"/>
              <w:rPr>
                <w:sz w:val="17"/>
              </w:rPr>
            </w:pPr>
            <w:proofErr w:type="spellStart"/>
            <w:r>
              <w:rPr>
                <w:sz w:val="17"/>
              </w:rPr>
              <w:t>Eurostars</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37E5994" w14:textId="77777777">
            <w:pPr>
              <w:pStyle w:val="p-table"/>
              <w:jc w:val="right"/>
              <w:rPr>
                <w:sz w:val="17"/>
              </w:rPr>
            </w:pPr>
            <w:r>
              <w:rPr>
                <w:sz w:val="17"/>
              </w:rPr>
              <w:t>21.558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13F59D6"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6661CC4" w14:textId="77777777">
            <w:pPr>
              <w:pStyle w:val="p-table"/>
              <w:jc w:val="right"/>
              <w:rPr>
                <w:sz w:val="17"/>
              </w:rPr>
            </w:pPr>
            <w:r>
              <w:rPr>
                <w:sz w:val="17"/>
              </w:rPr>
              <w:t>21.558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66A639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7C8B2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F2259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298D8F7" w14:textId="77777777">
            <w:pPr>
              <w:pStyle w:val="p-table"/>
              <w:rPr>
                <w:sz w:val="17"/>
              </w:rPr>
            </w:pPr>
          </w:p>
        </w:tc>
      </w:tr>
      <w:tr w:rsidR="00A92B80" w14:paraId="092DD53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8F29CF8" w14:textId="77777777">
            <w:pPr>
              <w:pStyle w:val="p-table"/>
              <w:rPr>
                <w:sz w:val="17"/>
              </w:rPr>
            </w:pPr>
            <w:r>
              <w:rPr>
                <w:sz w:val="17"/>
              </w:rPr>
              <w:t>Bevorderen ondernemerschap</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E7C9363" w14:textId="77777777">
            <w:pPr>
              <w:pStyle w:val="p-table"/>
              <w:jc w:val="right"/>
              <w:rPr>
                <w:sz w:val="17"/>
              </w:rPr>
            </w:pPr>
            <w:r>
              <w:rPr>
                <w:sz w:val="17"/>
              </w:rPr>
              <w:t>17.214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C2F06C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33238A2F" w14:textId="77777777">
            <w:pPr>
              <w:pStyle w:val="p-table"/>
              <w:jc w:val="right"/>
              <w:rPr>
                <w:sz w:val="17"/>
              </w:rPr>
            </w:pPr>
            <w:r>
              <w:rPr>
                <w:sz w:val="17"/>
              </w:rPr>
              <w:t>17.214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579060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EE8923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B3EC60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2412B7B" w14:textId="77777777">
            <w:pPr>
              <w:pStyle w:val="p-table"/>
              <w:rPr>
                <w:sz w:val="17"/>
              </w:rPr>
            </w:pPr>
          </w:p>
        </w:tc>
      </w:tr>
      <w:tr w:rsidR="00A92B80" w14:paraId="19097700"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E5A70E8" w14:textId="77777777">
            <w:pPr>
              <w:pStyle w:val="p-table"/>
              <w:rPr>
                <w:sz w:val="17"/>
              </w:rPr>
            </w:pPr>
            <w:r>
              <w:rPr>
                <w:sz w:val="17"/>
              </w:rPr>
              <w:t>Cofinanciering EFRO</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EAA55C4" w14:textId="77777777">
            <w:pPr>
              <w:pStyle w:val="p-table"/>
              <w:jc w:val="right"/>
              <w:rPr>
                <w:sz w:val="17"/>
              </w:rPr>
            </w:pPr>
            <w:r>
              <w:rPr>
                <w:sz w:val="17"/>
              </w:rPr>
              <w:t>32.077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A8FFB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967F711" w14:textId="77777777">
            <w:pPr>
              <w:pStyle w:val="p-table"/>
              <w:jc w:val="right"/>
              <w:rPr>
                <w:sz w:val="17"/>
              </w:rPr>
            </w:pPr>
            <w:r>
              <w:rPr>
                <w:sz w:val="17"/>
              </w:rPr>
              <w:t>32.077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7DEEE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425EA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335B43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E5048E5" w14:textId="77777777">
            <w:pPr>
              <w:pStyle w:val="p-table"/>
              <w:rPr>
                <w:sz w:val="17"/>
              </w:rPr>
            </w:pPr>
          </w:p>
        </w:tc>
      </w:tr>
      <w:tr w:rsidR="00A92B80" w14:paraId="64CCE99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B26ED94" w14:textId="77777777">
            <w:pPr>
              <w:pStyle w:val="p-table"/>
              <w:rPr>
                <w:sz w:val="17"/>
              </w:rPr>
            </w:pPr>
            <w:r>
              <w:rPr>
                <w:sz w:val="17"/>
              </w:rPr>
              <w:t xml:space="preserve">Bijdrage aan </w:t>
            </w:r>
            <w:proofErr w:type="spellStart"/>
            <w:r>
              <w:rPr>
                <w:sz w:val="17"/>
              </w:rPr>
              <w:t>ROM's</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F75118B" w14:textId="77777777">
            <w:pPr>
              <w:pStyle w:val="p-table"/>
              <w:jc w:val="right"/>
              <w:rPr>
                <w:sz w:val="17"/>
              </w:rPr>
            </w:pPr>
            <w:r>
              <w:rPr>
                <w:sz w:val="17"/>
              </w:rPr>
              <w:t>12.547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2EE5FB"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739718C" w14:textId="77777777">
            <w:pPr>
              <w:pStyle w:val="p-table"/>
              <w:jc w:val="right"/>
              <w:rPr>
                <w:sz w:val="17"/>
              </w:rPr>
            </w:pPr>
            <w:r>
              <w:rPr>
                <w:sz w:val="17"/>
              </w:rPr>
              <w:t>12.547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C5FDE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A9311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CCC704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9FD4856" w14:textId="77777777">
            <w:pPr>
              <w:pStyle w:val="p-table"/>
              <w:rPr>
                <w:sz w:val="17"/>
              </w:rPr>
            </w:pPr>
          </w:p>
        </w:tc>
      </w:tr>
      <w:tr w:rsidR="00A92B80" w14:paraId="50FA6BD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429A08B" w14:textId="77777777">
            <w:pPr>
              <w:pStyle w:val="p-table"/>
              <w:rPr>
                <w:sz w:val="17"/>
              </w:rPr>
            </w:pPr>
            <w:r>
              <w:rPr>
                <w:sz w:val="17"/>
              </w:rPr>
              <w:t>Startup beleid</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C00BCCD" w14:textId="77777777">
            <w:pPr>
              <w:pStyle w:val="p-table"/>
              <w:jc w:val="right"/>
              <w:rPr>
                <w:sz w:val="17"/>
              </w:rPr>
            </w:pPr>
            <w:r>
              <w:rPr>
                <w:sz w:val="17"/>
              </w:rPr>
              <w:t>4.214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357E92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E9941FC" w14:textId="77777777">
            <w:pPr>
              <w:pStyle w:val="p-table"/>
              <w:jc w:val="right"/>
              <w:rPr>
                <w:sz w:val="17"/>
              </w:rPr>
            </w:pPr>
            <w:r>
              <w:rPr>
                <w:sz w:val="17"/>
              </w:rPr>
              <w:t>4.214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88523E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6BF607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6E3646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C8FBAB5" w14:textId="77777777">
            <w:pPr>
              <w:pStyle w:val="p-table"/>
              <w:rPr>
                <w:sz w:val="17"/>
              </w:rPr>
            </w:pPr>
          </w:p>
        </w:tc>
      </w:tr>
      <w:tr w:rsidR="00A92B80" w14:paraId="20D4145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2074EBA" w14:textId="77777777">
            <w:pPr>
              <w:pStyle w:val="p-table"/>
              <w:rPr>
                <w:sz w:val="17"/>
              </w:rPr>
            </w:pPr>
            <w:proofErr w:type="spellStart"/>
            <w:r>
              <w:rPr>
                <w:sz w:val="17"/>
              </w:rPr>
              <w:t>Invest</w:t>
            </w:r>
            <w:proofErr w:type="spellEnd"/>
            <w:r>
              <w:rPr>
                <w:sz w:val="17"/>
              </w:rPr>
              <w:t>-Nl</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D63FD93" w14:textId="77777777">
            <w:pPr>
              <w:pStyle w:val="p-table"/>
              <w:jc w:val="right"/>
              <w:rPr>
                <w:sz w:val="17"/>
              </w:rPr>
            </w:pPr>
            <w:r>
              <w:rPr>
                <w:sz w:val="17"/>
              </w:rPr>
              <w:t>12.231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003DF98"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FA5B957" w14:textId="77777777">
            <w:pPr>
              <w:pStyle w:val="p-table"/>
              <w:jc w:val="right"/>
              <w:rPr>
                <w:sz w:val="17"/>
              </w:rPr>
            </w:pPr>
            <w:r>
              <w:rPr>
                <w:sz w:val="17"/>
              </w:rPr>
              <w:t>12.231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3C4006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14FE89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9B217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6034BD" w14:textId="77777777">
            <w:pPr>
              <w:pStyle w:val="p-table"/>
              <w:rPr>
                <w:sz w:val="17"/>
              </w:rPr>
            </w:pPr>
          </w:p>
        </w:tc>
      </w:tr>
      <w:tr w:rsidR="00A92B80" w14:paraId="2C625BB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031C6995" w14:textId="77777777">
            <w:pPr>
              <w:pStyle w:val="p-table"/>
              <w:rPr>
                <w:sz w:val="17"/>
              </w:rPr>
            </w:pPr>
            <w:r>
              <w:rPr>
                <w:sz w:val="17"/>
              </w:rPr>
              <w:t>Tegemoetkoming vaste lasten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40B19CB" w14:textId="77777777">
            <w:pPr>
              <w:pStyle w:val="p-table"/>
              <w:jc w:val="right"/>
              <w:rPr>
                <w:sz w:val="17"/>
              </w:rPr>
            </w:pPr>
            <w:r>
              <w:rPr>
                <w:sz w:val="17"/>
              </w:rPr>
              <w:t>25.643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8E98871"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2244605" w14:textId="77777777">
            <w:pPr>
              <w:pStyle w:val="p-table"/>
              <w:jc w:val="right"/>
              <w:rPr>
                <w:sz w:val="17"/>
              </w:rPr>
            </w:pPr>
            <w:r>
              <w:rPr>
                <w:sz w:val="17"/>
              </w:rPr>
              <w:t>25.643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49F080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403E90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510A93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B3932E6" w14:textId="77777777">
            <w:pPr>
              <w:pStyle w:val="p-table"/>
              <w:rPr>
                <w:sz w:val="17"/>
              </w:rPr>
            </w:pPr>
          </w:p>
        </w:tc>
      </w:tr>
      <w:tr w:rsidR="00A92B80" w14:paraId="6960AFE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464BA11" w14:textId="77777777">
            <w:pPr>
              <w:pStyle w:val="p-table"/>
              <w:rPr>
                <w:sz w:val="17"/>
              </w:rPr>
            </w:pPr>
            <w:r>
              <w:rPr>
                <w:sz w:val="17"/>
              </w:rPr>
              <w:t>Europees Defensie Fonds cofinanciering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743086D" w14:textId="77777777">
            <w:pPr>
              <w:pStyle w:val="p-table"/>
              <w:jc w:val="right"/>
              <w:rPr>
                <w:sz w:val="17"/>
              </w:rPr>
            </w:pPr>
            <w:r>
              <w:rPr>
                <w:sz w:val="17"/>
              </w:rPr>
              <w:t>1.200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A706C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FBCD212" w14:textId="77777777">
            <w:pPr>
              <w:pStyle w:val="p-table"/>
              <w:jc w:val="right"/>
              <w:rPr>
                <w:sz w:val="17"/>
              </w:rPr>
            </w:pPr>
            <w:r>
              <w:rPr>
                <w:sz w:val="17"/>
              </w:rPr>
              <w:t>1.200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9D3D01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DE2A3C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B1BD3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FB4E276" w14:textId="77777777">
            <w:pPr>
              <w:pStyle w:val="p-table"/>
              <w:rPr>
                <w:sz w:val="17"/>
              </w:rPr>
            </w:pPr>
          </w:p>
        </w:tc>
      </w:tr>
      <w:tr w:rsidR="00A92B80" w14:paraId="7C8CD2B9"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D48B4AA" w14:textId="77777777">
            <w:pPr>
              <w:pStyle w:val="p-table"/>
              <w:rPr>
                <w:sz w:val="17"/>
              </w:rPr>
            </w:pPr>
            <w:r>
              <w:rPr>
                <w:sz w:val="17"/>
              </w:rPr>
              <w:t>Tegemoetkoming vaste lasten Startersregeling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947BABF" w14:textId="77777777">
            <w:pPr>
              <w:pStyle w:val="p-table"/>
              <w:jc w:val="right"/>
              <w:rPr>
                <w:sz w:val="17"/>
              </w:rPr>
            </w:pPr>
            <w:r>
              <w:rPr>
                <w:sz w:val="17"/>
              </w:rPr>
              <w:t>500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FD3F4D3"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1640869" w14:textId="77777777">
            <w:pPr>
              <w:pStyle w:val="p-table"/>
              <w:jc w:val="right"/>
              <w:rPr>
                <w:sz w:val="17"/>
              </w:rPr>
            </w:pPr>
            <w:r>
              <w:rPr>
                <w:sz w:val="17"/>
              </w:rPr>
              <w:t>500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A3821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C3171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5A43B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8E4CCAC" w14:textId="77777777">
            <w:pPr>
              <w:pStyle w:val="p-table"/>
              <w:rPr>
                <w:sz w:val="17"/>
              </w:rPr>
            </w:pPr>
          </w:p>
        </w:tc>
      </w:tr>
      <w:tr w:rsidR="00A92B80" w14:paraId="4DC661AF"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17D074E" w14:textId="77777777">
            <w:pPr>
              <w:pStyle w:val="p-table"/>
              <w:rPr>
                <w:sz w:val="17"/>
              </w:rPr>
            </w:pPr>
            <w:r>
              <w:rPr>
                <w:sz w:val="17"/>
              </w:rPr>
              <w:t>Herstructurering winkelgebieden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48E1E2A" w14:textId="77777777">
            <w:pPr>
              <w:pStyle w:val="p-table"/>
              <w:jc w:val="right"/>
              <w:rPr>
                <w:sz w:val="17"/>
              </w:rPr>
            </w:pPr>
            <w:r>
              <w:rPr>
                <w:sz w:val="17"/>
              </w:rPr>
              <w:t>13.653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B282181"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D9A093D" w14:textId="77777777">
            <w:pPr>
              <w:pStyle w:val="p-table"/>
              <w:jc w:val="right"/>
              <w:rPr>
                <w:sz w:val="17"/>
              </w:rPr>
            </w:pPr>
            <w:r>
              <w:rPr>
                <w:sz w:val="17"/>
              </w:rPr>
              <w:t>13.653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961258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EEA7B7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49098D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A446AEA" w14:textId="77777777">
            <w:pPr>
              <w:pStyle w:val="p-table"/>
              <w:rPr>
                <w:sz w:val="17"/>
              </w:rPr>
            </w:pPr>
          </w:p>
        </w:tc>
      </w:tr>
      <w:tr w:rsidR="00A92B80" w14:paraId="3E13A01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E9E45C6" w14:textId="77777777">
            <w:pPr>
              <w:pStyle w:val="p-table"/>
              <w:rPr>
                <w:sz w:val="17"/>
              </w:rPr>
            </w:pPr>
            <w:r>
              <w:rPr>
                <w:sz w:val="17"/>
              </w:rPr>
              <w:t>R&amp;D mobiliteitssectoren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8E7968C" w14:textId="77777777">
            <w:pPr>
              <w:pStyle w:val="p-table"/>
              <w:jc w:val="right"/>
              <w:rPr>
                <w:sz w:val="17"/>
              </w:rPr>
            </w:pPr>
            <w:r>
              <w:rPr>
                <w:sz w:val="17"/>
              </w:rPr>
              <w:t>27.900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8735A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92120E0" w14:textId="77777777">
            <w:pPr>
              <w:pStyle w:val="p-table"/>
              <w:jc w:val="right"/>
              <w:rPr>
                <w:sz w:val="17"/>
              </w:rPr>
            </w:pPr>
            <w:r>
              <w:rPr>
                <w:sz w:val="17"/>
              </w:rPr>
              <w:t>27.900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6F724D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24D227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314C8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251FAEA" w14:textId="77777777">
            <w:pPr>
              <w:pStyle w:val="p-table"/>
              <w:rPr>
                <w:sz w:val="17"/>
              </w:rPr>
            </w:pPr>
          </w:p>
        </w:tc>
      </w:tr>
      <w:tr w:rsidR="00A92B80" w14:paraId="7D42AC1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1F0D42B" w14:textId="77777777">
            <w:pPr>
              <w:pStyle w:val="p-table"/>
              <w:rPr>
                <w:sz w:val="17"/>
              </w:rPr>
            </w:pPr>
            <w:r>
              <w:rPr>
                <w:sz w:val="17"/>
              </w:rPr>
              <w:t>SEG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F08323D" w14:textId="77777777">
            <w:pPr>
              <w:pStyle w:val="p-table"/>
              <w:jc w:val="right"/>
              <w:rPr>
                <w:sz w:val="17"/>
              </w:rPr>
            </w:pPr>
            <w:r>
              <w:rPr>
                <w:sz w:val="17"/>
              </w:rPr>
              <w:t>2.474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87C25F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DC9BD2A" w14:textId="77777777">
            <w:pPr>
              <w:pStyle w:val="p-table"/>
              <w:jc w:val="right"/>
              <w:rPr>
                <w:sz w:val="17"/>
              </w:rPr>
            </w:pPr>
            <w:r>
              <w:rPr>
                <w:sz w:val="17"/>
              </w:rPr>
              <w:t>2.474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6AC9D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ECD8E2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D23FB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2E3EE89" w14:textId="77777777">
            <w:pPr>
              <w:pStyle w:val="p-table"/>
              <w:rPr>
                <w:sz w:val="17"/>
              </w:rPr>
            </w:pPr>
          </w:p>
        </w:tc>
      </w:tr>
      <w:tr w:rsidR="00A92B80" w14:paraId="3111C74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01D0387D" w14:textId="77777777">
            <w:pPr>
              <w:pStyle w:val="p-table"/>
              <w:rPr>
                <w:sz w:val="17"/>
              </w:rPr>
            </w:pPr>
            <w:r>
              <w:rPr>
                <w:sz w:val="17"/>
              </w:rPr>
              <w:t>NGF - project Health-RI</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C13C6E3" w14:textId="77777777">
            <w:pPr>
              <w:pStyle w:val="p-table"/>
              <w:jc w:val="right"/>
              <w:rPr>
                <w:sz w:val="17"/>
              </w:rPr>
            </w:pPr>
            <w:r>
              <w:rPr>
                <w:sz w:val="17"/>
              </w:rPr>
              <w:t>11.317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DC1C42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D8E631B" w14:textId="77777777">
            <w:pPr>
              <w:pStyle w:val="p-table"/>
              <w:jc w:val="right"/>
              <w:rPr>
                <w:sz w:val="17"/>
              </w:rPr>
            </w:pPr>
            <w:r>
              <w:rPr>
                <w:sz w:val="17"/>
              </w:rPr>
              <w:t>11.317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7CEE5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5CFFF7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787F76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62B2AB2" w14:textId="77777777">
            <w:pPr>
              <w:pStyle w:val="p-table"/>
              <w:rPr>
                <w:sz w:val="17"/>
              </w:rPr>
            </w:pPr>
          </w:p>
        </w:tc>
      </w:tr>
      <w:tr w:rsidR="00A92B80" w14:paraId="2C680C0F"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217D09C" w14:textId="77777777">
            <w:pPr>
              <w:pStyle w:val="p-table"/>
              <w:rPr>
                <w:sz w:val="17"/>
              </w:rPr>
            </w:pPr>
            <w:r>
              <w:rPr>
                <w:sz w:val="17"/>
              </w:rPr>
              <w:t xml:space="preserve">NGF - project </w:t>
            </w:r>
            <w:proofErr w:type="spellStart"/>
            <w:r>
              <w:rPr>
                <w:sz w:val="17"/>
              </w:rPr>
              <w:t>RegMed</w:t>
            </w:r>
            <w:proofErr w:type="spellEnd"/>
            <w:r>
              <w:rPr>
                <w:sz w:val="17"/>
              </w:rPr>
              <w:t xml:space="preserve"> XB</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6AA98E9" w14:textId="77777777">
            <w:pPr>
              <w:pStyle w:val="p-table"/>
              <w:jc w:val="right"/>
              <w:rPr>
                <w:sz w:val="17"/>
              </w:rPr>
            </w:pPr>
            <w:r>
              <w:rPr>
                <w:sz w:val="17"/>
              </w:rPr>
              <w:t>7.848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B8EAE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617711C" w14:textId="77777777">
            <w:pPr>
              <w:pStyle w:val="p-table"/>
              <w:jc w:val="right"/>
              <w:rPr>
                <w:sz w:val="17"/>
              </w:rPr>
            </w:pPr>
            <w:r>
              <w:rPr>
                <w:sz w:val="17"/>
              </w:rPr>
              <w:t>7.848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5B21E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316A6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CAA03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7158CA" w14:textId="77777777">
            <w:pPr>
              <w:pStyle w:val="p-table"/>
              <w:rPr>
                <w:sz w:val="17"/>
              </w:rPr>
            </w:pPr>
          </w:p>
        </w:tc>
      </w:tr>
      <w:tr w:rsidR="00A92B80" w14:paraId="74450F47"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EA36AA6" w14:textId="77777777">
            <w:pPr>
              <w:pStyle w:val="p-table"/>
              <w:rPr>
                <w:sz w:val="17"/>
              </w:rPr>
            </w:pPr>
            <w:r>
              <w:rPr>
                <w:sz w:val="17"/>
              </w:rPr>
              <w:t xml:space="preserve">NGF - project </w:t>
            </w:r>
            <w:proofErr w:type="spellStart"/>
            <w:r>
              <w:rPr>
                <w:sz w:val="17"/>
              </w:rPr>
              <w:t>QuantumDeltaNL</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E3F3BEB" w14:textId="77777777">
            <w:pPr>
              <w:pStyle w:val="p-table"/>
              <w:jc w:val="right"/>
              <w:rPr>
                <w:sz w:val="17"/>
              </w:rPr>
            </w:pPr>
            <w:r>
              <w:rPr>
                <w:sz w:val="17"/>
              </w:rPr>
              <w:t>75.951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EA898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2A9D941" w14:textId="77777777">
            <w:pPr>
              <w:pStyle w:val="p-table"/>
              <w:jc w:val="right"/>
              <w:rPr>
                <w:sz w:val="17"/>
              </w:rPr>
            </w:pPr>
            <w:r>
              <w:rPr>
                <w:sz w:val="17"/>
              </w:rPr>
              <w:t>75.951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005FD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E6A858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791DA5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17157E1" w14:textId="77777777">
            <w:pPr>
              <w:pStyle w:val="p-table"/>
              <w:rPr>
                <w:sz w:val="17"/>
              </w:rPr>
            </w:pPr>
          </w:p>
        </w:tc>
      </w:tr>
      <w:tr w:rsidR="00A92B80" w14:paraId="01815E37"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8680E02" w14:textId="77777777">
            <w:pPr>
              <w:pStyle w:val="p-table"/>
              <w:rPr>
                <w:sz w:val="17"/>
              </w:rPr>
            </w:pPr>
            <w:r>
              <w:rPr>
                <w:sz w:val="17"/>
              </w:rPr>
              <w:t xml:space="preserve">NGF - project </w:t>
            </w:r>
            <w:proofErr w:type="spellStart"/>
            <w:r>
              <w:rPr>
                <w:sz w:val="17"/>
              </w:rPr>
              <w:t>Oncode</w:t>
            </w:r>
            <w:proofErr w:type="spellEnd"/>
            <w:r>
              <w:rPr>
                <w:sz w:val="17"/>
              </w:rPr>
              <w:t>-PACT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AEE2170" w14:textId="77777777">
            <w:pPr>
              <w:pStyle w:val="p-table"/>
              <w:jc w:val="right"/>
              <w:rPr>
                <w:sz w:val="17"/>
              </w:rPr>
            </w:pPr>
            <w:r>
              <w:rPr>
                <w:sz w:val="17"/>
              </w:rPr>
              <w:t>46.834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C85C72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3366B4D" w14:textId="77777777">
            <w:pPr>
              <w:pStyle w:val="p-table"/>
              <w:jc w:val="right"/>
              <w:rPr>
                <w:sz w:val="17"/>
              </w:rPr>
            </w:pPr>
            <w:r>
              <w:rPr>
                <w:sz w:val="17"/>
              </w:rPr>
              <w:t>46.834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BF490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A618C8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57E71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4A0A7F" w14:textId="77777777">
            <w:pPr>
              <w:pStyle w:val="p-table"/>
              <w:rPr>
                <w:sz w:val="17"/>
              </w:rPr>
            </w:pPr>
          </w:p>
        </w:tc>
      </w:tr>
      <w:tr w:rsidR="00A92B80" w14:paraId="7532316C"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B0820AC" w14:textId="77777777">
            <w:pPr>
              <w:pStyle w:val="p-table"/>
              <w:rPr>
                <w:sz w:val="17"/>
                <w:lang w:val="en-US"/>
              </w:rPr>
            </w:pPr>
            <w:r>
              <w:rPr>
                <w:sz w:val="17"/>
                <w:lang w:val="en-US"/>
              </w:rPr>
              <w:t>NGF - project NXTGEN HIGH TECH</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1DA4545" w14:textId="77777777">
            <w:pPr>
              <w:pStyle w:val="p-table"/>
              <w:jc w:val="right"/>
              <w:rPr>
                <w:sz w:val="17"/>
              </w:rPr>
            </w:pPr>
            <w:r>
              <w:rPr>
                <w:sz w:val="17"/>
              </w:rPr>
              <w:t>58.705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DA044C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87A6E0A" w14:textId="77777777">
            <w:pPr>
              <w:pStyle w:val="p-table"/>
              <w:jc w:val="right"/>
              <w:rPr>
                <w:sz w:val="17"/>
              </w:rPr>
            </w:pPr>
            <w:r>
              <w:rPr>
                <w:sz w:val="17"/>
              </w:rPr>
              <w:t>58.705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DC4BD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D57ACD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78E6D4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03070D" w14:textId="77777777">
            <w:pPr>
              <w:pStyle w:val="p-table"/>
              <w:rPr>
                <w:sz w:val="17"/>
              </w:rPr>
            </w:pPr>
          </w:p>
        </w:tc>
      </w:tr>
      <w:tr w:rsidR="00A92B80" w14:paraId="38311ED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19EE2D0" w14:textId="77777777">
            <w:pPr>
              <w:pStyle w:val="p-table"/>
              <w:rPr>
                <w:sz w:val="17"/>
              </w:rPr>
            </w:pPr>
            <w:r>
              <w:rPr>
                <w:sz w:val="17"/>
              </w:rPr>
              <w:t xml:space="preserve">NGF - project </w:t>
            </w:r>
            <w:proofErr w:type="spellStart"/>
            <w:r>
              <w:rPr>
                <w:sz w:val="17"/>
              </w:rPr>
              <w:t>PhotonDelta</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77012A9" w14:textId="77777777">
            <w:pPr>
              <w:pStyle w:val="p-table"/>
              <w:jc w:val="right"/>
              <w:rPr>
                <w:sz w:val="17"/>
              </w:rPr>
            </w:pPr>
            <w:r>
              <w:rPr>
                <w:sz w:val="17"/>
              </w:rPr>
              <w:t>57.513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188DA13"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A22EE56" w14:textId="77777777">
            <w:pPr>
              <w:pStyle w:val="p-table"/>
              <w:jc w:val="right"/>
              <w:rPr>
                <w:sz w:val="17"/>
              </w:rPr>
            </w:pPr>
            <w:r>
              <w:rPr>
                <w:sz w:val="17"/>
              </w:rPr>
              <w:t>57.513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91E0E2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1115E1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523D5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080EEC" w14:textId="77777777">
            <w:pPr>
              <w:pStyle w:val="p-table"/>
              <w:rPr>
                <w:sz w:val="17"/>
              </w:rPr>
            </w:pPr>
          </w:p>
        </w:tc>
      </w:tr>
      <w:tr w:rsidR="00A92B80" w14:paraId="41A7B53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F7822C6" w14:textId="77777777">
            <w:pPr>
              <w:pStyle w:val="p-table"/>
              <w:rPr>
                <w:sz w:val="17"/>
              </w:rPr>
            </w:pPr>
            <w:r>
              <w:rPr>
                <w:sz w:val="17"/>
              </w:rPr>
              <w:t>NGF - project Opschaling PPS beroepsonderwijs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EDAE084" w14:textId="77777777">
            <w:pPr>
              <w:pStyle w:val="p-table"/>
              <w:jc w:val="right"/>
              <w:rPr>
                <w:sz w:val="17"/>
              </w:rPr>
            </w:pPr>
            <w:r>
              <w:rPr>
                <w:sz w:val="17"/>
              </w:rPr>
              <w:t>39.062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DE418F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29DD274" w14:textId="77777777">
            <w:pPr>
              <w:pStyle w:val="p-table"/>
              <w:jc w:val="right"/>
              <w:rPr>
                <w:sz w:val="17"/>
              </w:rPr>
            </w:pPr>
            <w:r>
              <w:rPr>
                <w:sz w:val="17"/>
              </w:rPr>
              <w:t>39.062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9FA47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75AB5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B3C273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DB847D0" w14:textId="77777777">
            <w:pPr>
              <w:pStyle w:val="p-table"/>
              <w:rPr>
                <w:sz w:val="17"/>
              </w:rPr>
            </w:pPr>
          </w:p>
        </w:tc>
      </w:tr>
      <w:tr w:rsidR="00A92B80" w14:paraId="38CE4E65"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9DF6009" w14:textId="77777777">
            <w:pPr>
              <w:pStyle w:val="p-table"/>
              <w:rPr>
                <w:sz w:val="17"/>
              </w:rPr>
            </w:pPr>
            <w:r>
              <w:rPr>
                <w:sz w:val="17"/>
              </w:rPr>
              <w:t xml:space="preserve">NGF - project </w:t>
            </w:r>
            <w:proofErr w:type="spellStart"/>
            <w:r>
              <w:rPr>
                <w:sz w:val="17"/>
              </w:rPr>
              <w:t>Biobased</w:t>
            </w:r>
            <w:proofErr w:type="spellEnd"/>
            <w:r>
              <w:rPr>
                <w:sz w:val="17"/>
              </w:rPr>
              <w:t xml:space="preserve"> </w:t>
            </w:r>
            <w:proofErr w:type="spellStart"/>
            <w:r>
              <w:rPr>
                <w:sz w:val="17"/>
              </w:rPr>
              <w:t>Circular</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974126F" w14:textId="77777777">
            <w:pPr>
              <w:pStyle w:val="p-table"/>
              <w:jc w:val="right"/>
              <w:rPr>
                <w:sz w:val="17"/>
              </w:rPr>
            </w:pPr>
            <w:r>
              <w:rPr>
                <w:sz w:val="17"/>
              </w:rPr>
              <w:t>4.271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4F40C0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17D80D8" w14:textId="77777777">
            <w:pPr>
              <w:pStyle w:val="p-table"/>
              <w:jc w:val="right"/>
              <w:rPr>
                <w:sz w:val="17"/>
              </w:rPr>
            </w:pPr>
            <w:r>
              <w:rPr>
                <w:sz w:val="17"/>
              </w:rPr>
              <w:t>4.271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6C4A95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A09A3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49DBC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180E497" w14:textId="77777777">
            <w:pPr>
              <w:pStyle w:val="p-table"/>
              <w:rPr>
                <w:sz w:val="17"/>
              </w:rPr>
            </w:pPr>
          </w:p>
        </w:tc>
      </w:tr>
      <w:tr w:rsidR="00A92B80" w14:paraId="634B3FB0"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DA254DA" w14:textId="77777777">
            <w:pPr>
              <w:pStyle w:val="p-table"/>
              <w:rPr>
                <w:sz w:val="17"/>
                <w:lang w:val="en-US"/>
              </w:rPr>
            </w:pPr>
            <w:r>
              <w:rPr>
                <w:sz w:val="17"/>
                <w:lang w:val="en-US"/>
              </w:rPr>
              <w:t>NGF - project Material Independence &amp; Circular Batteries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79E1912" w14:textId="77777777">
            <w:pPr>
              <w:pStyle w:val="p-table"/>
              <w:jc w:val="right"/>
              <w:rPr>
                <w:sz w:val="17"/>
              </w:rPr>
            </w:pPr>
            <w:r>
              <w:rPr>
                <w:sz w:val="17"/>
              </w:rPr>
              <w:t>33.825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34944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728CE8B" w14:textId="77777777">
            <w:pPr>
              <w:pStyle w:val="p-table"/>
              <w:jc w:val="right"/>
              <w:rPr>
                <w:sz w:val="17"/>
              </w:rPr>
            </w:pPr>
            <w:r>
              <w:rPr>
                <w:sz w:val="17"/>
              </w:rPr>
              <w:t>33.825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3887C2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10570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BE6DC5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9EDB2E" w14:textId="77777777">
            <w:pPr>
              <w:pStyle w:val="p-table"/>
              <w:rPr>
                <w:sz w:val="17"/>
              </w:rPr>
            </w:pPr>
          </w:p>
        </w:tc>
      </w:tr>
      <w:tr w:rsidR="00A92B80" w14:paraId="59E7269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8D723D2" w14:textId="77777777">
            <w:pPr>
              <w:pStyle w:val="p-table"/>
              <w:rPr>
                <w:sz w:val="17"/>
              </w:rPr>
            </w:pPr>
            <w:r>
              <w:rPr>
                <w:sz w:val="17"/>
              </w:rPr>
              <w:t>Tegemoetkoming Energiekosten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08603CF" w14:textId="77777777">
            <w:pPr>
              <w:pStyle w:val="p-table"/>
              <w:jc w:val="right"/>
              <w:rPr>
                <w:sz w:val="17"/>
              </w:rPr>
            </w:pPr>
            <w:r>
              <w:rPr>
                <w:sz w:val="17"/>
              </w:rPr>
              <w:t>4.280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04CF1D8"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2E6B68C" w14:textId="77777777">
            <w:pPr>
              <w:pStyle w:val="p-table"/>
              <w:jc w:val="right"/>
              <w:rPr>
                <w:sz w:val="17"/>
              </w:rPr>
            </w:pPr>
            <w:r>
              <w:rPr>
                <w:sz w:val="17"/>
              </w:rPr>
              <w:t>4.280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F5F2D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724E7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938163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B87180" w14:textId="77777777">
            <w:pPr>
              <w:pStyle w:val="p-table"/>
              <w:rPr>
                <w:sz w:val="17"/>
              </w:rPr>
            </w:pPr>
          </w:p>
        </w:tc>
      </w:tr>
      <w:tr w:rsidR="00A92B80" w14:paraId="395C876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3BF9E89" w14:textId="77777777">
            <w:pPr>
              <w:pStyle w:val="p-table"/>
              <w:rPr>
                <w:sz w:val="17"/>
              </w:rPr>
            </w:pPr>
            <w:r>
              <w:rPr>
                <w:sz w:val="17"/>
              </w:rPr>
              <w:t>IPCEI Cloudinfrastructuur en services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931AC09" w14:textId="77777777">
            <w:pPr>
              <w:pStyle w:val="p-table"/>
              <w:jc w:val="right"/>
              <w:rPr>
                <w:sz w:val="17"/>
              </w:rPr>
            </w:pPr>
            <w:r>
              <w:rPr>
                <w:sz w:val="17"/>
              </w:rPr>
              <w:t>14.017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A1ACF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2743A97" w14:textId="77777777">
            <w:pPr>
              <w:pStyle w:val="p-table"/>
              <w:jc w:val="right"/>
              <w:rPr>
                <w:sz w:val="17"/>
              </w:rPr>
            </w:pPr>
            <w:r>
              <w:rPr>
                <w:sz w:val="17"/>
              </w:rPr>
              <w:t>14.017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FF8B70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392714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1022E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18ED83" w14:textId="77777777">
            <w:pPr>
              <w:pStyle w:val="p-table"/>
              <w:rPr>
                <w:sz w:val="17"/>
              </w:rPr>
            </w:pPr>
          </w:p>
        </w:tc>
      </w:tr>
      <w:tr w:rsidR="00A92B80" w14:paraId="7A4923BD"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DC2E823" w14:textId="77777777">
            <w:pPr>
              <w:pStyle w:val="p-table"/>
              <w:rPr>
                <w:sz w:val="17"/>
              </w:rPr>
            </w:pPr>
            <w:r>
              <w:rPr>
                <w:sz w:val="17"/>
              </w:rPr>
              <w:t>IPCEI Micro elektronica</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9505444" w14:textId="77777777">
            <w:pPr>
              <w:pStyle w:val="p-table"/>
              <w:jc w:val="right"/>
              <w:rPr>
                <w:sz w:val="17"/>
              </w:rPr>
            </w:pPr>
            <w:r>
              <w:rPr>
                <w:sz w:val="17"/>
              </w:rPr>
              <w:t>20.278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BD8E79"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80F5C4C" w14:textId="77777777">
            <w:pPr>
              <w:pStyle w:val="p-table"/>
              <w:jc w:val="right"/>
              <w:rPr>
                <w:sz w:val="17"/>
              </w:rPr>
            </w:pPr>
            <w:r>
              <w:rPr>
                <w:sz w:val="17"/>
              </w:rPr>
              <w:t>20.278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54AD2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B824C1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0AEC3C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B9ABCC7" w14:textId="77777777">
            <w:pPr>
              <w:pStyle w:val="p-table"/>
              <w:rPr>
                <w:sz w:val="17"/>
              </w:rPr>
            </w:pPr>
          </w:p>
        </w:tc>
      </w:tr>
      <w:tr w:rsidR="00A92B80" w14:paraId="75291CAF"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2ECF6D4" w14:textId="77777777">
            <w:pPr>
              <w:pStyle w:val="p-table"/>
              <w:rPr>
                <w:sz w:val="17"/>
              </w:rPr>
            </w:pPr>
            <w:r>
              <w:rPr>
                <w:sz w:val="17"/>
              </w:rPr>
              <w:t>Aanvullende tegemoetkoming evenementen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7C615E2" w14:textId="77777777">
            <w:pPr>
              <w:pStyle w:val="p-table"/>
              <w:jc w:val="right"/>
              <w:rPr>
                <w:sz w:val="17"/>
              </w:rPr>
            </w:pPr>
            <w:r>
              <w:rPr>
                <w:sz w:val="17"/>
              </w:rPr>
              <w:t>41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5424409"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A38EB4F" w14:textId="77777777">
            <w:pPr>
              <w:pStyle w:val="p-table"/>
              <w:jc w:val="right"/>
              <w:rPr>
                <w:sz w:val="17"/>
              </w:rPr>
            </w:pPr>
            <w:r>
              <w:rPr>
                <w:sz w:val="17"/>
              </w:rPr>
              <w:t>41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A7E79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6CD7B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29D2A8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2745D38" w14:textId="77777777">
            <w:pPr>
              <w:pStyle w:val="p-table"/>
              <w:rPr>
                <w:sz w:val="17"/>
              </w:rPr>
            </w:pPr>
          </w:p>
        </w:tc>
      </w:tr>
      <w:tr w:rsidR="00A92B80" w14:paraId="1B55EBE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53E62C8" w14:textId="77777777">
            <w:pPr>
              <w:pStyle w:val="p-table"/>
              <w:rPr>
                <w:sz w:val="17"/>
              </w:rPr>
            </w:pPr>
            <w:proofErr w:type="spellStart"/>
            <w:r>
              <w:rPr>
                <w:sz w:val="17"/>
              </w:rPr>
              <w:t>EuroHPC</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5605A37" w14:textId="77777777">
            <w:pPr>
              <w:pStyle w:val="p-table"/>
              <w:jc w:val="right"/>
              <w:rPr>
                <w:sz w:val="17"/>
              </w:rPr>
            </w:pPr>
            <w:r>
              <w:rPr>
                <w:sz w:val="17"/>
              </w:rPr>
              <w:t>13.000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71B55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1479245" w14:textId="77777777">
            <w:pPr>
              <w:pStyle w:val="p-table"/>
              <w:jc w:val="right"/>
              <w:rPr>
                <w:sz w:val="17"/>
              </w:rPr>
            </w:pPr>
            <w:r>
              <w:rPr>
                <w:sz w:val="17"/>
              </w:rPr>
              <w:t>13.000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1C3209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C6B55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327E56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C98C1F7" w14:textId="77777777">
            <w:pPr>
              <w:pStyle w:val="p-table"/>
              <w:rPr>
                <w:sz w:val="17"/>
              </w:rPr>
            </w:pPr>
          </w:p>
        </w:tc>
      </w:tr>
      <w:tr w:rsidR="00A92B80" w14:paraId="535DD0C9"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A471E0F" w14:textId="77777777">
            <w:pPr>
              <w:pStyle w:val="p-table"/>
              <w:rPr>
                <w:sz w:val="17"/>
              </w:rPr>
            </w:pPr>
            <w:proofErr w:type="spellStart"/>
            <w:r>
              <w:rPr>
                <w:sz w:val="17"/>
              </w:rPr>
              <w:t>EuroQCI</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55900F0" w14:textId="77777777">
            <w:pPr>
              <w:pStyle w:val="p-table"/>
              <w:jc w:val="right"/>
              <w:rPr>
                <w:sz w:val="17"/>
              </w:rPr>
            </w:pPr>
            <w:r>
              <w:rPr>
                <w:sz w:val="17"/>
              </w:rPr>
              <w:t>7.677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85C8B5"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171B992" w14:textId="77777777">
            <w:pPr>
              <w:pStyle w:val="p-table"/>
              <w:jc w:val="right"/>
              <w:rPr>
                <w:sz w:val="17"/>
              </w:rPr>
            </w:pPr>
            <w:r>
              <w:rPr>
                <w:sz w:val="17"/>
              </w:rPr>
              <w:t>7.677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E8EC8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CC6023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350647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E2A99DF" w14:textId="77777777">
            <w:pPr>
              <w:pStyle w:val="p-table"/>
              <w:rPr>
                <w:sz w:val="17"/>
              </w:rPr>
            </w:pPr>
          </w:p>
        </w:tc>
      </w:tr>
      <w:tr w:rsidR="00A92B80" w14:paraId="6BE16D9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11F8184" w14:textId="77777777">
            <w:pPr>
              <w:pStyle w:val="p-table"/>
              <w:rPr>
                <w:sz w:val="17"/>
              </w:rPr>
            </w:pPr>
            <w:proofErr w:type="spellStart"/>
            <w:r>
              <w:rPr>
                <w:sz w:val="17"/>
              </w:rPr>
              <w:t>Qredits</w:t>
            </w:r>
            <w:proofErr w:type="spellEnd"/>
            <w:r>
              <w:rPr>
                <w:sz w:val="17"/>
              </w:rPr>
              <w:t xml:space="preserve"> duurzaamheid</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0B87E45" w14:textId="77777777">
            <w:pPr>
              <w:pStyle w:val="p-table"/>
              <w:jc w:val="right"/>
              <w:rPr>
                <w:sz w:val="17"/>
              </w:rPr>
            </w:pPr>
            <w:r>
              <w:rPr>
                <w:sz w:val="17"/>
              </w:rPr>
              <w:t>4.000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0D0E45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8D41406" w14:textId="77777777">
            <w:pPr>
              <w:pStyle w:val="p-table"/>
              <w:jc w:val="right"/>
              <w:rPr>
                <w:sz w:val="17"/>
              </w:rPr>
            </w:pPr>
            <w:r>
              <w:rPr>
                <w:sz w:val="17"/>
              </w:rPr>
              <w:t>4.000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111C2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71A74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52C62C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2D76243" w14:textId="77777777">
            <w:pPr>
              <w:pStyle w:val="p-table"/>
              <w:rPr>
                <w:sz w:val="17"/>
              </w:rPr>
            </w:pPr>
          </w:p>
        </w:tc>
      </w:tr>
      <w:tr w:rsidR="00A92B80" w14:paraId="678F405C"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23738F7" w14:textId="77777777">
            <w:pPr>
              <w:pStyle w:val="p-table"/>
              <w:rPr>
                <w:sz w:val="17"/>
              </w:rPr>
            </w:pPr>
            <w:r>
              <w:rPr>
                <w:sz w:val="17"/>
              </w:rPr>
              <w:t>Actieplan Groene en Digitale Banen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B912B3A" w14:textId="77777777">
            <w:pPr>
              <w:pStyle w:val="p-table"/>
              <w:jc w:val="right"/>
              <w:rPr>
                <w:sz w:val="17"/>
              </w:rPr>
            </w:pPr>
            <w:r>
              <w:rPr>
                <w:sz w:val="17"/>
              </w:rPr>
              <w:t>5.000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34458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F5D5198" w14:textId="77777777">
            <w:pPr>
              <w:pStyle w:val="p-table"/>
              <w:jc w:val="right"/>
              <w:rPr>
                <w:sz w:val="17"/>
              </w:rPr>
            </w:pPr>
            <w:r>
              <w:rPr>
                <w:sz w:val="17"/>
              </w:rPr>
              <w:t>5.000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101B8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6FD8FD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8841DF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F7E9E63" w14:textId="77777777">
            <w:pPr>
              <w:pStyle w:val="p-table"/>
              <w:rPr>
                <w:sz w:val="17"/>
              </w:rPr>
            </w:pPr>
          </w:p>
        </w:tc>
      </w:tr>
      <w:tr w:rsidR="00A92B80" w14:paraId="7A7F3E58"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7DA5081F" w14:textId="77777777">
            <w:pPr>
              <w:pStyle w:val="p-table"/>
              <w:rPr>
                <w:sz w:val="17"/>
              </w:rPr>
            </w:pPr>
            <w:r>
              <w:rPr>
                <w:sz w:val="17"/>
              </w:rPr>
              <w:t>Ruimte voor economie / bedrijventerreinen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F359362" w14:textId="77777777">
            <w:pPr>
              <w:pStyle w:val="p-table"/>
              <w:jc w:val="right"/>
              <w:rPr>
                <w:sz w:val="17"/>
              </w:rPr>
            </w:pPr>
            <w:r>
              <w:rPr>
                <w:sz w:val="17"/>
              </w:rPr>
              <w:t>9.270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563F5D7"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6DAE769" w14:textId="77777777">
            <w:pPr>
              <w:pStyle w:val="p-table"/>
              <w:jc w:val="right"/>
              <w:rPr>
                <w:sz w:val="17"/>
              </w:rPr>
            </w:pPr>
            <w:r>
              <w:rPr>
                <w:sz w:val="17"/>
              </w:rPr>
              <w:t>9.270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6EC8AB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92C46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885A48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055AF5" w14:textId="77777777">
            <w:pPr>
              <w:pStyle w:val="p-table"/>
              <w:rPr>
                <w:sz w:val="17"/>
              </w:rPr>
            </w:pPr>
          </w:p>
        </w:tc>
      </w:tr>
      <w:tr w:rsidR="00A92B80" w14:paraId="50EA659F"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7E87B1E6" w14:textId="77777777">
            <w:pPr>
              <w:pStyle w:val="p-table"/>
              <w:rPr>
                <w:sz w:val="17"/>
              </w:rPr>
            </w:pPr>
            <w:r>
              <w:rPr>
                <w:sz w:val="17"/>
              </w:rPr>
              <w:t>Maritieme Maakindustrie</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6C0AF2E" w14:textId="77777777">
            <w:pPr>
              <w:pStyle w:val="p-table"/>
              <w:jc w:val="right"/>
              <w:rPr>
                <w:sz w:val="17"/>
              </w:rPr>
            </w:pPr>
            <w:r>
              <w:rPr>
                <w:sz w:val="17"/>
              </w:rPr>
              <w:t>2.450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0D3D79"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BFC028E" w14:textId="77777777">
            <w:pPr>
              <w:pStyle w:val="p-table"/>
              <w:jc w:val="right"/>
              <w:rPr>
                <w:sz w:val="17"/>
              </w:rPr>
            </w:pPr>
            <w:r>
              <w:rPr>
                <w:sz w:val="17"/>
              </w:rPr>
              <w:t>2.450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DFAD2E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A79050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C226E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65BF59D" w14:textId="77777777">
            <w:pPr>
              <w:pStyle w:val="p-table"/>
              <w:rPr>
                <w:sz w:val="17"/>
              </w:rPr>
            </w:pPr>
          </w:p>
        </w:tc>
      </w:tr>
      <w:tr w:rsidR="00A92B80" w14:paraId="468178B6"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4B495995" w14:textId="77777777">
            <w:pPr>
              <w:pStyle w:val="p-table"/>
              <w:rPr>
                <w:sz w:val="17"/>
              </w:rPr>
            </w:pPr>
            <w:r>
              <w:rPr>
                <w:sz w:val="17"/>
              </w:rPr>
              <w:t>PEGA: Ruimte voor economie</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7FE7448" w14:textId="77777777">
            <w:pPr>
              <w:pStyle w:val="p-table"/>
              <w:jc w:val="right"/>
              <w:rPr>
                <w:sz w:val="17"/>
              </w:rPr>
            </w:pPr>
            <w:r>
              <w:rPr>
                <w:sz w:val="17"/>
              </w:rPr>
              <w:t>35.240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BFCF1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4796705" w14:textId="77777777">
            <w:pPr>
              <w:pStyle w:val="p-table"/>
              <w:jc w:val="right"/>
              <w:rPr>
                <w:sz w:val="17"/>
              </w:rPr>
            </w:pPr>
            <w:r>
              <w:rPr>
                <w:sz w:val="17"/>
              </w:rPr>
              <w:t>35.240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07222B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5AA1ED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6E1B0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D0F140F" w14:textId="77777777">
            <w:pPr>
              <w:pStyle w:val="p-table"/>
              <w:rPr>
                <w:sz w:val="17"/>
              </w:rPr>
            </w:pPr>
          </w:p>
        </w:tc>
      </w:tr>
      <w:tr w:rsidR="00A92B80" w14:paraId="3E425DCF"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7000C24B" w14:textId="77777777">
            <w:pPr>
              <w:pStyle w:val="p-table"/>
              <w:rPr>
                <w:sz w:val="17"/>
              </w:rPr>
            </w:pPr>
            <w:r>
              <w:rPr>
                <w:sz w:val="17"/>
              </w:rPr>
              <w:t>Nationaal versterkingsplan microchip-talent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82AB1D4" w14:textId="77777777">
            <w:pPr>
              <w:pStyle w:val="p-table"/>
              <w:jc w:val="right"/>
              <w:rPr>
                <w:sz w:val="17"/>
              </w:rPr>
            </w:pPr>
            <w:r>
              <w:rPr>
                <w:sz w:val="17"/>
              </w:rPr>
              <w:t>41.609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8F4F226"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7FA775D" w14:textId="77777777">
            <w:pPr>
              <w:pStyle w:val="p-table"/>
              <w:jc w:val="right"/>
              <w:rPr>
                <w:sz w:val="17"/>
              </w:rPr>
            </w:pPr>
            <w:r>
              <w:rPr>
                <w:sz w:val="17"/>
              </w:rPr>
              <w:t>41.609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EC229A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9C43FF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8D7845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EFD80C8" w14:textId="77777777">
            <w:pPr>
              <w:pStyle w:val="p-table"/>
              <w:rPr>
                <w:sz w:val="17"/>
              </w:rPr>
            </w:pPr>
          </w:p>
        </w:tc>
      </w:tr>
      <w:tr w:rsidR="00A92B80" w14:paraId="4DD6A079"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315B049" w14:textId="77777777">
            <w:pPr>
              <w:pStyle w:val="p-table"/>
              <w:rPr>
                <w:sz w:val="17"/>
              </w:rPr>
            </w:pPr>
            <w:r>
              <w:rPr>
                <w:sz w:val="17"/>
              </w:rPr>
              <w:t>Overig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2188B14" w14:textId="77777777">
            <w:pPr>
              <w:pStyle w:val="p-table"/>
              <w:jc w:val="right"/>
              <w:rPr>
                <w:sz w:val="17"/>
              </w:rPr>
            </w:pPr>
            <w:r>
              <w:rPr>
                <w:sz w:val="17"/>
              </w:rPr>
              <w:t>5.992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9C5EB3"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3E9CA1B" w14:textId="77777777">
            <w:pPr>
              <w:pStyle w:val="p-table"/>
              <w:jc w:val="right"/>
              <w:rPr>
                <w:sz w:val="17"/>
              </w:rPr>
            </w:pPr>
            <w:r>
              <w:rPr>
                <w:sz w:val="17"/>
              </w:rPr>
              <w:t>5.992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FB0F7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C8C9DF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95223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94E59C4" w14:textId="77777777">
            <w:pPr>
              <w:pStyle w:val="p-table"/>
              <w:rPr>
                <w:sz w:val="17"/>
              </w:rPr>
            </w:pPr>
          </w:p>
        </w:tc>
      </w:tr>
      <w:tr w:rsidR="00A92B80" w14:paraId="18AD4AF9"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3DD72DE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0309D37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031596"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05FF7A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CACC28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B0388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75210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81EEA7" w14:textId="77777777">
            <w:pPr>
              <w:pStyle w:val="p-table"/>
              <w:rPr>
                <w:sz w:val="17"/>
              </w:rPr>
            </w:pPr>
          </w:p>
        </w:tc>
      </w:tr>
      <w:tr w:rsidR="00A92B80" w14:paraId="2FC846C1"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B21DED0" w14:textId="77777777">
            <w:pPr>
              <w:pStyle w:val="p-table"/>
            </w:pPr>
            <w:r>
              <w:rPr>
                <w:b/>
                <w:sz w:val="17"/>
              </w:rPr>
              <w:t>Leningen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D6DBFC8" w14:textId="77777777">
            <w:pPr>
              <w:pStyle w:val="p-table"/>
              <w:jc w:val="right"/>
            </w:pPr>
            <w:r>
              <w:rPr>
                <w:b/>
                <w:sz w:val="17"/>
              </w:rPr>
              <w:t>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26633CEA" w14:textId="77777777">
            <w:pPr>
              <w:pStyle w:val="p-table"/>
              <w:jc w:val="right"/>
            </w:pPr>
            <w:r>
              <w:rPr>
                <w:b/>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824AE28" w14:textId="77777777">
            <w:pPr>
              <w:pStyle w:val="p-table"/>
              <w:jc w:val="right"/>
            </w:pPr>
            <w:r>
              <w:rPr>
                <w:b/>
                <w:sz w:val="17"/>
              </w:rPr>
              <w:t>270.000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3A038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6A556F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004FE5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9D4E0D" w14:textId="77777777">
            <w:pPr>
              <w:pStyle w:val="p-table"/>
              <w:rPr>
                <w:sz w:val="17"/>
              </w:rPr>
            </w:pPr>
          </w:p>
        </w:tc>
      </w:tr>
      <w:tr w:rsidR="00A92B80" w14:paraId="773F7EC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14F2185" w14:textId="77777777">
            <w:pPr>
              <w:pStyle w:val="p-table"/>
              <w:rPr>
                <w:sz w:val="17"/>
              </w:rPr>
            </w:pPr>
            <w:r>
              <w:rPr>
                <w:sz w:val="17"/>
              </w:rPr>
              <w:t>Bedrijfssteun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3C5C920" w14:textId="77777777">
            <w:pPr>
              <w:pStyle w:val="p-table"/>
              <w:jc w:val="right"/>
              <w:rPr>
                <w:sz w:val="17"/>
              </w:rPr>
            </w:pPr>
            <w:r>
              <w:rPr>
                <w:sz w:val="17"/>
              </w:rPr>
              <w:t>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15C1BA5A" w14:textId="77777777">
            <w:pPr>
              <w:pStyle w:val="p-table"/>
              <w:jc w:val="right"/>
              <w:rPr>
                <w:sz w:val="17"/>
              </w:rPr>
            </w:pPr>
            <w:r>
              <w:rPr>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416CD7C" w14:textId="77777777">
            <w:pPr>
              <w:pStyle w:val="p-table"/>
              <w:jc w:val="right"/>
              <w:rPr>
                <w:sz w:val="17"/>
              </w:rPr>
            </w:pPr>
            <w:r>
              <w:rPr>
                <w:sz w:val="17"/>
              </w:rPr>
              <w:t>270.000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9D5F02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F69F2E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E98B51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679157" w14:textId="77777777">
            <w:pPr>
              <w:pStyle w:val="p-table"/>
              <w:rPr>
                <w:sz w:val="17"/>
              </w:rPr>
            </w:pPr>
          </w:p>
        </w:tc>
      </w:tr>
      <w:tr w:rsidR="00A92B80" w14:paraId="19D625BC"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59EED59B"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A85825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EE5EDB7"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45DD627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917590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FBF4DA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1350B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0C744B" w14:textId="77777777">
            <w:pPr>
              <w:pStyle w:val="p-table"/>
              <w:rPr>
                <w:sz w:val="17"/>
              </w:rPr>
            </w:pPr>
          </w:p>
        </w:tc>
      </w:tr>
      <w:tr w:rsidR="00A92B80" w14:paraId="53907ACC"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7725186" w14:textId="77777777">
            <w:pPr>
              <w:pStyle w:val="p-table"/>
            </w:pPr>
            <w:r>
              <w:rPr>
                <w:b/>
                <w:sz w:val="17"/>
              </w:rPr>
              <w:t>Garanties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7AE4C50" w14:textId="77777777">
            <w:pPr>
              <w:pStyle w:val="p-table"/>
              <w:jc w:val="right"/>
            </w:pPr>
            <w:r>
              <w:rPr>
                <w:b/>
                <w:sz w:val="17"/>
              </w:rPr>
              <w:t>76.604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44B2493E"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6B0A180" w14:textId="77777777">
            <w:pPr>
              <w:pStyle w:val="p-table"/>
              <w:jc w:val="right"/>
            </w:pPr>
            <w:r>
              <w:rPr>
                <w:b/>
                <w:sz w:val="17"/>
              </w:rPr>
              <w:t>76.604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30540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614C15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4B4D2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4DAA8F5" w14:textId="77777777">
            <w:pPr>
              <w:pStyle w:val="p-table"/>
              <w:rPr>
                <w:sz w:val="17"/>
              </w:rPr>
            </w:pPr>
          </w:p>
        </w:tc>
      </w:tr>
      <w:tr w:rsidR="00A92B80" w14:paraId="79C23BB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8C3BC00" w14:textId="77777777">
            <w:pPr>
              <w:pStyle w:val="p-table"/>
              <w:rPr>
                <w:sz w:val="17"/>
              </w:rPr>
            </w:pPr>
            <w:r>
              <w:rPr>
                <w:sz w:val="17"/>
              </w:rPr>
              <w:t>BMKB</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8102850" w14:textId="77777777">
            <w:pPr>
              <w:pStyle w:val="p-table"/>
              <w:jc w:val="right"/>
              <w:rPr>
                <w:sz w:val="17"/>
              </w:rPr>
            </w:pPr>
            <w:r>
              <w:rPr>
                <w:sz w:val="17"/>
              </w:rPr>
              <w:t>39.887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EE7568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BEEA412" w14:textId="77777777">
            <w:pPr>
              <w:pStyle w:val="p-table"/>
              <w:jc w:val="right"/>
              <w:rPr>
                <w:sz w:val="17"/>
              </w:rPr>
            </w:pPr>
            <w:r>
              <w:rPr>
                <w:sz w:val="17"/>
              </w:rPr>
              <w:t>39.887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D19477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DD8777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46C60D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CCB993C" w14:textId="77777777">
            <w:pPr>
              <w:pStyle w:val="p-table"/>
              <w:rPr>
                <w:sz w:val="17"/>
              </w:rPr>
            </w:pPr>
          </w:p>
        </w:tc>
      </w:tr>
      <w:tr w:rsidR="00A92B80" w14:paraId="4B182CEA"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B796F57" w14:textId="77777777">
            <w:pPr>
              <w:pStyle w:val="p-table"/>
              <w:rPr>
                <w:sz w:val="17"/>
              </w:rPr>
            </w:pPr>
            <w:r>
              <w:rPr>
                <w:sz w:val="17"/>
              </w:rPr>
              <w:t>Groeifaciliteit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CB11553" w14:textId="77777777">
            <w:pPr>
              <w:pStyle w:val="p-table"/>
              <w:jc w:val="right"/>
              <w:rPr>
                <w:sz w:val="17"/>
              </w:rPr>
            </w:pPr>
            <w:r>
              <w:rPr>
                <w:sz w:val="17"/>
              </w:rPr>
              <w:t>8.972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08BFE3F"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5A5A2B5" w14:textId="77777777">
            <w:pPr>
              <w:pStyle w:val="p-table"/>
              <w:jc w:val="right"/>
              <w:rPr>
                <w:sz w:val="17"/>
              </w:rPr>
            </w:pPr>
            <w:r>
              <w:rPr>
                <w:sz w:val="17"/>
              </w:rPr>
              <w:t>8.972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E5FE23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F75C6D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594FB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53E8D6" w14:textId="77777777">
            <w:pPr>
              <w:pStyle w:val="p-table"/>
              <w:rPr>
                <w:sz w:val="17"/>
              </w:rPr>
            </w:pPr>
          </w:p>
        </w:tc>
      </w:tr>
      <w:tr w:rsidR="00A92B80" w14:paraId="544CE61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797FD84F" w14:textId="77777777">
            <w:pPr>
              <w:pStyle w:val="p-table"/>
              <w:rPr>
                <w:sz w:val="17"/>
              </w:rPr>
            </w:pPr>
            <w:r>
              <w:rPr>
                <w:sz w:val="17"/>
              </w:rPr>
              <w:lastRenderedPageBreak/>
              <w:t>Garantie Ondernemersfinanciering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89A3D98" w14:textId="77777777">
            <w:pPr>
              <w:pStyle w:val="p-table"/>
              <w:jc w:val="right"/>
              <w:rPr>
                <w:sz w:val="17"/>
              </w:rPr>
            </w:pPr>
            <w:r>
              <w:rPr>
                <w:sz w:val="17"/>
              </w:rPr>
              <w:t>11.745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39C378"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30C7E81" w14:textId="77777777">
            <w:pPr>
              <w:pStyle w:val="p-table"/>
              <w:jc w:val="right"/>
              <w:rPr>
                <w:sz w:val="17"/>
              </w:rPr>
            </w:pPr>
            <w:r>
              <w:rPr>
                <w:sz w:val="17"/>
              </w:rPr>
              <w:t>11.745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15DDF4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94B540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E4457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4A0921" w14:textId="77777777">
            <w:pPr>
              <w:pStyle w:val="p-table"/>
              <w:rPr>
                <w:sz w:val="17"/>
              </w:rPr>
            </w:pPr>
          </w:p>
        </w:tc>
      </w:tr>
      <w:tr w:rsidR="00A92B80" w14:paraId="4E742535"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524F068" w14:textId="77777777">
            <w:pPr>
              <w:pStyle w:val="p-table"/>
              <w:rPr>
                <w:sz w:val="17"/>
              </w:rPr>
            </w:pPr>
            <w:r>
              <w:rPr>
                <w:sz w:val="17"/>
              </w:rPr>
              <w:t>Garantie Ondernemersfinanciering Corona</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52781A7" w14:textId="77777777">
            <w:pPr>
              <w:pStyle w:val="p-table"/>
              <w:jc w:val="right"/>
              <w:rPr>
                <w:sz w:val="17"/>
              </w:rPr>
            </w:pPr>
            <w:r>
              <w:rPr>
                <w:sz w:val="17"/>
              </w:rPr>
              <w:t>15.000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7A59C2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764CF74" w14:textId="77777777">
            <w:pPr>
              <w:pStyle w:val="p-table"/>
              <w:jc w:val="right"/>
              <w:rPr>
                <w:sz w:val="17"/>
              </w:rPr>
            </w:pPr>
            <w:r>
              <w:rPr>
                <w:sz w:val="17"/>
              </w:rPr>
              <w:t>15.000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177409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F614E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8CF4A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F9190FE" w14:textId="77777777">
            <w:pPr>
              <w:pStyle w:val="p-table"/>
              <w:rPr>
                <w:sz w:val="17"/>
              </w:rPr>
            </w:pPr>
          </w:p>
        </w:tc>
      </w:tr>
      <w:tr w:rsidR="00A92B80" w14:paraId="3D39571A"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8C4404A" w14:textId="77777777">
            <w:pPr>
              <w:pStyle w:val="p-table"/>
              <w:rPr>
                <w:sz w:val="17"/>
              </w:rPr>
            </w:pPr>
            <w:r>
              <w:rPr>
                <w:sz w:val="17"/>
              </w:rPr>
              <w:t>Maatwerkgaranties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BE32F25" w14:textId="77777777">
            <w:pPr>
              <w:pStyle w:val="p-table"/>
              <w:jc w:val="right"/>
              <w:rPr>
                <w:sz w:val="17"/>
              </w:rPr>
            </w:pPr>
            <w:r>
              <w:rPr>
                <w:sz w:val="17"/>
              </w:rPr>
              <w:t>1.000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5949D98"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16EB380" w14:textId="77777777">
            <w:pPr>
              <w:pStyle w:val="p-table"/>
              <w:jc w:val="right"/>
              <w:rPr>
                <w:sz w:val="17"/>
              </w:rPr>
            </w:pPr>
            <w:r>
              <w:rPr>
                <w:sz w:val="17"/>
              </w:rPr>
              <w:t>1.000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EE902D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1E43E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1EBF7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6A32E71" w14:textId="77777777">
            <w:pPr>
              <w:pStyle w:val="p-table"/>
              <w:rPr>
                <w:sz w:val="17"/>
              </w:rPr>
            </w:pPr>
          </w:p>
        </w:tc>
      </w:tr>
      <w:tr w:rsidR="00A92B80" w14:paraId="386B8990"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5BCF672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EB5DDF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107A6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2D33E9E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BA116C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DF31A7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4C43F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2D74B2C" w14:textId="77777777">
            <w:pPr>
              <w:pStyle w:val="p-table"/>
              <w:rPr>
                <w:sz w:val="17"/>
              </w:rPr>
            </w:pPr>
          </w:p>
        </w:tc>
      </w:tr>
      <w:tr w:rsidR="00A92B80" w14:paraId="7EBC41F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0892418" w14:textId="77777777">
            <w:pPr>
              <w:pStyle w:val="p-table"/>
            </w:pPr>
            <w:r>
              <w:rPr>
                <w:b/>
                <w:sz w:val="17"/>
              </w:rPr>
              <w:t>Opdrachten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83A6AD5" w14:textId="77777777">
            <w:pPr>
              <w:pStyle w:val="p-table"/>
              <w:jc w:val="right"/>
            </w:pPr>
            <w:r>
              <w:rPr>
                <w:b/>
                <w:sz w:val="17"/>
              </w:rPr>
              <w:t>10.115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74215D78"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3F0BBA9B" w14:textId="77777777">
            <w:pPr>
              <w:pStyle w:val="p-table"/>
              <w:jc w:val="right"/>
            </w:pPr>
            <w:r>
              <w:rPr>
                <w:b/>
                <w:sz w:val="17"/>
              </w:rPr>
              <w:t>10.115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002A97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12B4BC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0741E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277F343" w14:textId="77777777">
            <w:pPr>
              <w:pStyle w:val="p-table"/>
              <w:rPr>
                <w:sz w:val="17"/>
              </w:rPr>
            </w:pPr>
          </w:p>
        </w:tc>
      </w:tr>
      <w:tr w:rsidR="00A92B80" w14:paraId="2BD56725"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73B2E25" w14:textId="77777777">
            <w:pPr>
              <w:pStyle w:val="p-table"/>
              <w:rPr>
                <w:sz w:val="17"/>
              </w:rPr>
            </w:pPr>
            <w:r>
              <w:rPr>
                <w:sz w:val="17"/>
              </w:rPr>
              <w:t>Onderzoek en opdrachten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46608B3" w14:textId="77777777">
            <w:pPr>
              <w:pStyle w:val="p-table"/>
              <w:jc w:val="right"/>
              <w:rPr>
                <w:sz w:val="17"/>
              </w:rPr>
            </w:pPr>
            <w:r>
              <w:rPr>
                <w:sz w:val="17"/>
              </w:rPr>
              <w:t>7.257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9688AE6"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AA58B85" w14:textId="77777777">
            <w:pPr>
              <w:pStyle w:val="p-table"/>
              <w:jc w:val="right"/>
              <w:rPr>
                <w:sz w:val="17"/>
              </w:rPr>
            </w:pPr>
            <w:r>
              <w:rPr>
                <w:sz w:val="17"/>
              </w:rPr>
              <w:t>7.257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E651B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DD9E8F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CB45F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046EBEB" w14:textId="77777777">
            <w:pPr>
              <w:pStyle w:val="p-table"/>
              <w:rPr>
                <w:sz w:val="17"/>
              </w:rPr>
            </w:pPr>
          </w:p>
        </w:tc>
      </w:tr>
      <w:tr w:rsidR="00A92B80" w14:paraId="14941630"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4E2C8F0" w14:textId="77777777">
            <w:pPr>
              <w:pStyle w:val="p-table"/>
              <w:rPr>
                <w:sz w:val="17"/>
              </w:rPr>
            </w:pPr>
            <w:r>
              <w:rPr>
                <w:sz w:val="17"/>
              </w:rPr>
              <w:t>Caribisch Nederland</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B437880" w14:textId="77777777">
            <w:pPr>
              <w:pStyle w:val="p-table"/>
              <w:jc w:val="right"/>
              <w:rPr>
                <w:sz w:val="17"/>
              </w:rPr>
            </w:pPr>
            <w:r>
              <w:rPr>
                <w:sz w:val="17"/>
              </w:rPr>
              <w:t>324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672B41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974D935" w14:textId="77777777">
            <w:pPr>
              <w:pStyle w:val="p-table"/>
              <w:jc w:val="right"/>
              <w:rPr>
                <w:sz w:val="17"/>
              </w:rPr>
            </w:pPr>
            <w:r>
              <w:rPr>
                <w:sz w:val="17"/>
              </w:rPr>
              <w:t>324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2BDBF2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5C74B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F6A06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575002A" w14:textId="77777777">
            <w:pPr>
              <w:pStyle w:val="p-table"/>
              <w:rPr>
                <w:sz w:val="17"/>
              </w:rPr>
            </w:pPr>
          </w:p>
        </w:tc>
      </w:tr>
      <w:tr w:rsidR="00A92B80" w14:paraId="28FF2B36"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023FB7E" w14:textId="77777777">
            <w:pPr>
              <w:pStyle w:val="p-table"/>
              <w:rPr>
                <w:sz w:val="17"/>
              </w:rPr>
            </w:pPr>
            <w:r>
              <w:rPr>
                <w:sz w:val="17"/>
              </w:rPr>
              <w:t>Regeldruk</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F73D243" w14:textId="77777777">
            <w:pPr>
              <w:pStyle w:val="p-table"/>
              <w:jc w:val="right"/>
              <w:rPr>
                <w:sz w:val="17"/>
              </w:rPr>
            </w:pPr>
            <w:r>
              <w:rPr>
                <w:sz w:val="17"/>
              </w:rPr>
              <w:t>2.290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95624B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8CC3CAD" w14:textId="77777777">
            <w:pPr>
              <w:pStyle w:val="p-table"/>
              <w:jc w:val="right"/>
              <w:rPr>
                <w:sz w:val="17"/>
              </w:rPr>
            </w:pPr>
            <w:r>
              <w:rPr>
                <w:sz w:val="17"/>
              </w:rPr>
              <w:t>2.290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E40A6C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14A98F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5DA83E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B034F1E" w14:textId="77777777">
            <w:pPr>
              <w:pStyle w:val="p-table"/>
              <w:rPr>
                <w:sz w:val="17"/>
              </w:rPr>
            </w:pPr>
          </w:p>
        </w:tc>
      </w:tr>
      <w:tr w:rsidR="00A92B80" w14:paraId="5A19BFA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0296D03" w14:textId="77777777">
            <w:pPr>
              <w:pStyle w:val="p-table"/>
              <w:rPr>
                <w:sz w:val="17"/>
              </w:rPr>
            </w:pPr>
            <w:r>
              <w:rPr>
                <w:sz w:val="17"/>
              </w:rPr>
              <w:t>Budget Samenwerking regio</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0480759" w14:textId="77777777">
            <w:pPr>
              <w:pStyle w:val="p-table"/>
              <w:jc w:val="right"/>
              <w:rPr>
                <w:sz w:val="17"/>
              </w:rPr>
            </w:pPr>
            <w:r>
              <w:rPr>
                <w:sz w:val="17"/>
              </w:rPr>
              <w:t>244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64EB37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44745FB" w14:textId="77777777">
            <w:pPr>
              <w:pStyle w:val="p-table"/>
              <w:jc w:val="right"/>
              <w:rPr>
                <w:sz w:val="17"/>
              </w:rPr>
            </w:pPr>
            <w:r>
              <w:rPr>
                <w:sz w:val="17"/>
              </w:rPr>
              <w:t>244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D5463A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80FE9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4B32A9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876A160" w14:textId="77777777">
            <w:pPr>
              <w:pStyle w:val="p-table"/>
              <w:rPr>
                <w:sz w:val="17"/>
              </w:rPr>
            </w:pPr>
          </w:p>
        </w:tc>
      </w:tr>
      <w:tr w:rsidR="00A92B80" w14:paraId="06E3C498"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28D988F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C6725E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269431"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4F10044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47FED0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AB5275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2B23F5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B34E28C" w14:textId="77777777">
            <w:pPr>
              <w:pStyle w:val="p-table"/>
              <w:rPr>
                <w:sz w:val="17"/>
              </w:rPr>
            </w:pPr>
          </w:p>
        </w:tc>
      </w:tr>
      <w:tr w:rsidR="00A92B80" w14:paraId="06F149F0"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AF9BA5F" w14:textId="77777777">
            <w:pPr>
              <w:pStyle w:val="p-table"/>
            </w:pPr>
            <w:r>
              <w:rPr>
                <w:b/>
                <w:sz w:val="17"/>
              </w:rPr>
              <w:t>Bijdrage aan agentschappen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96FC42E" w14:textId="77777777">
            <w:pPr>
              <w:pStyle w:val="p-table"/>
              <w:jc w:val="right"/>
            </w:pPr>
            <w:r>
              <w:rPr>
                <w:b/>
                <w:sz w:val="17"/>
              </w:rPr>
              <w:t>151.014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1FC5DA6D"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459468B" w14:textId="77777777">
            <w:pPr>
              <w:pStyle w:val="p-table"/>
              <w:jc w:val="right"/>
            </w:pPr>
            <w:r>
              <w:rPr>
                <w:b/>
                <w:sz w:val="17"/>
              </w:rPr>
              <w:t>151.014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FF3E5C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AC33F0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572A2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DF8A57C" w14:textId="77777777">
            <w:pPr>
              <w:pStyle w:val="p-table"/>
              <w:rPr>
                <w:sz w:val="17"/>
              </w:rPr>
            </w:pPr>
          </w:p>
        </w:tc>
      </w:tr>
      <w:tr w:rsidR="00A92B80" w14:paraId="562769BD"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71AE1F07" w14:textId="77777777">
            <w:pPr>
              <w:pStyle w:val="p-table"/>
              <w:rPr>
                <w:sz w:val="17"/>
              </w:rPr>
            </w:pPr>
            <w:r>
              <w:rPr>
                <w:sz w:val="17"/>
              </w:rPr>
              <w:t>Bijdrage RVO.nl</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FE93B24" w14:textId="77777777">
            <w:pPr>
              <w:pStyle w:val="p-table"/>
              <w:jc w:val="right"/>
              <w:rPr>
                <w:sz w:val="17"/>
              </w:rPr>
            </w:pPr>
            <w:r>
              <w:rPr>
                <w:sz w:val="17"/>
              </w:rPr>
              <w:t>150.235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18EA79F"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8C16CE9" w14:textId="77777777">
            <w:pPr>
              <w:pStyle w:val="p-table"/>
              <w:jc w:val="right"/>
              <w:rPr>
                <w:sz w:val="17"/>
              </w:rPr>
            </w:pPr>
            <w:r>
              <w:rPr>
                <w:sz w:val="17"/>
              </w:rPr>
              <w:t>150.235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F7BDAB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D82A7E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870017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F5F791" w14:textId="77777777">
            <w:pPr>
              <w:pStyle w:val="p-table"/>
              <w:rPr>
                <w:sz w:val="17"/>
              </w:rPr>
            </w:pPr>
          </w:p>
        </w:tc>
      </w:tr>
      <w:tr w:rsidR="00A92B80" w14:paraId="2A5D4C86"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1105F70" w14:textId="77777777">
            <w:pPr>
              <w:pStyle w:val="p-table"/>
              <w:rPr>
                <w:sz w:val="17"/>
              </w:rPr>
            </w:pPr>
            <w:r>
              <w:rPr>
                <w:sz w:val="17"/>
              </w:rPr>
              <w:t>Rijksinspectie Digitale Infrastructuur (RDI)</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C2A151E" w14:textId="77777777">
            <w:pPr>
              <w:pStyle w:val="p-table"/>
              <w:jc w:val="right"/>
              <w:rPr>
                <w:sz w:val="17"/>
              </w:rPr>
            </w:pPr>
            <w:r>
              <w:rPr>
                <w:sz w:val="17"/>
              </w:rPr>
              <w:t>779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578FA09"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D1D18D0" w14:textId="77777777">
            <w:pPr>
              <w:pStyle w:val="p-table"/>
              <w:jc w:val="right"/>
              <w:rPr>
                <w:sz w:val="17"/>
              </w:rPr>
            </w:pPr>
            <w:r>
              <w:rPr>
                <w:sz w:val="17"/>
              </w:rPr>
              <w:t>779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4DD2D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9E052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D397A5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1176A7E" w14:textId="77777777">
            <w:pPr>
              <w:pStyle w:val="p-table"/>
              <w:rPr>
                <w:sz w:val="17"/>
              </w:rPr>
            </w:pPr>
          </w:p>
        </w:tc>
      </w:tr>
      <w:tr w:rsidR="00A92B80" w14:paraId="1B524069"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584D881F"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16BE62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36843C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21FDD1B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62FC7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D7C812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729A4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395F7DA" w14:textId="77777777">
            <w:pPr>
              <w:pStyle w:val="p-table"/>
              <w:rPr>
                <w:sz w:val="17"/>
              </w:rPr>
            </w:pPr>
          </w:p>
        </w:tc>
      </w:tr>
      <w:tr w:rsidR="00A92B80" w14:paraId="56BB067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D7DCA4C" w14:textId="77777777">
            <w:pPr>
              <w:pStyle w:val="p-table"/>
            </w:pPr>
            <w:r>
              <w:rPr>
                <w:b/>
                <w:sz w:val="17"/>
              </w:rPr>
              <w:t>Bijdrage aan ZBO's/</w:t>
            </w:r>
            <w:proofErr w:type="spellStart"/>
            <w:r>
              <w:rPr>
                <w:b/>
                <w:sz w:val="17"/>
              </w:rPr>
              <w:t>RWT's</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DC68A65" w14:textId="77777777">
            <w:pPr>
              <w:pStyle w:val="p-table"/>
              <w:jc w:val="right"/>
            </w:pPr>
            <w:r>
              <w:rPr>
                <w:b/>
                <w:sz w:val="17"/>
              </w:rPr>
              <w:t>484.498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64B814CA"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50269E5" w14:textId="77777777">
            <w:pPr>
              <w:pStyle w:val="p-table"/>
              <w:jc w:val="right"/>
            </w:pPr>
            <w:r>
              <w:rPr>
                <w:b/>
                <w:sz w:val="17"/>
              </w:rPr>
              <w:t>484.498</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8A527D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2F759E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64095C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6BE1F13" w14:textId="77777777">
            <w:pPr>
              <w:pStyle w:val="p-table"/>
              <w:rPr>
                <w:sz w:val="17"/>
              </w:rPr>
            </w:pPr>
          </w:p>
        </w:tc>
      </w:tr>
      <w:tr w:rsidR="00A92B80" w14:paraId="7EB3EF3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FF34EDB" w14:textId="77777777">
            <w:pPr>
              <w:pStyle w:val="p-table"/>
              <w:rPr>
                <w:sz w:val="17"/>
              </w:rPr>
            </w:pPr>
            <w:r>
              <w:rPr>
                <w:sz w:val="17"/>
              </w:rPr>
              <w:t>Bijdrage aan TNO</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42502AD" w14:textId="77777777">
            <w:pPr>
              <w:pStyle w:val="p-table"/>
              <w:jc w:val="right"/>
              <w:rPr>
                <w:sz w:val="17"/>
              </w:rPr>
            </w:pPr>
            <w:r>
              <w:rPr>
                <w:sz w:val="17"/>
              </w:rPr>
              <w:t>289.104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E45587"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4B1FC1A" w14:textId="77777777">
            <w:pPr>
              <w:pStyle w:val="p-table"/>
              <w:jc w:val="right"/>
              <w:rPr>
                <w:sz w:val="17"/>
              </w:rPr>
            </w:pPr>
            <w:r>
              <w:rPr>
                <w:sz w:val="17"/>
              </w:rPr>
              <w:t>289.104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B21463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68E89F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506DA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98A6E3C" w14:textId="77777777">
            <w:pPr>
              <w:pStyle w:val="p-table"/>
              <w:rPr>
                <w:sz w:val="17"/>
              </w:rPr>
            </w:pPr>
          </w:p>
        </w:tc>
      </w:tr>
      <w:tr w:rsidR="00A92B80" w14:paraId="0008B41A"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7EC7DF3" w14:textId="77777777">
            <w:pPr>
              <w:pStyle w:val="p-table"/>
              <w:rPr>
                <w:sz w:val="17"/>
              </w:rPr>
            </w:pPr>
            <w:r>
              <w:rPr>
                <w:sz w:val="17"/>
              </w:rPr>
              <w:t>Kamer van Koophandel</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6A8A806" w14:textId="77777777">
            <w:pPr>
              <w:pStyle w:val="p-table"/>
              <w:jc w:val="right"/>
              <w:rPr>
                <w:sz w:val="17"/>
              </w:rPr>
            </w:pPr>
            <w:r>
              <w:rPr>
                <w:sz w:val="17"/>
              </w:rPr>
              <w:t>164.760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42B25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CC17EDD" w14:textId="77777777">
            <w:pPr>
              <w:pStyle w:val="p-table"/>
              <w:jc w:val="right"/>
              <w:rPr>
                <w:sz w:val="17"/>
              </w:rPr>
            </w:pPr>
            <w:r>
              <w:rPr>
                <w:sz w:val="17"/>
              </w:rPr>
              <w:t>164.760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62CBF6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DB7811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3E07C2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0745AD" w14:textId="77777777">
            <w:pPr>
              <w:pStyle w:val="p-table"/>
              <w:rPr>
                <w:sz w:val="17"/>
              </w:rPr>
            </w:pPr>
          </w:p>
        </w:tc>
      </w:tr>
      <w:tr w:rsidR="00A92B80" w14:paraId="22FC5BE8"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8F1EA09" w14:textId="77777777">
            <w:pPr>
              <w:pStyle w:val="p-table"/>
              <w:rPr>
                <w:sz w:val="17"/>
              </w:rPr>
            </w:pPr>
            <w:r>
              <w:rPr>
                <w:sz w:val="17"/>
              </w:rPr>
              <w:t>Bijdrage aan NWO-TTW</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3AC5C00" w14:textId="77777777">
            <w:pPr>
              <w:pStyle w:val="p-table"/>
              <w:jc w:val="right"/>
              <w:rPr>
                <w:sz w:val="17"/>
              </w:rPr>
            </w:pPr>
            <w:r>
              <w:rPr>
                <w:sz w:val="17"/>
              </w:rPr>
              <w:t>30.634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6522F5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39EFC193" w14:textId="77777777">
            <w:pPr>
              <w:pStyle w:val="p-table"/>
              <w:jc w:val="right"/>
              <w:rPr>
                <w:sz w:val="17"/>
              </w:rPr>
            </w:pPr>
            <w:r>
              <w:rPr>
                <w:sz w:val="17"/>
              </w:rPr>
              <w:t>30.634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DE2067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31F93F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D7C718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A1C191D" w14:textId="77777777">
            <w:pPr>
              <w:pStyle w:val="p-table"/>
              <w:rPr>
                <w:sz w:val="17"/>
              </w:rPr>
            </w:pPr>
          </w:p>
        </w:tc>
      </w:tr>
      <w:tr w:rsidR="00A92B80" w14:paraId="006BEEC4"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465E9C3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69AAD2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6F1E1E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6875076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CA8FC9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9EFEDD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4847D5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CA4955" w14:textId="77777777">
            <w:pPr>
              <w:pStyle w:val="p-table"/>
              <w:rPr>
                <w:sz w:val="17"/>
              </w:rPr>
            </w:pPr>
          </w:p>
        </w:tc>
      </w:tr>
      <w:tr w:rsidR="00A92B80" w14:paraId="67118BAF"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7B3811C" w14:textId="77777777">
            <w:pPr>
              <w:pStyle w:val="p-table"/>
            </w:pPr>
            <w:r>
              <w:rPr>
                <w:b/>
                <w:sz w:val="17"/>
              </w:rPr>
              <w:t>Bijdrage aan medeoverheden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C6CF9F2" w14:textId="77777777">
            <w:pPr>
              <w:pStyle w:val="p-table"/>
              <w:jc w:val="right"/>
            </w:pPr>
            <w:r>
              <w:rPr>
                <w:b/>
                <w:sz w:val="17"/>
              </w:rPr>
              <w:t>30.962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0BBD9800"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37CFEBD" w14:textId="77777777">
            <w:pPr>
              <w:pStyle w:val="p-table"/>
              <w:jc w:val="right"/>
            </w:pPr>
            <w:r>
              <w:rPr>
                <w:b/>
                <w:sz w:val="17"/>
              </w:rPr>
              <w:t>30.962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D4537C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378CF9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CBFA93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FCC98DE" w14:textId="77777777">
            <w:pPr>
              <w:pStyle w:val="p-table"/>
              <w:rPr>
                <w:sz w:val="17"/>
              </w:rPr>
            </w:pPr>
          </w:p>
        </w:tc>
      </w:tr>
      <w:tr w:rsidR="00A92B80" w14:paraId="46512E42"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728AF56" w14:textId="77777777">
            <w:pPr>
              <w:pStyle w:val="p-table"/>
              <w:rPr>
                <w:sz w:val="17"/>
              </w:rPr>
            </w:pPr>
            <w:r>
              <w:rPr>
                <w:sz w:val="17"/>
              </w:rPr>
              <w:t>MKB Innovatiestimulering Topsectoren (MIT)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EDB4C42" w14:textId="77777777">
            <w:pPr>
              <w:pStyle w:val="p-table"/>
              <w:jc w:val="right"/>
              <w:rPr>
                <w:sz w:val="17"/>
              </w:rPr>
            </w:pPr>
            <w:r>
              <w:rPr>
                <w:sz w:val="17"/>
              </w:rPr>
              <w:t>30.962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096DE6"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AC9D5F0" w14:textId="77777777">
            <w:pPr>
              <w:pStyle w:val="p-table"/>
              <w:jc w:val="right"/>
              <w:rPr>
                <w:sz w:val="17"/>
              </w:rPr>
            </w:pPr>
            <w:r>
              <w:rPr>
                <w:sz w:val="17"/>
              </w:rPr>
              <w:t>30.962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2139A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1AE3B1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1E101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05C0C4F" w14:textId="77777777">
            <w:pPr>
              <w:pStyle w:val="p-table"/>
              <w:rPr>
                <w:sz w:val="17"/>
              </w:rPr>
            </w:pPr>
          </w:p>
        </w:tc>
      </w:tr>
      <w:tr w:rsidR="00A92B80" w14:paraId="56EED211"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3368619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46756A0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71458B"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1185A56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F2784A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19273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202C21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EDE083C" w14:textId="77777777">
            <w:pPr>
              <w:pStyle w:val="p-table"/>
              <w:rPr>
                <w:sz w:val="17"/>
              </w:rPr>
            </w:pPr>
          </w:p>
        </w:tc>
      </w:tr>
      <w:tr w:rsidR="00A92B80" w14:paraId="79B554EB"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2FDC226" w14:textId="77777777">
            <w:pPr>
              <w:pStyle w:val="p-table"/>
            </w:pPr>
            <w:r>
              <w:rPr>
                <w:b/>
                <w:sz w:val="17"/>
              </w:rPr>
              <w:t>Bijdrage aan (</w:t>
            </w:r>
            <w:proofErr w:type="spellStart"/>
            <w:r>
              <w:rPr>
                <w:b/>
                <w:sz w:val="17"/>
              </w:rPr>
              <w:t>inter</w:t>
            </w:r>
            <w:proofErr w:type="spellEnd"/>
            <w:r>
              <w:rPr>
                <w:b/>
                <w:sz w:val="17"/>
              </w:rPr>
              <w:t>-)nationale organisaties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C0DFBD3" w14:textId="77777777">
            <w:pPr>
              <w:pStyle w:val="p-table"/>
              <w:jc w:val="right"/>
            </w:pPr>
            <w:r>
              <w:rPr>
                <w:b/>
                <w:sz w:val="17"/>
              </w:rPr>
              <w:t>476.682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B2714D" w14:paraId="3F82CD8E"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8149CD3" w14:textId="77777777">
            <w:pPr>
              <w:pStyle w:val="p-table"/>
              <w:jc w:val="right"/>
            </w:pPr>
            <w:r>
              <w:rPr>
                <w:b/>
                <w:sz w:val="17"/>
              </w:rPr>
              <w:t>476.682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9D1152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52481F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49A6E3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383287F" w14:textId="77777777">
            <w:pPr>
              <w:pStyle w:val="p-table"/>
              <w:rPr>
                <w:sz w:val="17"/>
              </w:rPr>
            </w:pPr>
          </w:p>
        </w:tc>
      </w:tr>
      <w:tr w:rsidR="00A92B80" w14:paraId="74A9BF1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C87B1D5" w14:textId="77777777">
            <w:pPr>
              <w:pStyle w:val="p-table"/>
              <w:rPr>
                <w:sz w:val="17"/>
              </w:rPr>
            </w:pPr>
            <w:r>
              <w:rPr>
                <w:sz w:val="17"/>
              </w:rPr>
              <w:t>Internationaal Innoveren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CBE18F6" w14:textId="77777777">
            <w:pPr>
              <w:pStyle w:val="p-table"/>
              <w:jc w:val="right"/>
              <w:rPr>
                <w:sz w:val="17"/>
              </w:rPr>
            </w:pPr>
            <w:r>
              <w:rPr>
                <w:sz w:val="17"/>
              </w:rPr>
              <w:t>55.002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3D0746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F0D6D00" w14:textId="77777777">
            <w:pPr>
              <w:pStyle w:val="p-table"/>
              <w:jc w:val="right"/>
              <w:rPr>
                <w:sz w:val="17"/>
              </w:rPr>
            </w:pPr>
            <w:r>
              <w:rPr>
                <w:sz w:val="17"/>
              </w:rPr>
              <w:t>55.002</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11B88F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8616DA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CB7786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593DD9D" w14:textId="77777777">
            <w:pPr>
              <w:pStyle w:val="p-table"/>
              <w:rPr>
                <w:sz w:val="17"/>
              </w:rPr>
            </w:pPr>
          </w:p>
        </w:tc>
      </w:tr>
      <w:tr w:rsidR="00A92B80" w14:paraId="657DFE8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F144373" w14:textId="77777777">
            <w:pPr>
              <w:pStyle w:val="p-table"/>
              <w:rPr>
                <w:sz w:val="17"/>
              </w:rPr>
            </w:pPr>
            <w:r>
              <w:rPr>
                <w:sz w:val="17"/>
              </w:rPr>
              <w:t>PPS toeslag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376C5CE2" w14:textId="77777777">
            <w:pPr>
              <w:pStyle w:val="p-table"/>
              <w:jc w:val="right"/>
              <w:rPr>
                <w:sz w:val="17"/>
              </w:rPr>
            </w:pPr>
            <w:r>
              <w:rPr>
                <w:sz w:val="17"/>
              </w:rPr>
              <w:t>186.253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334163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0459DE4" w14:textId="77777777">
            <w:pPr>
              <w:pStyle w:val="p-table"/>
              <w:jc w:val="right"/>
              <w:rPr>
                <w:sz w:val="17"/>
              </w:rPr>
            </w:pPr>
            <w:r>
              <w:rPr>
                <w:sz w:val="17"/>
              </w:rPr>
              <w:t>186.253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9C7001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5BE23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A01A8E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CBA633E" w14:textId="77777777">
            <w:pPr>
              <w:pStyle w:val="p-table"/>
              <w:rPr>
                <w:sz w:val="17"/>
              </w:rPr>
            </w:pPr>
          </w:p>
        </w:tc>
      </w:tr>
      <w:tr w:rsidR="00A92B80" w14:paraId="1721660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D99E240" w14:textId="77777777">
            <w:pPr>
              <w:pStyle w:val="p-table"/>
              <w:rPr>
                <w:sz w:val="17"/>
              </w:rPr>
            </w:pPr>
            <w:r>
              <w:rPr>
                <w:sz w:val="17"/>
              </w:rPr>
              <w:t>TO2 (excl. TNO)</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38971FE" w14:textId="77777777">
            <w:pPr>
              <w:pStyle w:val="p-table"/>
              <w:jc w:val="right"/>
              <w:rPr>
                <w:sz w:val="17"/>
              </w:rPr>
            </w:pPr>
            <w:r>
              <w:rPr>
                <w:sz w:val="17"/>
              </w:rPr>
              <w:t>71.173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AE6CE5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3872B90" w14:textId="77777777">
            <w:pPr>
              <w:pStyle w:val="p-table"/>
              <w:jc w:val="right"/>
              <w:rPr>
                <w:sz w:val="17"/>
              </w:rPr>
            </w:pPr>
            <w:r>
              <w:rPr>
                <w:sz w:val="17"/>
              </w:rPr>
              <w:t>71.173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9EF71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47B48D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8A70FA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C0FD9C0" w14:textId="77777777">
            <w:pPr>
              <w:pStyle w:val="p-table"/>
              <w:rPr>
                <w:sz w:val="17"/>
              </w:rPr>
            </w:pPr>
          </w:p>
        </w:tc>
      </w:tr>
      <w:tr w:rsidR="00A92B80" w14:paraId="2981706D"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7754EF9D" w14:textId="77777777">
            <w:pPr>
              <w:pStyle w:val="p-table"/>
              <w:rPr>
                <w:sz w:val="17"/>
              </w:rPr>
            </w:pPr>
            <w:r>
              <w:rPr>
                <w:sz w:val="17"/>
              </w:rPr>
              <w:t>Topsectoren overig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07953A6" w14:textId="77777777">
            <w:pPr>
              <w:pStyle w:val="p-table"/>
              <w:jc w:val="right"/>
              <w:rPr>
                <w:sz w:val="17"/>
              </w:rPr>
            </w:pPr>
            <w:r>
              <w:rPr>
                <w:sz w:val="17"/>
              </w:rPr>
              <w:t>18.257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8AB34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90CE942" w14:textId="77777777">
            <w:pPr>
              <w:pStyle w:val="p-table"/>
              <w:jc w:val="right"/>
              <w:rPr>
                <w:sz w:val="17"/>
              </w:rPr>
            </w:pPr>
            <w:r>
              <w:rPr>
                <w:sz w:val="17"/>
              </w:rPr>
              <w:t>18.257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F5D7ED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0D7CD4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1EC030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63CE747" w14:textId="77777777">
            <w:pPr>
              <w:pStyle w:val="p-table"/>
              <w:rPr>
                <w:sz w:val="17"/>
              </w:rPr>
            </w:pPr>
          </w:p>
        </w:tc>
      </w:tr>
      <w:tr w:rsidR="00A92B80" w14:paraId="475D585F"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65C2D312" w14:textId="77777777">
            <w:pPr>
              <w:pStyle w:val="p-table"/>
              <w:rPr>
                <w:sz w:val="17"/>
              </w:rPr>
            </w:pPr>
            <w:r>
              <w:rPr>
                <w:sz w:val="17"/>
              </w:rPr>
              <w:t>Ruimtevaart (ESA)</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E2852B2" w14:textId="77777777">
            <w:pPr>
              <w:pStyle w:val="p-table"/>
              <w:jc w:val="right"/>
              <w:rPr>
                <w:sz w:val="17"/>
              </w:rPr>
            </w:pPr>
            <w:r>
              <w:rPr>
                <w:sz w:val="17"/>
              </w:rPr>
              <w:t>85.243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BF96BD9"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AAB6754" w14:textId="77777777">
            <w:pPr>
              <w:pStyle w:val="p-table"/>
              <w:jc w:val="right"/>
              <w:rPr>
                <w:sz w:val="17"/>
              </w:rPr>
            </w:pPr>
            <w:r>
              <w:rPr>
                <w:sz w:val="17"/>
              </w:rPr>
              <w:t>85.243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CA7F95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314D00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07C6AB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017AD3A" w14:textId="77777777">
            <w:pPr>
              <w:pStyle w:val="p-table"/>
              <w:rPr>
                <w:sz w:val="17"/>
              </w:rPr>
            </w:pPr>
          </w:p>
        </w:tc>
      </w:tr>
      <w:tr w:rsidR="00A92B80" w14:paraId="09354B9B"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6314073B" w14:textId="77777777">
            <w:pPr>
              <w:pStyle w:val="p-table"/>
              <w:rPr>
                <w:sz w:val="17"/>
              </w:rPr>
            </w:pPr>
            <w:r>
              <w:rPr>
                <w:sz w:val="17"/>
              </w:rPr>
              <w:t>Bijdrage NBTC</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26650A8" w14:textId="77777777">
            <w:pPr>
              <w:pStyle w:val="p-table"/>
              <w:jc w:val="right"/>
              <w:rPr>
                <w:sz w:val="17"/>
              </w:rPr>
            </w:pPr>
            <w:r>
              <w:rPr>
                <w:sz w:val="17"/>
              </w:rPr>
              <w:t>10.885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A30F7E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3A41018" w14:textId="77777777">
            <w:pPr>
              <w:pStyle w:val="p-table"/>
              <w:jc w:val="right"/>
              <w:rPr>
                <w:sz w:val="17"/>
              </w:rPr>
            </w:pPr>
            <w:r>
              <w:rPr>
                <w:sz w:val="17"/>
              </w:rPr>
              <w:t>10.885</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0A503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EB3621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2C6AA4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7E454B" w14:textId="77777777">
            <w:pPr>
              <w:pStyle w:val="p-table"/>
              <w:rPr>
                <w:sz w:val="17"/>
              </w:rPr>
            </w:pPr>
          </w:p>
        </w:tc>
      </w:tr>
      <w:tr w:rsidR="00A92B80" w14:paraId="514AA7C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5CA2285D" w14:textId="77777777">
            <w:pPr>
              <w:pStyle w:val="p-table"/>
              <w:rPr>
                <w:sz w:val="17"/>
              </w:rPr>
            </w:pPr>
            <w:r>
              <w:rPr>
                <w:sz w:val="17"/>
              </w:rPr>
              <w:t>Overige bijdragen aan organisaties</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3F35452" w14:textId="77777777">
            <w:pPr>
              <w:pStyle w:val="p-table"/>
              <w:jc w:val="right"/>
              <w:rPr>
                <w:sz w:val="17"/>
              </w:rPr>
            </w:pPr>
            <w:r>
              <w:rPr>
                <w:sz w:val="17"/>
              </w:rPr>
              <w:t>6.149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8F6B42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B69A78F" w14:textId="77777777">
            <w:pPr>
              <w:pStyle w:val="p-table"/>
              <w:jc w:val="right"/>
              <w:rPr>
                <w:sz w:val="17"/>
              </w:rPr>
            </w:pPr>
            <w:r>
              <w:rPr>
                <w:sz w:val="17"/>
              </w:rPr>
              <w:t>6.149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F4E1B0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26F9B9C"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EB16EC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F3066F" w14:textId="77777777">
            <w:pPr>
              <w:pStyle w:val="p-table"/>
              <w:rPr>
                <w:sz w:val="17"/>
              </w:rPr>
            </w:pPr>
          </w:p>
        </w:tc>
      </w:tr>
      <w:tr w:rsidR="00A92B80" w14:paraId="09096C74"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3812E312" w14:textId="77777777">
            <w:pPr>
              <w:pStyle w:val="p-table"/>
              <w:rPr>
                <w:sz w:val="17"/>
              </w:rPr>
            </w:pPr>
            <w:r>
              <w:rPr>
                <w:sz w:val="17"/>
              </w:rPr>
              <w:t>EU-cofinanciering JTF</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79DED59" w14:textId="77777777">
            <w:pPr>
              <w:pStyle w:val="p-table"/>
              <w:jc w:val="right"/>
              <w:rPr>
                <w:sz w:val="17"/>
              </w:rPr>
            </w:pPr>
            <w:r>
              <w:rPr>
                <w:sz w:val="17"/>
              </w:rPr>
              <w:t>16.331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A757EF"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7EE5352D" w14:textId="77777777">
            <w:pPr>
              <w:pStyle w:val="p-table"/>
              <w:jc w:val="right"/>
              <w:rPr>
                <w:sz w:val="17"/>
              </w:rPr>
            </w:pPr>
            <w:r>
              <w:rPr>
                <w:sz w:val="17"/>
              </w:rPr>
              <w:t>16.331</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35F8E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99C18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CA33B0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D1D5317" w14:textId="77777777">
            <w:pPr>
              <w:pStyle w:val="p-table"/>
              <w:rPr>
                <w:sz w:val="17"/>
              </w:rPr>
            </w:pPr>
          </w:p>
        </w:tc>
      </w:tr>
      <w:tr w:rsidR="00A92B80" w14:paraId="1381614E"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992627A" w14:textId="77777777">
            <w:pPr>
              <w:pStyle w:val="p-table"/>
              <w:rPr>
                <w:sz w:val="17"/>
              </w:rPr>
            </w:pPr>
            <w:r>
              <w:rPr>
                <w:sz w:val="17"/>
              </w:rPr>
              <w:t>Faciliteiten toegepast onderzoek TO2 en RKI</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FD8AEFA" w14:textId="77777777">
            <w:pPr>
              <w:pStyle w:val="p-table"/>
              <w:jc w:val="right"/>
              <w:rPr>
                <w:sz w:val="17"/>
              </w:rPr>
            </w:pPr>
            <w:r>
              <w:rPr>
                <w:sz w:val="17"/>
              </w:rPr>
              <w:t>19.100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6BD5955"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918C14F" w14:textId="77777777">
            <w:pPr>
              <w:pStyle w:val="p-table"/>
              <w:jc w:val="right"/>
              <w:rPr>
                <w:sz w:val="17"/>
              </w:rPr>
            </w:pPr>
            <w:r>
              <w:rPr>
                <w:sz w:val="17"/>
              </w:rPr>
              <w:t>19.100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BCCCB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7065A3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9C0436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FE79D11" w14:textId="77777777">
            <w:pPr>
              <w:pStyle w:val="p-table"/>
              <w:rPr>
                <w:sz w:val="17"/>
              </w:rPr>
            </w:pPr>
          </w:p>
        </w:tc>
      </w:tr>
      <w:tr w:rsidR="00A92B80" w14:paraId="5848BEA1"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57EB5CA" w14:textId="77777777">
            <w:pPr>
              <w:pStyle w:val="p-table"/>
              <w:rPr>
                <w:sz w:val="17"/>
              </w:rPr>
            </w:pPr>
            <w:r>
              <w:rPr>
                <w:sz w:val="17"/>
              </w:rPr>
              <w:t xml:space="preserve">NGF - </w:t>
            </w:r>
            <w:proofErr w:type="spellStart"/>
            <w:r>
              <w:rPr>
                <w:sz w:val="17"/>
              </w:rPr>
              <w:t>projectNXTGEN</w:t>
            </w:r>
            <w:proofErr w:type="spellEnd"/>
            <w:r>
              <w:rPr>
                <w:sz w:val="17"/>
              </w:rPr>
              <w:t xml:space="preserve"> Ruimtevaart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910F906" w14:textId="77777777">
            <w:pPr>
              <w:pStyle w:val="p-table"/>
              <w:jc w:val="right"/>
              <w:rPr>
                <w:sz w:val="17"/>
              </w:rPr>
            </w:pPr>
            <w:r>
              <w:rPr>
                <w:sz w:val="17"/>
              </w:rPr>
              <w:t>8.289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2E3193"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6309870" w14:textId="77777777">
            <w:pPr>
              <w:pStyle w:val="p-table"/>
              <w:jc w:val="right"/>
              <w:rPr>
                <w:sz w:val="17"/>
              </w:rPr>
            </w:pPr>
            <w:r>
              <w:rPr>
                <w:sz w:val="17"/>
              </w:rPr>
              <w:t>8.289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154D7D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E8C35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9BE7C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218B0F1" w14:textId="77777777">
            <w:pPr>
              <w:pStyle w:val="p-table"/>
              <w:rPr>
                <w:sz w:val="17"/>
              </w:rPr>
            </w:pPr>
          </w:p>
        </w:tc>
      </w:tr>
      <w:tr w:rsidR="00A92B80" w14:paraId="1EB53E3D"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79C5FF5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3BE209D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9A1725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71ABAA7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1B7D95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51ADD4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2A745A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6290517" w14:textId="77777777">
            <w:pPr>
              <w:pStyle w:val="p-table"/>
              <w:rPr>
                <w:sz w:val="17"/>
              </w:rPr>
            </w:pPr>
          </w:p>
        </w:tc>
      </w:tr>
      <w:tr w:rsidR="00A92B80" w14:paraId="4778D3F3"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2A217FCE" w14:textId="77777777">
            <w:pPr>
              <w:pStyle w:val="p-table"/>
            </w:pPr>
            <w:r>
              <w:rPr>
                <w:b/>
                <w:sz w:val="17"/>
              </w:rPr>
              <w:t>Storting begrotingsreserve</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230CCEA" w14:textId="77777777">
            <w:pPr>
              <w:pStyle w:val="p-table"/>
              <w:jc w:val="right"/>
            </w:pPr>
            <w:r>
              <w:rPr>
                <w:b/>
                <w:sz w:val="17"/>
              </w:rPr>
              <w:t>30.000</w:t>
            </w:r>
          </w:p>
        </w:tc>
        <w:tc>
          <w:tcPr>
            <w:tcW w:w="947" w:type="dxa"/>
            <w:tcBorders>
              <w:bottom w:val="single" w:color="009EE0" w:sz="2" w:space="0"/>
            </w:tcBorders>
            <w:shd w:val="clear" w:color="auto" w:fill="auto"/>
            <w:tcMar>
              <w:top w:w="22" w:type="dxa"/>
              <w:left w:w="28" w:type="dxa"/>
              <w:bottom w:w="22" w:type="dxa"/>
              <w:right w:w="28" w:type="dxa"/>
            </w:tcMar>
            <w:vAlign w:val="bottom"/>
          </w:tcPr>
          <w:p w:rsidR="00A92B80" w:rsidRDefault="00B2714D" w14:paraId="05320700"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B43443E" w14:textId="77777777">
            <w:pPr>
              <w:pStyle w:val="p-table"/>
              <w:jc w:val="right"/>
            </w:pPr>
            <w:r>
              <w:rPr>
                <w:b/>
                <w:sz w:val="17"/>
              </w:rPr>
              <w:t>30.000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E9DF60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F4865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BD1C37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944979B" w14:textId="77777777">
            <w:pPr>
              <w:pStyle w:val="p-table"/>
              <w:rPr>
                <w:sz w:val="17"/>
              </w:rPr>
            </w:pPr>
          </w:p>
        </w:tc>
      </w:tr>
      <w:tr w:rsidR="00A92B80" w14:paraId="0F42437C"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0167E56D" w14:textId="77777777">
            <w:pPr>
              <w:pStyle w:val="p-table"/>
              <w:rPr>
                <w:sz w:val="17"/>
              </w:rPr>
            </w:pPr>
            <w:r>
              <w:rPr>
                <w:sz w:val="17"/>
              </w:rPr>
              <w:t>Storting reserve maatwerk garantie</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9D93967" w14:textId="77777777">
            <w:pPr>
              <w:pStyle w:val="p-table"/>
              <w:jc w:val="right"/>
              <w:rPr>
                <w:sz w:val="17"/>
              </w:rPr>
            </w:pPr>
            <w:r>
              <w:rPr>
                <w:sz w:val="17"/>
              </w:rPr>
              <w:t>30.000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D7BDDB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3F67F47" w14:textId="77777777">
            <w:pPr>
              <w:pStyle w:val="p-table"/>
              <w:jc w:val="right"/>
              <w:rPr>
                <w:sz w:val="17"/>
              </w:rPr>
            </w:pPr>
            <w:r>
              <w:rPr>
                <w:sz w:val="17"/>
              </w:rPr>
              <w:t>30.000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7DA05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7CB90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3D39E8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874ADF4" w14:textId="77777777">
            <w:pPr>
              <w:pStyle w:val="p-table"/>
              <w:rPr>
                <w:sz w:val="17"/>
              </w:rPr>
            </w:pPr>
          </w:p>
        </w:tc>
      </w:tr>
      <w:tr w:rsidR="00A92B80" w14:paraId="228E52CC" w14:textId="77777777">
        <w:tc>
          <w:tcPr>
            <w:tcW w:w="2843" w:type="dxa"/>
            <w:tcBorders>
              <w:bottom w:val="single" w:color="009EE0" w:sz="2" w:space="0"/>
            </w:tcBorders>
            <w:shd w:val="clear" w:color="auto" w:fill="auto"/>
            <w:tcMar>
              <w:top w:w="22" w:type="dxa"/>
              <w:left w:w="10" w:type="dxa"/>
              <w:bottom w:w="22" w:type="dxa"/>
              <w:right w:w="28" w:type="dxa"/>
            </w:tcMar>
          </w:tcPr>
          <w:p w:rsidR="00A92B80" w:rsidRDefault="00A92B80" w14:paraId="7C23975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7C72577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91A51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A92B80" w14:paraId="7376C30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E260BA3"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499495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79FD312"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971170F" w14:textId="77777777">
            <w:pPr>
              <w:pStyle w:val="p-table"/>
              <w:rPr>
                <w:sz w:val="17"/>
              </w:rPr>
            </w:pPr>
          </w:p>
        </w:tc>
      </w:tr>
      <w:tr w:rsidR="00A92B80" w14:paraId="369D044D"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490B265D" w14:textId="77777777">
            <w:pPr>
              <w:pStyle w:val="p-table"/>
            </w:pPr>
            <w:r>
              <w:rPr>
                <w:b/>
                <w:sz w:val="17"/>
              </w:rPr>
              <w:t>Ontvangsten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BCB97D9" w14:textId="77777777">
            <w:pPr>
              <w:pStyle w:val="p-table"/>
              <w:jc w:val="right"/>
            </w:pPr>
            <w:r>
              <w:rPr>
                <w:b/>
                <w:sz w:val="17"/>
              </w:rPr>
              <w:t>272.603</w:t>
            </w:r>
          </w:p>
        </w:tc>
        <w:tc>
          <w:tcPr>
            <w:tcW w:w="947" w:type="dxa"/>
            <w:tcBorders>
              <w:bottom w:val="single" w:color="009EE0" w:sz="2" w:space="0"/>
            </w:tcBorders>
            <w:shd w:val="clear" w:color="auto" w:fill="auto"/>
            <w:tcMar>
              <w:top w:w="22" w:type="dxa"/>
              <w:left w:w="28" w:type="dxa"/>
              <w:bottom w:w="22" w:type="dxa"/>
              <w:right w:w="28" w:type="dxa"/>
            </w:tcMar>
            <w:vAlign w:val="bottom"/>
          </w:tcPr>
          <w:p w:rsidR="00A92B80" w:rsidRDefault="00B2714D" w14:paraId="5C8D4668" w14:textId="77777777">
            <w:pPr>
              <w:pStyle w:val="p-table"/>
              <w:jc w:val="right"/>
            </w:pPr>
            <w:r>
              <w:rPr>
                <w:b/>
                <w:sz w:val="17"/>
              </w:rPr>
              <w:t>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32D2F72C" w14:textId="77777777">
            <w:pPr>
              <w:pStyle w:val="p-table"/>
              <w:jc w:val="right"/>
            </w:pPr>
            <w:r>
              <w:rPr>
                <w:b/>
                <w:sz w:val="17"/>
              </w:rPr>
              <w:t>272.603</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61225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36EFE6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4239CD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5451756" w14:textId="77777777">
            <w:pPr>
              <w:pStyle w:val="p-table"/>
              <w:rPr>
                <w:sz w:val="17"/>
              </w:rPr>
            </w:pPr>
          </w:p>
        </w:tc>
      </w:tr>
      <w:tr w:rsidR="00A92B80" w14:paraId="6A1BB16B"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40BAD171" w14:textId="77777777">
            <w:pPr>
              <w:pStyle w:val="p-table"/>
              <w:rPr>
                <w:sz w:val="17"/>
              </w:rPr>
            </w:pPr>
            <w:r>
              <w:rPr>
                <w:sz w:val="17"/>
              </w:rPr>
              <w:t>Rijksoctrooiwet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5A01C33A" w14:textId="77777777">
            <w:pPr>
              <w:pStyle w:val="p-table"/>
              <w:jc w:val="right"/>
              <w:rPr>
                <w:sz w:val="17"/>
              </w:rPr>
            </w:pPr>
            <w:r>
              <w:rPr>
                <w:sz w:val="17"/>
              </w:rPr>
              <w:t>49.266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0AB667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A87516E" w14:textId="77777777">
            <w:pPr>
              <w:pStyle w:val="p-table"/>
              <w:jc w:val="right"/>
              <w:rPr>
                <w:sz w:val="17"/>
              </w:rPr>
            </w:pPr>
            <w:r>
              <w:rPr>
                <w:sz w:val="17"/>
              </w:rPr>
              <w:t>49.266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44BAD2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63E498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E974E6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DA8A702" w14:textId="77777777">
            <w:pPr>
              <w:pStyle w:val="p-table"/>
              <w:rPr>
                <w:sz w:val="17"/>
              </w:rPr>
            </w:pPr>
          </w:p>
        </w:tc>
      </w:tr>
      <w:tr w:rsidR="00A92B80" w14:paraId="61C71886"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437250D4" w14:textId="77777777">
            <w:pPr>
              <w:pStyle w:val="p-table"/>
              <w:rPr>
                <w:sz w:val="17"/>
              </w:rPr>
            </w:pPr>
            <w:proofErr w:type="spellStart"/>
            <w:r>
              <w:rPr>
                <w:sz w:val="17"/>
              </w:rPr>
              <w:t>Eurostars</w:t>
            </w:r>
            <w:proofErr w:type="spellEnd"/>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393B1A1" w14:textId="77777777">
            <w:pPr>
              <w:pStyle w:val="p-table"/>
              <w:jc w:val="right"/>
              <w:rPr>
                <w:sz w:val="17"/>
              </w:rPr>
            </w:pPr>
            <w:r>
              <w:rPr>
                <w:sz w:val="17"/>
              </w:rPr>
              <w:t>4.250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4123473"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972D3C6" w14:textId="77777777">
            <w:pPr>
              <w:pStyle w:val="p-table"/>
              <w:jc w:val="right"/>
              <w:rPr>
                <w:sz w:val="17"/>
              </w:rPr>
            </w:pPr>
            <w:r>
              <w:rPr>
                <w:sz w:val="17"/>
              </w:rPr>
              <w:t>4.250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533556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D5F4D2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1F554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917D159" w14:textId="77777777">
            <w:pPr>
              <w:pStyle w:val="p-table"/>
              <w:rPr>
                <w:sz w:val="17"/>
              </w:rPr>
            </w:pPr>
          </w:p>
        </w:tc>
      </w:tr>
      <w:tr w:rsidR="00A92B80" w14:paraId="64522DAF"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2E04BAAD" w14:textId="77777777">
            <w:pPr>
              <w:pStyle w:val="p-table"/>
              <w:rPr>
                <w:sz w:val="17"/>
              </w:rPr>
            </w:pPr>
            <w:r>
              <w:rPr>
                <w:sz w:val="17"/>
              </w:rPr>
              <w:t>F-35</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67A4B34" w14:textId="77777777">
            <w:pPr>
              <w:pStyle w:val="p-table"/>
              <w:jc w:val="right"/>
              <w:rPr>
                <w:sz w:val="17"/>
              </w:rPr>
            </w:pPr>
            <w:r>
              <w:rPr>
                <w:sz w:val="17"/>
              </w:rPr>
              <w:t>10.576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CA3C0E4"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12BAABE" w14:textId="77777777">
            <w:pPr>
              <w:pStyle w:val="p-table"/>
              <w:jc w:val="right"/>
              <w:rPr>
                <w:sz w:val="17"/>
              </w:rPr>
            </w:pPr>
            <w:r>
              <w:rPr>
                <w:sz w:val="17"/>
              </w:rPr>
              <w:t>10.576</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342128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8CE17F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57A44C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EAD95A1" w14:textId="77777777">
            <w:pPr>
              <w:pStyle w:val="p-table"/>
              <w:rPr>
                <w:sz w:val="17"/>
              </w:rPr>
            </w:pPr>
          </w:p>
        </w:tc>
      </w:tr>
      <w:tr w:rsidR="00A92B80" w14:paraId="1B663D2B"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3FAF7781" w14:textId="77777777">
            <w:pPr>
              <w:pStyle w:val="p-table"/>
              <w:rPr>
                <w:sz w:val="17"/>
              </w:rPr>
            </w:pPr>
            <w:r>
              <w:rPr>
                <w:sz w:val="17"/>
              </w:rPr>
              <w:t>Diverse ontvangsten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9885D0A" w14:textId="77777777">
            <w:pPr>
              <w:pStyle w:val="p-table"/>
              <w:jc w:val="right"/>
              <w:rPr>
                <w:sz w:val="17"/>
              </w:rPr>
            </w:pPr>
            <w:r>
              <w:rPr>
                <w:sz w:val="17"/>
              </w:rPr>
              <w:t>1.244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F6625E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5CC987AE" w14:textId="77777777">
            <w:pPr>
              <w:pStyle w:val="p-table"/>
              <w:jc w:val="right"/>
              <w:rPr>
                <w:sz w:val="17"/>
              </w:rPr>
            </w:pPr>
            <w:r>
              <w:rPr>
                <w:sz w:val="17"/>
              </w:rPr>
              <w:t>1.244</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A66F9D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B8BD94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F1BD57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D8C0B8" w14:textId="77777777">
            <w:pPr>
              <w:pStyle w:val="p-table"/>
              <w:rPr>
                <w:sz w:val="17"/>
              </w:rPr>
            </w:pPr>
          </w:p>
        </w:tc>
      </w:tr>
      <w:tr w:rsidR="00A92B80" w14:paraId="7032C6B7"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3C456ACB" w14:textId="77777777">
            <w:pPr>
              <w:pStyle w:val="p-table"/>
              <w:rPr>
                <w:sz w:val="17"/>
              </w:rPr>
            </w:pPr>
            <w:r>
              <w:rPr>
                <w:sz w:val="17"/>
              </w:rPr>
              <w:t>Bedrijfssteun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E1ED539" w14:textId="77777777">
            <w:pPr>
              <w:pStyle w:val="p-table"/>
              <w:jc w:val="right"/>
              <w:rPr>
                <w:sz w:val="17"/>
              </w:rPr>
            </w:pPr>
            <w:r>
              <w:rPr>
                <w:sz w:val="17"/>
              </w:rPr>
              <w:t>40.367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FE6BFA1"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25247C0" w14:textId="77777777">
            <w:pPr>
              <w:pStyle w:val="p-table"/>
              <w:jc w:val="right"/>
              <w:rPr>
                <w:sz w:val="17"/>
              </w:rPr>
            </w:pPr>
            <w:r>
              <w:rPr>
                <w:sz w:val="17"/>
              </w:rPr>
              <w:t>40.367</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997566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DDBB75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11473D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AD0202" w14:textId="77777777">
            <w:pPr>
              <w:pStyle w:val="p-table"/>
              <w:rPr>
                <w:sz w:val="17"/>
              </w:rPr>
            </w:pPr>
          </w:p>
        </w:tc>
      </w:tr>
      <w:tr w:rsidR="00A92B80" w14:paraId="015BD0D1"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66FE4477" w14:textId="77777777">
            <w:pPr>
              <w:pStyle w:val="p-table"/>
              <w:rPr>
                <w:sz w:val="17"/>
              </w:rPr>
            </w:pPr>
            <w:r>
              <w:rPr>
                <w:sz w:val="17"/>
              </w:rPr>
              <w:t>Tegemoetkoming vaste lasten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39573B4" w14:textId="77777777">
            <w:pPr>
              <w:pStyle w:val="p-table"/>
              <w:jc w:val="right"/>
              <w:rPr>
                <w:sz w:val="17"/>
              </w:rPr>
            </w:pPr>
            <w:r>
              <w:rPr>
                <w:sz w:val="17"/>
              </w:rPr>
              <w:t>76.700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849E80"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5C173BD" w14:textId="77777777">
            <w:pPr>
              <w:pStyle w:val="p-table"/>
              <w:jc w:val="right"/>
              <w:rPr>
                <w:sz w:val="17"/>
              </w:rPr>
            </w:pPr>
            <w:r>
              <w:rPr>
                <w:sz w:val="17"/>
              </w:rPr>
              <w:t>76.700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981C7F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2E1324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453E9E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240F74B" w14:textId="77777777">
            <w:pPr>
              <w:pStyle w:val="p-table"/>
              <w:rPr>
                <w:sz w:val="17"/>
              </w:rPr>
            </w:pPr>
          </w:p>
        </w:tc>
      </w:tr>
      <w:tr w:rsidR="00A92B80" w14:paraId="07F13CF9"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3A6689DD" w14:textId="77777777">
            <w:pPr>
              <w:pStyle w:val="p-table"/>
              <w:rPr>
                <w:sz w:val="17"/>
              </w:rPr>
            </w:pPr>
            <w:r>
              <w:rPr>
                <w:sz w:val="17"/>
              </w:rPr>
              <w:t>BMKB</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AC3B603" w14:textId="77777777">
            <w:pPr>
              <w:pStyle w:val="p-table"/>
              <w:jc w:val="right"/>
              <w:rPr>
                <w:sz w:val="17"/>
              </w:rPr>
            </w:pPr>
            <w:r>
              <w:rPr>
                <w:sz w:val="17"/>
              </w:rPr>
              <w:t>33.000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12A3E0D"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C9B2B9A" w14:textId="77777777">
            <w:pPr>
              <w:pStyle w:val="p-table"/>
              <w:jc w:val="right"/>
              <w:rPr>
                <w:sz w:val="17"/>
              </w:rPr>
            </w:pPr>
            <w:r>
              <w:rPr>
                <w:sz w:val="17"/>
              </w:rPr>
              <w:t>33.000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7E4733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22598C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7636EF9"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CA52E63" w14:textId="77777777">
            <w:pPr>
              <w:pStyle w:val="p-table"/>
              <w:rPr>
                <w:sz w:val="17"/>
              </w:rPr>
            </w:pPr>
          </w:p>
        </w:tc>
      </w:tr>
      <w:tr w:rsidR="00A92B80" w14:paraId="6728F95B"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4CBCC7FD" w14:textId="77777777">
            <w:pPr>
              <w:pStyle w:val="p-table"/>
              <w:rPr>
                <w:sz w:val="17"/>
              </w:rPr>
            </w:pPr>
            <w:r>
              <w:rPr>
                <w:sz w:val="17"/>
              </w:rPr>
              <w:t>Groeifaciliteit</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01512335" w14:textId="77777777">
            <w:pPr>
              <w:pStyle w:val="p-table"/>
              <w:jc w:val="right"/>
              <w:rPr>
                <w:sz w:val="17"/>
              </w:rPr>
            </w:pPr>
            <w:r>
              <w:rPr>
                <w:sz w:val="17"/>
              </w:rPr>
              <w:t>8.000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0C06A1E"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10B3CDC7" w14:textId="77777777">
            <w:pPr>
              <w:pStyle w:val="p-table"/>
              <w:jc w:val="right"/>
              <w:rPr>
                <w:sz w:val="17"/>
              </w:rPr>
            </w:pPr>
            <w:r>
              <w:rPr>
                <w:sz w:val="17"/>
              </w:rPr>
              <w:t>8.000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CEA183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BAF8156"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701746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DDB0A5A" w14:textId="77777777">
            <w:pPr>
              <w:pStyle w:val="p-table"/>
              <w:rPr>
                <w:sz w:val="17"/>
              </w:rPr>
            </w:pPr>
          </w:p>
        </w:tc>
      </w:tr>
      <w:tr w:rsidR="00A92B80" w14:paraId="492C13B5"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29F31005" w14:textId="77777777">
            <w:pPr>
              <w:pStyle w:val="p-table"/>
              <w:rPr>
                <w:sz w:val="17"/>
              </w:rPr>
            </w:pPr>
            <w:r>
              <w:rPr>
                <w:sz w:val="17"/>
              </w:rPr>
              <w:t>Garantie Ondernemingsfinanciering</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CBA623C" w14:textId="77777777">
            <w:pPr>
              <w:pStyle w:val="p-table"/>
              <w:jc w:val="right"/>
              <w:rPr>
                <w:sz w:val="17"/>
              </w:rPr>
            </w:pPr>
            <w:r>
              <w:rPr>
                <w:sz w:val="17"/>
              </w:rPr>
              <w:t>13.000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5579082"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4B4F96AE" w14:textId="77777777">
            <w:pPr>
              <w:pStyle w:val="p-table"/>
              <w:jc w:val="right"/>
              <w:rPr>
                <w:sz w:val="17"/>
              </w:rPr>
            </w:pPr>
            <w:r>
              <w:rPr>
                <w:sz w:val="17"/>
              </w:rPr>
              <w:t>13.000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5467A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C1A493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7779600"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1C261BA" w14:textId="77777777">
            <w:pPr>
              <w:pStyle w:val="p-table"/>
              <w:rPr>
                <w:sz w:val="17"/>
              </w:rPr>
            </w:pPr>
          </w:p>
        </w:tc>
      </w:tr>
      <w:tr w:rsidR="00A92B80" w14:paraId="3E96176D"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3AFCD967" w14:textId="77777777">
            <w:pPr>
              <w:pStyle w:val="p-table"/>
              <w:rPr>
                <w:sz w:val="17"/>
              </w:rPr>
            </w:pPr>
            <w:r>
              <w:rPr>
                <w:sz w:val="17"/>
              </w:rPr>
              <w:t>Onttrekking reserve GO</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112D054F" w14:textId="77777777">
            <w:pPr>
              <w:pStyle w:val="p-table"/>
              <w:jc w:val="right"/>
              <w:rPr>
                <w:sz w:val="17"/>
              </w:rPr>
            </w:pPr>
            <w:r>
              <w:rPr>
                <w:sz w:val="17"/>
              </w:rPr>
              <w:t>24.000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73166B8"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D3E4B1B" w14:textId="77777777">
            <w:pPr>
              <w:pStyle w:val="p-table"/>
              <w:jc w:val="right"/>
              <w:rPr>
                <w:sz w:val="17"/>
              </w:rPr>
            </w:pPr>
            <w:r>
              <w:rPr>
                <w:sz w:val="17"/>
              </w:rPr>
              <w:t>24.000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9D40F5F"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5E6AB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C306844"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81CA942" w14:textId="77777777">
            <w:pPr>
              <w:pStyle w:val="p-table"/>
              <w:rPr>
                <w:sz w:val="17"/>
              </w:rPr>
            </w:pPr>
          </w:p>
        </w:tc>
      </w:tr>
      <w:tr w:rsidR="00A92B80" w14:paraId="3C530477"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1F0D9142" w14:textId="77777777">
            <w:pPr>
              <w:pStyle w:val="p-table"/>
              <w:rPr>
                <w:sz w:val="17"/>
              </w:rPr>
            </w:pPr>
            <w:r>
              <w:rPr>
                <w:sz w:val="17"/>
              </w:rPr>
              <w:t>Tegemoetkoming Energiekosten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68A5097" w14:textId="77777777">
            <w:pPr>
              <w:pStyle w:val="p-table"/>
              <w:jc w:val="right"/>
              <w:rPr>
                <w:sz w:val="17"/>
              </w:rPr>
            </w:pPr>
            <w:r>
              <w:rPr>
                <w:sz w:val="17"/>
              </w:rPr>
              <w:t>11.200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34292DC"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C08F23E" w14:textId="77777777">
            <w:pPr>
              <w:pStyle w:val="p-table"/>
              <w:jc w:val="right"/>
              <w:rPr>
                <w:sz w:val="17"/>
              </w:rPr>
            </w:pPr>
            <w:r>
              <w:rPr>
                <w:sz w:val="17"/>
              </w:rPr>
              <w:t>11.200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E41F2B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309272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130DB3E"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579098" w14:textId="77777777">
            <w:pPr>
              <w:pStyle w:val="p-table"/>
              <w:rPr>
                <w:sz w:val="17"/>
              </w:rPr>
            </w:pPr>
          </w:p>
        </w:tc>
      </w:tr>
      <w:tr w:rsidR="00A92B80" w14:paraId="2703D022" w14:textId="77777777">
        <w:tc>
          <w:tcPr>
            <w:tcW w:w="2843" w:type="dxa"/>
            <w:tcBorders>
              <w:bottom w:val="single" w:color="009EE0" w:sz="2" w:space="0"/>
            </w:tcBorders>
            <w:shd w:val="clear" w:color="auto" w:fill="auto"/>
            <w:tcMar>
              <w:top w:w="22" w:type="dxa"/>
              <w:left w:w="10" w:type="dxa"/>
              <w:bottom w:w="22" w:type="dxa"/>
              <w:right w:w="28" w:type="dxa"/>
            </w:tcMar>
            <w:vAlign w:val="bottom"/>
          </w:tcPr>
          <w:p w:rsidR="00A92B80" w:rsidRDefault="00B2714D" w14:paraId="57DF1CA0" w14:textId="77777777">
            <w:pPr>
              <w:pStyle w:val="p-table"/>
              <w:rPr>
                <w:sz w:val="17"/>
              </w:rPr>
            </w:pPr>
            <w:r>
              <w:rPr>
                <w:sz w:val="17"/>
              </w:rPr>
              <w:t>Maatwerkgarantie</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255A0656" w14:textId="77777777">
            <w:pPr>
              <w:pStyle w:val="p-table"/>
              <w:jc w:val="right"/>
              <w:rPr>
                <w:sz w:val="17"/>
              </w:rPr>
            </w:pPr>
            <w:r>
              <w:rPr>
                <w:sz w:val="17"/>
              </w:rPr>
              <w:t>1.000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9B1CD6A"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05220985" w14:textId="77777777">
            <w:pPr>
              <w:pStyle w:val="p-table"/>
              <w:jc w:val="right"/>
              <w:rPr>
                <w:sz w:val="17"/>
              </w:rPr>
            </w:pPr>
            <w:r>
              <w:rPr>
                <w:sz w:val="17"/>
              </w:rPr>
              <w:t>1.000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5D3D4AA"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A922AB7"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47D87B8"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1ECC847F" w14:textId="77777777">
            <w:pPr>
              <w:pStyle w:val="p-table"/>
              <w:rPr>
                <w:sz w:val="17"/>
              </w:rPr>
            </w:pPr>
          </w:p>
        </w:tc>
      </w:tr>
    </w:tbl>
    <w:p w:rsidR="00A92B80" w:rsidRDefault="00A92B80" w14:paraId="5854739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843"/>
        <w:gridCol w:w="1058"/>
        <w:gridCol w:w="947"/>
        <w:gridCol w:w="1058"/>
        <w:gridCol w:w="947"/>
        <w:gridCol w:w="947"/>
        <w:gridCol w:w="947"/>
        <w:gridCol w:w="947"/>
      </w:tblGrid>
      <w:tr w:rsidR="00A92B80" w14:paraId="2C3949AB" w14:textId="77777777">
        <w:trPr>
          <w:tblHeader/>
        </w:trPr>
        <w:tc>
          <w:tcPr>
            <w:tcW w:w="9694" w:type="dxa"/>
            <w:gridSpan w:val="8"/>
            <w:shd w:val="clear" w:color="auto" w:fill="auto"/>
            <w:tcMar>
              <w:top w:w="22" w:type="dxa"/>
              <w:left w:w="113" w:type="dxa"/>
              <w:bottom w:w="22" w:type="dxa"/>
              <w:right w:w="10" w:type="dxa"/>
            </w:tcMar>
          </w:tcPr>
          <w:p w:rsidR="00A92B80" w:rsidRDefault="00B2714D" w14:paraId="3AE2DCB1" w14:textId="77777777">
            <w:pPr>
              <w:pStyle w:val="kio2-table-title"/>
            </w:pPr>
            <w:r>
              <w:t>Tabel 2 Uitsplitsing verplichtingen (bedragen x € 1.000)</w:t>
            </w:r>
          </w:p>
        </w:tc>
      </w:tr>
      <w:tr w:rsidR="00A92B80" w14:paraId="7A55E8F4" w14:textId="77777777">
        <w:trPr>
          <w:tblHeader/>
        </w:trPr>
        <w:tc>
          <w:tcPr>
            <w:tcW w:w="2843" w:type="dxa"/>
            <w:tcBorders>
              <w:top w:val="single" w:color="000000" w:sz="2" w:space="0"/>
              <w:bottom w:val="single" w:color="009EE0" w:sz="2" w:space="0"/>
            </w:tcBorders>
            <w:shd w:val="clear" w:color="auto" w:fill="auto"/>
            <w:tcMar>
              <w:top w:w="28" w:type="dxa"/>
              <w:left w:w="10" w:type="dxa"/>
              <w:bottom w:w="28" w:type="dxa"/>
              <w:right w:w="28" w:type="dxa"/>
            </w:tcMar>
          </w:tcPr>
          <w:p w:rsidR="00A92B80" w:rsidRDefault="00A92B80" w14:paraId="2CCBF705" w14:textId="77777777">
            <w:pPr>
              <w:pStyle w:val="p-table"/>
              <w:rPr>
                <w:color w:val="000000"/>
                <w:sz w:val="17"/>
              </w:rPr>
            </w:pP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A92B80" w:rsidRDefault="00B2714D" w14:paraId="27D042C0" w14:textId="77777777">
            <w:pPr>
              <w:pStyle w:val="p-table"/>
              <w:jc w:val="right"/>
            </w:pPr>
            <w:r>
              <w:rPr>
                <w:color w:val="000000"/>
                <w:sz w:val="17"/>
              </w:rPr>
              <w:t>Stand 1</w:t>
            </w:r>
            <w:r>
              <w:rPr>
                <w:color w:val="000000"/>
                <w:sz w:val="17"/>
                <w:vertAlign w:val="superscript"/>
              </w:rPr>
              <w:t>e</w:t>
            </w:r>
            <w:r>
              <w:rPr>
                <w:color w:val="000000"/>
                <w:sz w:val="17"/>
              </w:rPr>
              <w:t xml:space="preserve"> suppletoire begroting</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7B9D819C" w14:textId="77777777">
            <w:pPr>
              <w:pStyle w:val="p-table"/>
              <w:jc w:val="right"/>
            </w:pPr>
            <w:r>
              <w:rPr>
                <w:color w:val="000000"/>
                <w:sz w:val="17"/>
              </w:rPr>
              <w:t>Mutaties 2</w:t>
            </w:r>
            <w:r>
              <w:rPr>
                <w:color w:val="000000"/>
                <w:sz w:val="17"/>
                <w:vertAlign w:val="superscript"/>
              </w:rPr>
              <w:t>e</w:t>
            </w:r>
            <w:r>
              <w:rPr>
                <w:color w:val="000000"/>
                <w:sz w:val="17"/>
              </w:rPr>
              <w:t xml:space="preserve"> ISB</w:t>
            </w:r>
          </w:p>
        </w:tc>
        <w:tc>
          <w:tcPr>
            <w:tcW w:w="1058"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648230E9" w14:textId="77777777">
            <w:pPr>
              <w:pStyle w:val="p-table"/>
              <w:jc w:val="right"/>
            </w:pPr>
            <w:r>
              <w:rPr>
                <w:color w:val="000000"/>
                <w:sz w:val="17"/>
              </w:rPr>
              <w:t>Stand 2</w:t>
            </w:r>
            <w:r>
              <w:rPr>
                <w:color w:val="000000"/>
                <w:sz w:val="17"/>
                <w:vertAlign w:val="superscript"/>
              </w:rPr>
              <w:t>e</w:t>
            </w:r>
            <w:r>
              <w:rPr>
                <w:color w:val="000000"/>
                <w:sz w:val="17"/>
              </w:rPr>
              <w:t xml:space="preserve"> ISB</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719B4291" w14:textId="77777777">
            <w:pPr>
              <w:pStyle w:val="p-table"/>
              <w:jc w:val="right"/>
              <w:rPr>
                <w:color w:val="000000"/>
                <w:sz w:val="17"/>
              </w:rPr>
            </w:pPr>
            <w:r>
              <w:rPr>
                <w:color w:val="000000"/>
                <w:sz w:val="17"/>
              </w:rPr>
              <w:t>Mutatie 2026</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6C55B267" w14:textId="77777777">
            <w:pPr>
              <w:pStyle w:val="p-table"/>
              <w:jc w:val="right"/>
              <w:rPr>
                <w:color w:val="000000"/>
                <w:sz w:val="17"/>
              </w:rPr>
            </w:pPr>
            <w:r>
              <w:rPr>
                <w:color w:val="000000"/>
                <w:sz w:val="17"/>
              </w:rPr>
              <w:t>Mutatie 2027</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2EAA11D4" w14:textId="77777777">
            <w:pPr>
              <w:pStyle w:val="p-table"/>
              <w:jc w:val="right"/>
              <w:rPr>
                <w:color w:val="000000"/>
                <w:sz w:val="17"/>
              </w:rPr>
            </w:pPr>
            <w:r>
              <w:rPr>
                <w:color w:val="000000"/>
                <w:sz w:val="17"/>
              </w:rPr>
              <w:t>Mutatie 2028</w:t>
            </w:r>
          </w:p>
        </w:tc>
        <w:tc>
          <w:tcPr>
            <w:tcW w:w="947" w:type="dxa"/>
            <w:tcBorders>
              <w:top w:val="single" w:color="000000" w:sz="2" w:space="0"/>
              <w:bottom w:val="single" w:color="009EE0" w:sz="2" w:space="0"/>
            </w:tcBorders>
            <w:shd w:val="clear" w:color="auto" w:fill="auto"/>
            <w:tcMar>
              <w:top w:w="28" w:type="dxa"/>
              <w:left w:w="28" w:type="dxa"/>
              <w:bottom w:w="28" w:type="dxa"/>
              <w:right w:w="28" w:type="dxa"/>
            </w:tcMar>
          </w:tcPr>
          <w:p w:rsidR="00A92B80" w:rsidRDefault="00B2714D" w14:paraId="4D7AC7F5" w14:textId="77777777">
            <w:pPr>
              <w:pStyle w:val="p-table"/>
              <w:jc w:val="right"/>
              <w:rPr>
                <w:color w:val="000000"/>
                <w:sz w:val="17"/>
              </w:rPr>
            </w:pPr>
            <w:r>
              <w:rPr>
                <w:color w:val="000000"/>
                <w:sz w:val="17"/>
              </w:rPr>
              <w:t>Mutatie 2029</w:t>
            </w:r>
          </w:p>
        </w:tc>
      </w:tr>
      <w:tr w:rsidR="00A92B80" w14:paraId="0D71CB29"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4CD6C882" w14:textId="77777777">
            <w:pPr>
              <w:pStyle w:val="p-table"/>
            </w:pPr>
            <w:r>
              <w:rPr>
                <w:b/>
                <w:sz w:val="17"/>
              </w:rPr>
              <w:t>Verplichtingen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66D70468" w14:textId="77777777">
            <w:pPr>
              <w:pStyle w:val="p-table"/>
              <w:jc w:val="right"/>
            </w:pPr>
            <w:r>
              <w:rPr>
                <w:b/>
                <w:sz w:val="17"/>
              </w:rPr>
              <w:t>3.251.649</w:t>
            </w:r>
          </w:p>
        </w:tc>
        <w:tc>
          <w:tcPr>
            <w:tcW w:w="947" w:type="dxa"/>
            <w:tcBorders>
              <w:bottom w:val="single" w:color="009EE0" w:sz="2" w:space="0"/>
            </w:tcBorders>
            <w:shd w:val="clear" w:color="auto" w:fill="auto"/>
            <w:tcMar>
              <w:top w:w="22" w:type="dxa"/>
              <w:left w:w="28" w:type="dxa"/>
              <w:bottom w:w="22" w:type="dxa"/>
              <w:right w:w="28" w:type="dxa"/>
            </w:tcMar>
            <w:vAlign w:val="bottom"/>
          </w:tcPr>
          <w:p w:rsidR="00A92B80" w:rsidRDefault="00B2714D" w14:paraId="61D0FA2C" w14:textId="77777777">
            <w:pPr>
              <w:pStyle w:val="p-table"/>
              <w:jc w:val="right"/>
            </w:pPr>
            <w:r>
              <w:rPr>
                <w:b/>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91A5582" w14:textId="77777777">
            <w:pPr>
              <w:pStyle w:val="p-table"/>
              <w:jc w:val="right"/>
            </w:pPr>
            <w:r>
              <w:rPr>
                <w:b/>
                <w:sz w:val="17"/>
              </w:rPr>
              <w:t>3.521.649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24F28C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1DD32BD"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7DF056A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0838FDEB" w14:textId="77777777">
            <w:pPr>
              <w:pStyle w:val="p-table"/>
              <w:rPr>
                <w:sz w:val="17"/>
              </w:rPr>
            </w:pPr>
          </w:p>
        </w:tc>
      </w:tr>
      <w:tr w:rsidR="00A92B80" w14:paraId="62F5F67C"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618B8C81" w14:textId="77777777">
            <w:pPr>
              <w:pStyle w:val="p-table"/>
              <w:rPr>
                <w:sz w:val="17"/>
              </w:rPr>
            </w:pPr>
            <w:r>
              <w:rPr>
                <w:sz w:val="17"/>
              </w:rPr>
              <w:t>waarvan garantieverplichtingen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419A1BF0" w14:textId="77777777">
            <w:pPr>
              <w:pStyle w:val="p-table"/>
              <w:jc w:val="right"/>
              <w:rPr>
                <w:sz w:val="17"/>
              </w:rPr>
            </w:pPr>
            <w:r>
              <w:rPr>
                <w:sz w:val="17"/>
              </w:rPr>
              <w:t>1.211.900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02E8F51" w14:textId="77777777">
            <w:pPr>
              <w:pStyle w:val="p-table"/>
              <w:rPr>
                <w:sz w:val="17"/>
              </w:rPr>
            </w:pP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253CFB0E" w14:textId="77777777">
            <w:pPr>
              <w:pStyle w:val="p-table"/>
              <w:jc w:val="right"/>
              <w:rPr>
                <w:sz w:val="17"/>
              </w:rPr>
            </w:pPr>
            <w:r>
              <w:rPr>
                <w:sz w:val="17"/>
              </w:rPr>
              <w:t>1.211.900</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F781FC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E66F685"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3F0C2A2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50B8F759" w14:textId="77777777">
            <w:pPr>
              <w:pStyle w:val="p-table"/>
              <w:rPr>
                <w:sz w:val="17"/>
              </w:rPr>
            </w:pPr>
          </w:p>
        </w:tc>
      </w:tr>
      <w:tr w:rsidR="00A92B80" w14:paraId="3AC427DB" w14:textId="77777777">
        <w:tc>
          <w:tcPr>
            <w:tcW w:w="2843" w:type="dxa"/>
            <w:tcBorders>
              <w:bottom w:val="single" w:color="009EE0" w:sz="2" w:space="0"/>
            </w:tcBorders>
            <w:shd w:val="clear" w:color="auto" w:fill="auto"/>
            <w:tcMar>
              <w:top w:w="22" w:type="dxa"/>
              <w:left w:w="10" w:type="dxa"/>
              <w:bottom w:w="22" w:type="dxa"/>
              <w:right w:w="28" w:type="dxa"/>
            </w:tcMar>
            <w:vAlign w:val="center"/>
          </w:tcPr>
          <w:p w:rsidR="00A92B80" w:rsidRDefault="00B2714D" w14:paraId="10FDD522" w14:textId="77777777">
            <w:pPr>
              <w:pStyle w:val="p-table"/>
              <w:rPr>
                <w:sz w:val="17"/>
              </w:rPr>
            </w:pPr>
            <w:r>
              <w:rPr>
                <w:sz w:val="17"/>
              </w:rPr>
              <w:t>waarvan overige verplichtingen</w:t>
            </w:r>
          </w:p>
        </w:tc>
        <w:tc>
          <w:tcPr>
            <w:tcW w:w="1058" w:type="dxa"/>
            <w:tcBorders>
              <w:bottom w:val="single" w:color="009EE0" w:sz="2" w:space="0"/>
            </w:tcBorders>
            <w:shd w:val="clear" w:color="auto" w:fill="auto"/>
            <w:tcMar>
              <w:top w:w="22" w:type="dxa"/>
              <w:left w:w="28" w:type="dxa"/>
              <w:bottom w:w="22" w:type="dxa"/>
              <w:right w:w="28" w:type="dxa"/>
            </w:tcMar>
            <w:vAlign w:val="center"/>
          </w:tcPr>
          <w:p w:rsidR="00A92B80" w:rsidRDefault="00B2714D" w14:paraId="74E623E8" w14:textId="77777777">
            <w:pPr>
              <w:pStyle w:val="p-table"/>
              <w:jc w:val="right"/>
              <w:rPr>
                <w:sz w:val="17"/>
              </w:rPr>
            </w:pPr>
            <w:r>
              <w:rPr>
                <w:sz w:val="17"/>
              </w:rPr>
              <w:t>2.039.749</w:t>
            </w:r>
          </w:p>
        </w:tc>
        <w:tc>
          <w:tcPr>
            <w:tcW w:w="947" w:type="dxa"/>
            <w:tcBorders>
              <w:bottom w:val="single" w:color="009EE0" w:sz="2" w:space="0"/>
            </w:tcBorders>
            <w:shd w:val="clear" w:color="auto" w:fill="auto"/>
            <w:tcMar>
              <w:top w:w="22" w:type="dxa"/>
              <w:left w:w="28" w:type="dxa"/>
              <w:bottom w:w="22" w:type="dxa"/>
              <w:right w:w="28" w:type="dxa"/>
            </w:tcMar>
            <w:vAlign w:val="bottom"/>
          </w:tcPr>
          <w:p w:rsidR="00A92B80" w:rsidRDefault="00B2714D" w14:paraId="3BFC8214" w14:textId="77777777">
            <w:pPr>
              <w:pStyle w:val="p-table"/>
              <w:jc w:val="right"/>
              <w:rPr>
                <w:sz w:val="17"/>
              </w:rPr>
            </w:pPr>
            <w:r>
              <w:rPr>
                <w:sz w:val="17"/>
              </w:rPr>
              <w:t>270.000</w:t>
            </w:r>
          </w:p>
        </w:tc>
        <w:tc>
          <w:tcPr>
            <w:tcW w:w="1058" w:type="dxa"/>
            <w:tcBorders>
              <w:bottom w:val="single" w:color="009EE0" w:sz="2" w:space="0"/>
            </w:tcBorders>
            <w:shd w:val="clear" w:color="auto" w:fill="auto"/>
            <w:tcMar>
              <w:top w:w="22" w:type="dxa"/>
              <w:left w:w="28" w:type="dxa"/>
              <w:bottom w:w="22" w:type="dxa"/>
              <w:right w:w="28" w:type="dxa"/>
            </w:tcMar>
          </w:tcPr>
          <w:p w:rsidR="00A92B80" w:rsidRDefault="00B2714D" w14:paraId="61170A69" w14:textId="77777777">
            <w:pPr>
              <w:pStyle w:val="p-table"/>
              <w:jc w:val="right"/>
              <w:rPr>
                <w:sz w:val="17"/>
              </w:rPr>
            </w:pPr>
            <w:r>
              <w:rPr>
                <w:sz w:val="17"/>
              </w:rPr>
              <w:t>2.309.749</w:t>
            </w: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BF7537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6A4A80C1"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473A5B9B" w14:textId="77777777">
            <w:pPr>
              <w:pStyle w:val="p-table"/>
              <w:rPr>
                <w:sz w:val="17"/>
              </w:rPr>
            </w:pPr>
          </w:p>
        </w:tc>
        <w:tc>
          <w:tcPr>
            <w:tcW w:w="947" w:type="dxa"/>
            <w:tcBorders>
              <w:bottom w:val="single" w:color="009EE0" w:sz="2" w:space="0"/>
            </w:tcBorders>
            <w:shd w:val="clear" w:color="auto" w:fill="auto"/>
            <w:tcMar>
              <w:top w:w="22" w:type="dxa"/>
              <w:left w:w="28" w:type="dxa"/>
              <w:bottom w:w="22" w:type="dxa"/>
              <w:right w:w="28" w:type="dxa"/>
            </w:tcMar>
          </w:tcPr>
          <w:p w:rsidR="00A92B80" w:rsidRDefault="00A92B80" w14:paraId="24D92DF0" w14:textId="77777777">
            <w:pPr>
              <w:pStyle w:val="p-table"/>
              <w:rPr>
                <w:sz w:val="17"/>
              </w:rPr>
            </w:pPr>
          </w:p>
        </w:tc>
      </w:tr>
    </w:tbl>
    <w:p w:rsidR="00A92B80" w:rsidRDefault="00A92B80" w14:paraId="1239C3F8" w14:textId="77777777">
      <w:pPr>
        <w:pStyle w:val="p-marginbottom"/>
      </w:pPr>
    </w:p>
    <w:p w:rsidR="00A92B80" w:rsidRDefault="00B2714D" w14:paraId="4D1FB88A" w14:textId="77777777">
      <w:pPr>
        <w:pStyle w:val="header-h1"/>
      </w:pPr>
      <w:r>
        <w:t>Budgetflexibiliteit</w:t>
      </w:r>
    </w:p>
    <w:p w:rsidR="00A92B80" w:rsidRDefault="00A92B80" w14:paraId="54F76FDB" w14:textId="77777777">
      <w:pPr>
        <w:pStyle w:val="p-marginbottom"/>
      </w:pPr>
    </w:p>
    <w:p w:rsidR="00A92B80" w:rsidRDefault="00B2714D" w14:paraId="338B09B6" w14:textId="77777777">
      <w:pPr>
        <w:pStyle w:val="p"/>
      </w:pPr>
      <w:r>
        <w:t>De budgetflexibiliteit van artikel 2 wijzigingen naar aanleiding van de incidentele suppletoire begroting. Dit betekend dat 90% van het beschikbare kasbudget juridisch verplicht is, 9% is bestuurlijk gebonden en 1% beleidsmatig gereserveerd.</w:t>
      </w:r>
    </w:p>
    <w:p w:rsidR="00A92B80" w:rsidRDefault="00B2714D" w14:paraId="78006D32" w14:textId="77777777">
      <w:pPr>
        <w:pStyle w:val="header-h1"/>
      </w:pPr>
      <w:r>
        <w:t>Toelichting</w:t>
      </w:r>
    </w:p>
    <w:p w:rsidR="00A92B80" w:rsidRDefault="00A92B80" w14:paraId="436A0E73" w14:textId="77777777">
      <w:pPr>
        <w:pStyle w:val="p-marginbottom"/>
      </w:pPr>
    </w:p>
    <w:p w:rsidR="00A92B80" w:rsidRDefault="00B2714D" w14:paraId="56B93236" w14:textId="77777777">
      <w:pPr>
        <w:pStyle w:val="p"/>
      </w:pPr>
      <w:r>
        <w:t>Het kabinet stelt middelen beschikbaar voor bedrijfssteun in de vorm van een overbruggingskrediet. Over de inhoud van betreffende casus is uw Kamer vertrouwelijk geïnformeerd. Komende weken wordt de steunovereenkomst nader uitgewerkt. Naar verwachting kan het parlement in de tweede helft van juli geïnformeerd worden over deze nadere uitwerking.</w:t>
      </w:r>
    </w:p>
    <w:p w:rsidR="00A92B80" w:rsidRDefault="00B2714D" w14:paraId="19C812B1" w14:textId="77777777">
      <w:pPr>
        <w:pStyle w:val="header-h1"/>
      </w:pPr>
      <w:r>
        <w:t>Verplichtingen</w:t>
      </w:r>
    </w:p>
    <w:p w:rsidR="00A92B80" w:rsidRDefault="00A92B80" w14:paraId="2B81D84F" w14:textId="77777777">
      <w:pPr>
        <w:pStyle w:val="p-marginbottom"/>
      </w:pPr>
    </w:p>
    <w:p w:rsidR="00A92B80" w:rsidRDefault="00B2714D" w14:paraId="2F541788" w14:textId="77777777">
      <w:pPr>
        <w:pStyle w:val="p"/>
      </w:pPr>
      <w:r>
        <w:t>De beoogde steun bedraagt naar verwachting tussen de € 0 en € 270 mln. Het kabinet zet erop in de steun te minimaliseren. Op een later moment zal uw Kamer, al dan niet vertrouwelijk, nader worden geïnformeerd over de exacte vormgeving van de lening.</w:t>
      </w:r>
    </w:p>
    <w:p w:rsidR="00A92B80" w:rsidRDefault="00B2714D" w14:paraId="48178529" w14:textId="77777777">
      <w:pPr>
        <w:pStyle w:val="header-h1"/>
      </w:pPr>
      <w:r>
        <w:t>Uitgaven en ontvangsten</w:t>
      </w:r>
    </w:p>
    <w:p w:rsidR="00A92B80" w:rsidRDefault="00A92B80" w14:paraId="495C5E0B" w14:textId="77777777">
      <w:pPr>
        <w:pStyle w:val="p-marginbottom"/>
      </w:pPr>
    </w:p>
    <w:p w:rsidR="00A92B80" w:rsidRDefault="00B2714D" w14:paraId="7790B844" w14:textId="77777777">
      <w:pPr>
        <w:pStyle w:val="p"/>
      </w:pPr>
      <w:r>
        <w:t>De beoogde kasuitgaven zijn gelijk aan de verplichtingen. Vooralsnog worden geen ontvangsten ingeboekt. Naar verwachting wordt dit verwerkt in de eerstvolgende reguliere begrotingswet.</w:t>
      </w:r>
    </w:p>
    <w:sectPr w:rsidR="00A92B80" w:rsidSect="000303AC">
      <w:headerReference w:type="default" r:id="rId8"/>
      <w:footerReference w:type="default" r:id="rId9"/>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C024" w14:textId="77777777" w:rsidR="00B2714D" w:rsidRDefault="00B2714D">
      <w:r>
        <w:separator/>
      </w:r>
    </w:p>
  </w:endnote>
  <w:endnote w:type="continuationSeparator" w:id="0">
    <w:p w14:paraId="269A7247" w14:textId="77777777" w:rsidR="00B2714D" w:rsidRDefault="00B2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FFE8" w14:textId="77777777" w:rsidR="00B2714D" w:rsidRDefault="00B2714D">
    <w:pPr>
      <w:pStyle w:val="Voettekst"/>
    </w:pPr>
    <w:r>
      <w:t>Tweede Kamer, vergaderjaar 2024–2025,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8100" w14:textId="77777777" w:rsidR="00B2714D" w:rsidRDefault="00B2714D">
      <w:r>
        <w:rPr>
          <w:color w:val="000000"/>
        </w:rPr>
        <w:separator/>
      </w:r>
    </w:p>
  </w:footnote>
  <w:footnote w:type="continuationSeparator" w:id="0">
    <w:p w14:paraId="0473C130" w14:textId="77777777" w:rsidR="00B2714D" w:rsidRDefault="00B2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F91F" w14:textId="77777777" w:rsidR="00B2714D" w:rsidRDefault="00B27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12D"/>
    <w:multiLevelType w:val="multilevel"/>
    <w:tmpl w:val="815644B2"/>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214C71"/>
    <w:multiLevelType w:val="multilevel"/>
    <w:tmpl w:val="B828666E"/>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 w15:restartNumberingAfterBreak="0">
    <w:nsid w:val="34D047E8"/>
    <w:multiLevelType w:val="multilevel"/>
    <w:tmpl w:val="AEEC3A7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C997176"/>
    <w:multiLevelType w:val="multilevel"/>
    <w:tmpl w:val="33A226E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89405D1"/>
    <w:multiLevelType w:val="multilevel"/>
    <w:tmpl w:val="AB2C63E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A7E1809"/>
    <w:multiLevelType w:val="multilevel"/>
    <w:tmpl w:val="9BB03B6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776102448">
    <w:abstractNumId w:val="3"/>
  </w:num>
  <w:num w:numId="2" w16cid:durableId="1895309778">
    <w:abstractNumId w:val="0"/>
  </w:num>
  <w:num w:numId="3" w16cid:durableId="933440632">
    <w:abstractNumId w:val="2"/>
  </w:num>
  <w:num w:numId="4" w16cid:durableId="293489972">
    <w:abstractNumId w:val="1"/>
  </w:num>
  <w:num w:numId="5" w16cid:durableId="1573850679">
    <w:abstractNumId w:val="5"/>
  </w:num>
  <w:num w:numId="6" w16cid:durableId="431702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80"/>
    <w:rsid w:val="000115E8"/>
    <w:rsid w:val="000303AC"/>
    <w:rsid w:val="006622F6"/>
    <w:rsid w:val="00A33BB8"/>
    <w:rsid w:val="00A92B80"/>
    <w:rsid w:val="00B2714D"/>
    <w:rsid w:val="00D71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5DAF"/>
  <w15:docId w15:val="{A49930BB-8728-4F90-AB88-E9BF86F5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1106</ap:Words>
  <ap:Characters>6087</ap:Characters>
  <ap:DocSecurity>0</ap:DocSecurity>
  <ap:Lines>50</ap:Lines>
  <ap:Paragraphs>14</ap:Paragraphs>
  <ap:ScaleCrop>false</ap:ScaleCrop>
  <ap:LinksUpToDate>false</ap:LinksUpToDate>
  <ap:CharactersWithSpaces>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2025-07-08T13:48:00.0000000Z</lastPrinted>
  <dcterms:created xsi:type="dcterms:W3CDTF">2025-07-08T13:48:00.0000000Z</dcterms:created>
  <dcterms:modified xsi:type="dcterms:W3CDTF">2025-07-08T13:48:00.0000000Z</dcterms:modified>
  <dc:description>------------------------</dc:description>
  <dc:subject/>
  <dc:title/>
  <keywords/>
  <version/>
  <category/>
</coreProperties>
</file>