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E6DEF" w:rsidR="00BB148F" w:rsidP="003C4855" w:rsidRDefault="00BB148F" w14:paraId="53A41986" w14:textId="1874E6AB">
      <w:pPr>
        <w:tabs>
          <w:tab w:val="left" w:pos="1140"/>
        </w:tabs>
      </w:pPr>
      <w:r>
        <w:t>Geachte Voorzitter,</w:t>
      </w:r>
    </w:p>
    <w:p w:rsidRPr="00FE6DEF" w:rsidR="00BB148F" w:rsidP="00BB148F" w:rsidRDefault="00BB148F" w14:paraId="59740AF0" w14:textId="77777777"/>
    <w:p w:rsidRPr="00FE6DEF" w:rsidR="00BB148F" w:rsidP="00BB148F" w:rsidRDefault="00BB148F" w14:paraId="53D48130" w14:textId="3675885B">
      <w:r w:rsidRPr="00FE6DEF">
        <w:t xml:space="preserve">Met de maatwerkaanpak verduurzaming industrie wil het kabinet de grootste industriële uitstoters die ambitieuze plannen hebben, faciliteren om te verduurzamen in Nederland. </w:t>
      </w:r>
      <w:r w:rsidR="005E2CC3">
        <w:t xml:space="preserve">In dat kader informeren de minister van Klimaat en Groene Groei en de staatssecretaris van Infrastructuur en Waterstaat u, conform het gefaseerde proces van de matwerkafspraak, over </w:t>
      </w:r>
      <w:r w:rsidRPr="00FE6DEF">
        <w:t>de Joint Letter of Intent (JLoI) die op 8 juli jl. met AnQore en de Provincie Limburg is getekend</w:t>
      </w:r>
      <w:r>
        <w:t>.</w:t>
      </w:r>
      <w:r w:rsidRPr="00FE6DEF">
        <w:rPr>
          <w:vertAlign w:val="superscript"/>
        </w:rPr>
        <w:footnoteReference w:id="1"/>
      </w:r>
      <w:r w:rsidRPr="00FE6DEF">
        <w:t xml:space="preserve"> Een JLoI is voor alle betrokken partijen een belangrijke tussenstap op weg naar een bindende maatwerkafspraak.</w:t>
      </w:r>
    </w:p>
    <w:p w:rsidRPr="00FE6DEF" w:rsidR="00BB148F" w:rsidP="00BB148F" w:rsidRDefault="00BB148F" w14:paraId="1A6CECC6" w14:textId="77777777"/>
    <w:p w:rsidRPr="00FE6DEF" w:rsidR="00BB148F" w:rsidP="00BB148F" w:rsidRDefault="00BB148F" w14:paraId="5FC435B4" w14:textId="2C30903D">
      <w:r w:rsidRPr="00FE6DEF">
        <w:t>U treft de JLoI bijgevoegd bij deze brief. Dit is de derde JLoI die is gesloten met een maatwerkbedrijf, na Nobian</w:t>
      </w:r>
      <w:r w:rsidRPr="00FE6DEF">
        <w:rPr>
          <w:vertAlign w:val="superscript"/>
        </w:rPr>
        <w:footnoteReference w:id="2"/>
      </w:r>
      <w:r w:rsidRPr="00FE6DEF">
        <w:t xml:space="preserve"> en Cosun</w:t>
      </w:r>
      <w:r w:rsidRPr="00FE6DEF">
        <w:rPr>
          <w:vertAlign w:val="superscript"/>
        </w:rPr>
        <w:footnoteReference w:id="3"/>
      </w:r>
      <w:r w:rsidRPr="00FE6DEF">
        <w:t>. Deze bedrijven hebben in hun JLoI ook bevestigd</w:t>
      </w:r>
      <w:r w:rsidR="003F210B">
        <w:t xml:space="preserve"> </w:t>
      </w:r>
      <w:r>
        <w:t>versneld toe te werken naar verduurzaming van hun productie</w:t>
      </w:r>
      <w:r w:rsidR="001C5B3F">
        <w:t>-</w:t>
      </w:r>
      <w:r>
        <w:t xml:space="preserve">processen. </w:t>
      </w:r>
      <w:r w:rsidR="001C5B3F">
        <w:t>Met deze mogelijke financiële ondersteuning vanuit maatwerk,</w:t>
      </w:r>
      <w:r>
        <w:t xml:space="preserve"> geeft </w:t>
      </w:r>
      <w:r w:rsidR="001C5B3F">
        <w:t xml:space="preserve">het kabinet </w:t>
      </w:r>
      <w:r>
        <w:t xml:space="preserve">uitvoering aan de motie </w:t>
      </w:r>
      <w:r w:rsidR="001C5B3F">
        <w:t xml:space="preserve">van het lid </w:t>
      </w:r>
      <w:r w:rsidRPr="00FE6DEF">
        <w:t>Thijssen</w:t>
      </w:r>
      <w:r w:rsidRPr="00FE6DEF">
        <w:rPr>
          <w:vertAlign w:val="superscript"/>
        </w:rPr>
        <w:footnoteReference w:id="4"/>
      </w:r>
      <w:r w:rsidR="003F210B">
        <w:t xml:space="preserve"> die oproept </w:t>
      </w:r>
      <w:r w:rsidR="001C5B3F">
        <w:t>maatwerk-bedrijven</w:t>
      </w:r>
      <w:r w:rsidR="00365812">
        <w:t xml:space="preserve"> die een Klimaatplan hebben in lijn met het Parijsakkoord </w:t>
      </w:r>
      <w:r w:rsidR="007F0015">
        <w:t>(</w:t>
      </w:r>
      <w:r w:rsidR="00365812">
        <w:t>indien nodig</w:t>
      </w:r>
      <w:r w:rsidR="007F0015">
        <w:t>)</w:t>
      </w:r>
      <w:r w:rsidR="00365812">
        <w:t xml:space="preserve"> financieel</w:t>
      </w:r>
      <w:r w:rsidR="001C5B3F">
        <w:t xml:space="preserve"> tegemoet te komen</w:t>
      </w:r>
      <w:r w:rsidR="00365812">
        <w:t>.</w:t>
      </w:r>
      <w:r w:rsidR="001C5B3F">
        <w:t xml:space="preserve"> </w:t>
      </w:r>
    </w:p>
    <w:p w:rsidRPr="00FE6DEF" w:rsidR="00BB148F" w:rsidP="00BB148F" w:rsidRDefault="00BB148F" w14:paraId="054D2910" w14:textId="77777777"/>
    <w:p w:rsidRPr="00FE6DEF" w:rsidR="00BB148F" w:rsidP="00BB148F" w:rsidRDefault="00BB148F" w14:paraId="7C2D0926" w14:textId="6771578E">
      <w:r w:rsidRPr="00FE6DEF">
        <w:rPr>
          <w:i/>
          <w:iCs/>
        </w:rPr>
        <w:t xml:space="preserve">Ambitie JLoI </w:t>
      </w:r>
      <w:r w:rsidRPr="00FE6DEF">
        <w:br/>
        <w:t>Het maatwerktraject met AnQore op Chemelot is gericht op één verduurzamingsproject</w:t>
      </w:r>
      <w:r>
        <w:t>. Het gaat om</w:t>
      </w:r>
      <w:r w:rsidRPr="00FE6DEF">
        <w:t xml:space="preserve"> de bouw van een nieuwe Thermal Oxidizer (TO). Deze nieuwe ketel </w:t>
      </w:r>
      <w:r>
        <w:t xml:space="preserve">zal </w:t>
      </w:r>
      <w:r w:rsidRPr="00FE6DEF">
        <w:t xml:space="preserve">de lachgasemissie van AnQore grotendeels reduceren. Hierdoor kan AnQore haar jaarlijkse emissie per 2029 met 68% (minimaal 365 kton </w:t>
      </w:r>
      <w:r w:rsidRPr="003C4855" w:rsidR="003C4855">
        <w:rPr>
          <w:rFonts w:cs="Arial"/>
          <w:color w:val="202122"/>
          <w:shd w:val="clear" w:color="auto" w:fill="FFFFFF"/>
        </w:rPr>
        <w:t>CO</w:t>
      </w:r>
      <w:r w:rsidRPr="003C4855" w:rsidR="003C4855">
        <w:rPr>
          <w:rFonts w:cs="Arial"/>
          <w:color w:val="202122"/>
          <w:shd w:val="clear" w:color="auto" w:fill="FFFFFF"/>
          <w:vertAlign w:val="subscript"/>
        </w:rPr>
        <w:t>2</w:t>
      </w:r>
      <w:r w:rsidR="003C4855">
        <w:rPr>
          <w:rFonts w:ascii="Arial" w:hAnsi="Arial" w:cs="Arial"/>
          <w:color w:val="202122"/>
          <w:shd w:val="clear" w:color="auto" w:fill="FFFFFF"/>
          <w:vertAlign w:val="subscript"/>
        </w:rPr>
        <w:t xml:space="preserve"> </w:t>
      </w:r>
      <w:r w:rsidRPr="00FE6DEF">
        <w:t>eq.) reduceren ten opzichte van het jaar 2020. Daarnaast levert het project positieve bijdragen op het gebied van de leefomgeving</w:t>
      </w:r>
      <w:r>
        <w:t>.</w:t>
      </w:r>
      <w:r w:rsidRPr="00FE6DEF">
        <w:t xml:space="preserve"> </w:t>
      </w:r>
      <w:r>
        <w:t>Zo wordt de emissie van stikstof (NOx) gereduceerd met minimaal</w:t>
      </w:r>
      <w:r w:rsidRPr="00FE6DEF">
        <w:t xml:space="preserve"> 50% (100 ton) in 2030 ten opzichte van 2020</w:t>
      </w:r>
      <w:r>
        <w:t xml:space="preserve">. Ook worden </w:t>
      </w:r>
      <w:r w:rsidRPr="00FE6DEF">
        <w:t>Zeer Zorgwekkende Stoffen (ZZS)</w:t>
      </w:r>
      <w:r>
        <w:t xml:space="preserve"> extra gereduceerd</w:t>
      </w:r>
      <w:r w:rsidRPr="00FE6DEF">
        <w:t xml:space="preserve">, </w:t>
      </w:r>
      <w:r>
        <w:t xml:space="preserve">is er </w:t>
      </w:r>
      <w:r w:rsidRPr="00FE6DEF">
        <w:t>17% (100.000 m³ per jaar) verminderd zoetwatergebruik en 25% (4 mln m³) minder gasverbruik.</w:t>
      </w:r>
      <w:r w:rsidR="00BE0C00">
        <w:t xml:space="preserve"> De realisatie van het project is dus een belangrijke investering in de kwaliteit van de leefomgeving en </w:t>
      </w:r>
      <w:r w:rsidR="00450D91">
        <w:t>g</w:t>
      </w:r>
      <w:r w:rsidR="00BE0C00">
        <w:t xml:space="preserve">ezondheid van </w:t>
      </w:r>
      <w:r w:rsidR="00BE0C00">
        <w:lastRenderedPageBreak/>
        <w:t>omwonenden rondom Chemelot</w:t>
      </w:r>
      <w:r w:rsidR="00450D91">
        <w:t>, wat bij hen een zorgpunt is</w:t>
      </w:r>
      <w:r w:rsidR="00BE0C00">
        <w:t>.</w:t>
      </w:r>
      <w:r w:rsidRPr="00FE6DEF">
        <w:t xml:space="preserve"> Tot slot draagt het project bij aan de versterking van het sterk geïntegreerde cluster Chemelot, waar AnQore één van de grotere spelers is.</w:t>
      </w:r>
    </w:p>
    <w:p w:rsidRPr="00FE6DEF" w:rsidR="00BB148F" w:rsidP="00BB148F" w:rsidRDefault="00BB148F" w14:paraId="66C4FBCD" w14:textId="77777777"/>
    <w:p w:rsidR="00BB148F" w:rsidP="00BB148F" w:rsidRDefault="00BB148F" w14:paraId="2DFCD133" w14:textId="3A1F8D83">
      <w:r>
        <w:t xml:space="preserve">Met ondersteuning vanuit de maatwerkaanpak kan dit project met 11 jaar worden versneld, van 2040 naar 2029. Afgezet tegen het reductiepad van de Nederlandse </w:t>
      </w:r>
      <w:r w:rsidR="003C4855">
        <w:rPr>
          <w:rFonts w:ascii="Arial" w:hAnsi="Arial" w:cs="Arial"/>
          <w:color w:val="202122"/>
          <w:shd w:val="clear" w:color="auto" w:fill="FFFFFF"/>
        </w:rPr>
        <w:t>CO</w:t>
      </w:r>
      <w:r w:rsidR="003C4855">
        <w:rPr>
          <w:rFonts w:ascii="Arial" w:hAnsi="Arial" w:cs="Arial"/>
          <w:color w:val="202122"/>
          <w:shd w:val="clear" w:color="auto" w:fill="FFFFFF"/>
          <w:vertAlign w:val="subscript"/>
        </w:rPr>
        <w:t>2</w:t>
      </w:r>
      <w:r>
        <w:t>-heffing in 2030, levert dit project met 365 kton</w:t>
      </w:r>
      <w:r w:rsidRPr="003C4855" w:rsidR="003C4855">
        <w:rPr>
          <w:rFonts w:ascii="Arial" w:hAnsi="Arial" w:cs="Arial"/>
          <w:color w:val="202122"/>
          <w:shd w:val="clear" w:color="auto" w:fill="FFFFFF"/>
        </w:rPr>
        <w:t xml:space="preserve"> </w:t>
      </w:r>
      <w:r w:rsidR="003C4855">
        <w:rPr>
          <w:rFonts w:ascii="Arial" w:hAnsi="Arial" w:cs="Arial"/>
          <w:color w:val="202122"/>
          <w:shd w:val="clear" w:color="auto" w:fill="FFFFFF"/>
        </w:rPr>
        <w:t>CO</w:t>
      </w:r>
      <w:r w:rsidR="003C4855">
        <w:rPr>
          <w:rFonts w:ascii="Arial" w:hAnsi="Arial" w:cs="Arial"/>
          <w:color w:val="202122"/>
          <w:shd w:val="clear" w:color="auto" w:fill="FFFFFF"/>
          <w:vertAlign w:val="subscript"/>
        </w:rPr>
        <w:t>2</w:t>
      </w:r>
      <w:r>
        <w:t xml:space="preserve"> eq. reductie een additionele reductie van 101 kton per 2029.</w:t>
      </w:r>
      <w:r w:rsidR="003C4855">
        <w:t xml:space="preserve"> </w:t>
      </w:r>
    </w:p>
    <w:p w:rsidR="00BE0C00" w:rsidP="00BB148F" w:rsidRDefault="00BE0C00" w14:paraId="013DF7BF" w14:textId="77777777"/>
    <w:p w:rsidRPr="00FE6DEF" w:rsidR="00BE0C00" w:rsidP="00BB148F" w:rsidRDefault="00BE0C00" w14:paraId="25C114AB" w14:textId="7E016691">
      <w:r>
        <w:t>Dit project is dus positief voor zowel het klimaat, omwonenden als de industrie.</w:t>
      </w:r>
    </w:p>
    <w:p w:rsidRPr="00FE6DEF" w:rsidR="00BB148F" w:rsidP="00BB148F" w:rsidRDefault="00BB148F" w14:paraId="56F25051" w14:textId="77777777"/>
    <w:p w:rsidRPr="00FE6DEF" w:rsidR="00BB148F" w:rsidP="00BB148F" w:rsidRDefault="00BB148F" w14:paraId="29001582" w14:textId="77777777">
      <w:r w:rsidRPr="00FE6DEF">
        <w:rPr>
          <w:i/>
          <w:iCs/>
        </w:rPr>
        <w:t>Planning en inspanningen van partijen</w:t>
      </w:r>
      <w:r w:rsidRPr="00FE6DEF">
        <w:br/>
        <w:t xml:space="preserve">Met de ondertekening van de JLoI gaan het Rijk, AnQore en de Provincie Limburg inspanningen aan om bovengenoemde ambities uit te werken tot een bindende maatwerkafspraak in september 2025. </w:t>
      </w:r>
    </w:p>
    <w:p w:rsidRPr="00FE6DEF" w:rsidR="00BB148F" w:rsidP="00BB148F" w:rsidRDefault="00BB148F" w14:paraId="0345ED27" w14:textId="77777777"/>
    <w:p w:rsidRPr="00FE6DEF" w:rsidR="00BB148F" w:rsidP="00BB148F" w:rsidRDefault="00BB148F" w14:paraId="2CA7AB3D" w14:textId="32C676DE">
      <w:r w:rsidRPr="00FE6DEF">
        <w:t xml:space="preserve">De inspanningen van AnQore betreffen onder andere het verder uitvoering geven aan het project, de financiering rondkrijgen van het project met een totaal investeringsbedrag van 122 mln </w:t>
      </w:r>
      <w:r w:rsidR="003F210B">
        <w:t>e</w:t>
      </w:r>
      <w:r w:rsidRPr="00FE6DEF">
        <w:t xml:space="preserve">uro en het aanvragen van de benodigde vergunningen. </w:t>
      </w:r>
    </w:p>
    <w:p w:rsidRPr="00FE6DEF" w:rsidR="00BB148F" w:rsidP="00BB148F" w:rsidRDefault="00BB148F" w14:paraId="3761143C" w14:textId="77777777"/>
    <w:p w:rsidRPr="00FE6DEF" w:rsidR="00BB148F" w:rsidP="00BB148F" w:rsidRDefault="00BB148F" w14:paraId="225220CF" w14:textId="70B96376">
      <w:r w:rsidRPr="00FE6DEF">
        <w:t>De Staat zal zich inspannen om de lachgasemissie bij productie van acrylonitril – waaronder die van AnQore – onder</w:t>
      </w:r>
      <w:r w:rsidR="003F210B">
        <w:t xml:space="preserve"> het</w:t>
      </w:r>
      <w:r w:rsidRPr="00FE6DEF">
        <w:t xml:space="preserve"> EU-ETS te brengen</w:t>
      </w:r>
      <w:r>
        <w:t>. Daarnaast spant de Staat zich in om</w:t>
      </w:r>
      <w:r w:rsidRPr="00FE6DEF">
        <w:t xml:space="preserve"> financiële steun voor de onrendabele top (maximaal 46 mln </w:t>
      </w:r>
      <w:r w:rsidR="003F210B">
        <w:t>e</w:t>
      </w:r>
      <w:r w:rsidRPr="00FE6DEF">
        <w:t xml:space="preserve">uro) mogelijk te maken en – binnen haar bevoegdheden – </w:t>
      </w:r>
      <w:r>
        <w:t>bij te dragen</w:t>
      </w:r>
      <w:r w:rsidRPr="00FE6DEF">
        <w:t xml:space="preserve"> aan een zo soepel mogelijk vergunningstraject. Voor de tijdige toekenning van de benodigde middelen worden bij Miljoenennota middelen overgeheveld uit het Klimaatfonds ten behoeve van AnQore</w:t>
      </w:r>
      <w:r>
        <w:t>. Mocht blijken dat</w:t>
      </w:r>
      <w:r w:rsidRPr="00FE6DEF">
        <w:t xml:space="preserve"> de middelen eerder nodig zijn, </w:t>
      </w:r>
      <w:r>
        <w:t xml:space="preserve">dan </w:t>
      </w:r>
      <w:r w:rsidRPr="00FE6DEF">
        <w:t xml:space="preserve">zullen deze worden opgevraagd met een Incidentele Supplementaire Begroting (ISB). </w:t>
      </w:r>
    </w:p>
    <w:p w:rsidRPr="00FE6DEF" w:rsidR="00BB148F" w:rsidP="00BB148F" w:rsidRDefault="00BB148F" w14:paraId="43C164F7" w14:textId="77777777"/>
    <w:p w:rsidRPr="00FE6DEF" w:rsidR="00BB148F" w:rsidP="00BB148F" w:rsidRDefault="00BB148F" w14:paraId="6D4B214F" w14:textId="7453AA7C">
      <w:pPr>
        <w:rPr>
          <w:i/>
          <w:iCs/>
        </w:rPr>
      </w:pPr>
      <w:r w:rsidRPr="00FE6DEF">
        <w:t>Tot slot spant de Provincie Limburg zich in voor een tijdige afronding van de vergunningstrajecten en onderzoekt</w:t>
      </w:r>
      <w:r>
        <w:t xml:space="preserve"> zij</w:t>
      </w:r>
      <w:r w:rsidRPr="00FE6DEF">
        <w:t xml:space="preserve"> een mogelijke rol in de financiering. </w:t>
      </w:r>
      <w:r w:rsidRPr="00FE6DEF">
        <w:br/>
      </w:r>
      <w:r w:rsidRPr="00FE6DEF">
        <w:br/>
      </w:r>
      <w:r w:rsidRPr="00FE6DEF">
        <w:rPr>
          <w:i/>
          <w:iCs/>
        </w:rPr>
        <w:t>Adviescommissie Maatwerkafspraken Verduurzaming Industrie</w:t>
      </w:r>
      <w:r w:rsidRPr="00FE6DEF">
        <w:t xml:space="preserve"> </w:t>
      </w:r>
      <w:r w:rsidRPr="00FE6DEF">
        <w:br/>
        <w:t>Om de kwaliteit van de voorgenomen maatwerkafspraken te borgen, is de onafhankelijke adviescommissie maatwerkafspraken verduurzaming industrie (AMVI) ingesteld</w:t>
      </w:r>
      <w:r w:rsidRPr="00FE6DEF">
        <w:rPr>
          <w:vertAlign w:val="superscript"/>
        </w:rPr>
        <w:footnoteReference w:id="5"/>
      </w:r>
      <w:r w:rsidRPr="00FE6DEF">
        <w:t xml:space="preserve">. Hiermee is invulling gegeven aan de wens van de Kamer om de maatwerkafspraken te laten toetsen op onder andere haalbaarheid, doelmatigheid en ambitieniveau. De AMVI adviseert over een concept JLoI. Dit is het moment dat de beoogde maatwerkaanpak voldoende gedetailleerd is uitgewerkt, maar er tegelijkertijd nog ruimte is om de overwegingen van de AMVI mee te nemen in de uitwerking van de definitieve JLoI en/of bindende maatwerkafspraak. </w:t>
      </w:r>
      <w:r w:rsidRPr="00FE6DEF">
        <w:br/>
      </w:r>
      <w:r w:rsidRPr="00FE6DEF">
        <w:lastRenderedPageBreak/>
        <w:br/>
        <w:t xml:space="preserve">Op 8 mei jl. is de concept JLoI met AnQore voorgelegd aan de AMVI. De AMVI heeft ten behoeve van de advisering relevante achtergronddocumentatie ontvangen, zoals de vertrouwelijke business case. De AMVI is bij AnQore op werkbezoek geweest en heeft vervolgens meerdere gesprekken gevoerd met </w:t>
      </w:r>
      <w:r w:rsidR="007F0015">
        <w:t xml:space="preserve">de </w:t>
      </w:r>
      <w:r w:rsidRPr="00FE6DEF">
        <w:t>team</w:t>
      </w:r>
      <w:r w:rsidR="007F0015">
        <w:t>s</w:t>
      </w:r>
      <w:r w:rsidRPr="00FE6DEF">
        <w:t xml:space="preserve"> van AnQore</w:t>
      </w:r>
      <w:r w:rsidR="007F0015">
        <w:t>, d</w:t>
      </w:r>
      <w:r w:rsidRPr="00FE6DEF">
        <w:t xml:space="preserve">e </w:t>
      </w:r>
      <w:r w:rsidR="007F0015">
        <w:t>Rijks</w:t>
      </w:r>
      <w:r w:rsidRPr="00FE6DEF">
        <w:t>overheid</w:t>
      </w:r>
      <w:r w:rsidR="007F0015">
        <w:t xml:space="preserve"> en de Provincie</w:t>
      </w:r>
      <w:r w:rsidRPr="00FE6DEF">
        <w:t>. Op 23 juni jl. heeft de AMVI haar advies aangeboden, welke als bijlage bij deze brief is gevoegd.</w:t>
      </w:r>
      <w:r w:rsidR="003C4855">
        <w:t xml:space="preserve"> </w:t>
      </w:r>
      <w:r w:rsidRPr="00FE6DEF">
        <w:br/>
      </w:r>
      <w:r w:rsidRPr="00FE6DEF">
        <w:br/>
      </w:r>
      <w:r w:rsidRPr="00FE6DEF">
        <w:rPr>
          <w:i/>
          <w:iCs/>
        </w:rPr>
        <w:t>Het</w:t>
      </w:r>
      <w:r w:rsidRPr="00FE6DEF">
        <w:t xml:space="preserve"> </w:t>
      </w:r>
      <w:r w:rsidRPr="00FE6DEF">
        <w:rPr>
          <w:i/>
          <w:iCs/>
        </w:rPr>
        <w:t>advies</w:t>
      </w:r>
      <w:r w:rsidRPr="00FE6DEF">
        <w:t xml:space="preserve"> </w:t>
      </w:r>
      <w:r w:rsidRPr="00FE6DEF">
        <w:rPr>
          <w:i/>
          <w:iCs/>
        </w:rPr>
        <w:t>van</w:t>
      </w:r>
      <w:r w:rsidRPr="00FE6DEF">
        <w:t xml:space="preserve"> </w:t>
      </w:r>
      <w:r w:rsidRPr="00FE6DEF">
        <w:rPr>
          <w:i/>
          <w:iCs/>
        </w:rPr>
        <w:t>de</w:t>
      </w:r>
      <w:r w:rsidRPr="00FE6DEF">
        <w:t xml:space="preserve"> </w:t>
      </w:r>
      <w:r w:rsidRPr="00FE6DEF">
        <w:rPr>
          <w:i/>
          <w:iCs/>
        </w:rPr>
        <w:t>AMVI</w:t>
      </w:r>
    </w:p>
    <w:p w:rsidRPr="00FE6DEF" w:rsidR="00BB148F" w:rsidP="00BB148F" w:rsidRDefault="00BB148F" w14:paraId="7649BBC6" w14:textId="5F30FC86">
      <w:r w:rsidRPr="00FE6DEF">
        <w:t>De AMVI adviseert positief over de JLoI en hoopt met haar advies bij te dragen aan het tot stand komen van een definitieve afspraak met AnQore. De AMVI geeft in haar advies een positief oordeel over de haalbaarheid en de doelmatigheid. De AMVI onderschrijft het belang van AnQore voor de Nederlandse industrie</w:t>
      </w:r>
      <w:r>
        <w:t>. Zij</w:t>
      </w:r>
      <w:r w:rsidRPr="00FE6DEF">
        <w:t xml:space="preserve"> stelt vast dat de beoogde bijdrage aan het reduceren van uitstoot van </w:t>
      </w:r>
      <w:r w:rsidR="003C4855">
        <w:rPr>
          <w:rFonts w:ascii="Arial" w:hAnsi="Arial" w:cs="Arial"/>
          <w:color w:val="202122"/>
          <w:shd w:val="clear" w:color="auto" w:fill="FFFFFF"/>
        </w:rPr>
        <w:t>CO</w:t>
      </w:r>
      <w:r w:rsidR="003C4855">
        <w:rPr>
          <w:rFonts w:ascii="Arial" w:hAnsi="Arial" w:cs="Arial"/>
          <w:color w:val="202122"/>
          <w:shd w:val="clear" w:color="auto" w:fill="FFFFFF"/>
          <w:vertAlign w:val="subscript"/>
        </w:rPr>
        <w:t xml:space="preserve">2 </w:t>
      </w:r>
      <w:r w:rsidRPr="00FE6DEF">
        <w:t xml:space="preserve">en stikstof en vermindering van gebruik van aardgas significant zijn. De AMVI geeft </w:t>
      </w:r>
      <w:r>
        <w:t xml:space="preserve">richting de bindende maatwerkafspraak </w:t>
      </w:r>
      <w:r w:rsidRPr="00FE6DEF">
        <w:t>een</w:t>
      </w:r>
      <w:r w:rsidR="003C1595">
        <w:t xml:space="preserve"> voorwaarde</w:t>
      </w:r>
      <w:r w:rsidRPr="00FE6DEF">
        <w:t>, twee adviezen en een overweging mee:</w:t>
      </w:r>
    </w:p>
    <w:p w:rsidRPr="00FE6DEF" w:rsidR="00BB148F" w:rsidP="00BB148F" w:rsidRDefault="00BB148F" w14:paraId="05B58050" w14:textId="77777777"/>
    <w:p w:rsidRPr="00FE6DEF" w:rsidR="00BB148F" w:rsidP="00BB148F" w:rsidRDefault="00BB148F" w14:paraId="1F082766" w14:textId="134801CD">
      <w:pPr>
        <w:numPr>
          <w:ilvl w:val="0"/>
          <w:numId w:val="17"/>
        </w:numPr>
      </w:pPr>
      <w:r>
        <w:t xml:space="preserve">De AMVI stelt als voorwaarde dat de Europese Commissie goedkeuring aan Nederland moet geven om de lachgasemissie bij productie van acrylonitril, waarvan AnQore in Nederland de enige producent is, onder EU-ETS te brengen. Hierdoor kan AnQore een deel van deze verduurzamingsinvestering terugverdienen via de verkoop van vrije EU-ETS rechten. Naast de financiële steun van de Staat, zijn deze opbrengsten uit EU-ETS noodzakelijk om de business case sluitend te krijgen. Daarom zijn partijen het met de AMVI eens dat dit een </w:t>
      </w:r>
      <w:r w:rsidR="00405378">
        <w:t xml:space="preserve">essentiële </w:t>
      </w:r>
      <w:r>
        <w:t>voorwaarde is voor AnQore om een positief investeringsbesluit te nemen. Op basis van gesprekken met de Europese Commissie verwacht de Staat in september duidelijkheid te krijgen over EU-ETS.</w:t>
      </w:r>
      <w:r w:rsidR="003C4855">
        <w:t xml:space="preserve"> </w:t>
      </w:r>
    </w:p>
    <w:p w:rsidRPr="00FE6DEF" w:rsidR="00BB148F" w:rsidP="00BB148F" w:rsidRDefault="00BB148F" w14:paraId="16DC3F96" w14:textId="77777777">
      <w:pPr>
        <w:ind w:left="360"/>
      </w:pPr>
    </w:p>
    <w:p w:rsidRPr="00FE6DEF" w:rsidR="00BB148F" w:rsidP="00BB148F" w:rsidRDefault="00BB148F" w14:paraId="1A801491" w14:textId="75FC9102">
      <w:pPr>
        <w:numPr>
          <w:ilvl w:val="0"/>
          <w:numId w:val="17"/>
        </w:numPr>
      </w:pPr>
      <w:r w:rsidRPr="00FE6DEF">
        <w:t xml:space="preserve">Begin april </w:t>
      </w:r>
      <w:r w:rsidR="00EE528F">
        <w:t>20</w:t>
      </w:r>
      <w:r w:rsidRPr="00FE6DEF">
        <w:t xml:space="preserve">25 is door de Europese Commissie besloten dat lachgas, </w:t>
      </w:r>
      <w:r w:rsidR="00405378">
        <w:t xml:space="preserve">naast de status van </w:t>
      </w:r>
      <w:r w:rsidRPr="00FE6DEF">
        <w:t>broeikasgas (</w:t>
      </w:r>
      <w:r w:rsidR="003C4855">
        <w:rPr>
          <w:rFonts w:ascii="Arial" w:hAnsi="Arial" w:cs="Arial"/>
          <w:color w:val="202122"/>
          <w:shd w:val="clear" w:color="auto" w:fill="FFFFFF"/>
        </w:rPr>
        <w:t>CO</w:t>
      </w:r>
      <w:r w:rsidR="003C4855">
        <w:rPr>
          <w:rFonts w:ascii="Arial" w:hAnsi="Arial" w:cs="Arial"/>
          <w:color w:val="202122"/>
          <w:shd w:val="clear" w:color="auto" w:fill="FFFFFF"/>
          <w:vertAlign w:val="subscript"/>
        </w:rPr>
        <w:t xml:space="preserve">2 </w:t>
      </w:r>
      <w:r w:rsidRPr="00FE6DEF">
        <w:t>eq.), ook de status van ZZS krijgt</w:t>
      </w:r>
      <w:r w:rsidRPr="00FE6DEF">
        <w:rPr>
          <w:vertAlign w:val="superscript"/>
        </w:rPr>
        <w:footnoteReference w:id="6"/>
      </w:r>
      <w:r w:rsidRPr="00FE6DEF">
        <w:t xml:space="preserve">. Dit betekent dat er in de toekomst mogelijk maximale grenzen komen voor emissie en immissie en voor het lachgas een ZZS-minimalisatieplicht gaat gelden. De AMVI concludeert, net als het stelselverantwoordelijke ministerie van IenW en de Provincie Limburg als bevoegd gezag, dat maatwerk tot een eerder investeringsbesluit en dus versnelde reductie zal leiden. </w:t>
      </w:r>
      <w:r>
        <w:t>Daarnaast adviseert d</w:t>
      </w:r>
      <w:r w:rsidRPr="00FE6DEF">
        <w:t xml:space="preserve">e AMVI om richting een bindende maatwerkafspraak een inschatting te maken van de impact van de aanstaande </w:t>
      </w:r>
      <w:r>
        <w:t>ZZS-</w:t>
      </w:r>
      <w:r w:rsidRPr="00FE6DEF">
        <w:t>classificatie van lachgas als ZZS en mogelijke gevolgen voor de financiële steun vanuit de Staat voor dit project</w:t>
      </w:r>
      <w:r>
        <w:t xml:space="preserve">. </w:t>
      </w:r>
      <w:r w:rsidRPr="00FE6DEF">
        <w:t xml:space="preserve">Dit advies neemt het </w:t>
      </w:r>
      <w:r w:rsidR="00DE1E04">
        <w:t>k</w:t>
      </w:r>
      <w:r w:rsidRPr="00FE6DEF">
        <w:t>abinet over</w:t>
      </w:r>
      <w:r>
        <w:t>. Dat betekent dat</w:t>
      </w:r>
      <w:r w:rsidRPr="00FE6DEF">
        <w:t xml:space="preserve"> in de verdere uitwerking samen met de relevante betrokken partijen </w:t>
      </w:r>
      <w:r>
        <w:t>een</w:t>
      </w:r>
      <w:r w:rsidRPr="00FE6DEF">
        <w:t xml:space="preserve"> inschatting zal worden gemaakt. Hiervoor is reeds een traject gestart. Deze ZZS-classificatie maakt de versnelde reductie van AnQore's lachgas via </w:t>
      </w:r>
      <w:r w:rsidRPr="00FE6DEF">
        <w:lastRenderedPageBreak/>
        <w:t xml:space="preserve">maatwerk niet alleen van belang vanuit het perspectief van versnelde reductie van broeikasgassen, maar ook vanuit het perspectief van </w:t>
      </w:r>
      <w:r>
        <w:t>de leefomgeving</w:t>
      </w:r>
      <w:r w:rsidRPr="00FE6DEF">
        <w:t>.</w:t>
      </w:r>
      <w:r w:rsidR="003C4855">
        <w:t xml:space="preserve"> </w:t>
      </w:r>
    </w:p>
    <w:p w:rsidRPr="00FE6DEF" w:rsidR="00BB148F" w:rsidP="00BB148F" w:rsidRDefault="00BB148F" w14:paraId="3EA1C58F" w14:textId="77777777">
      <w:pPr>
        <w:ind w:left="360"/>
      </w:pPr>
    </w:p>
    <w:p w:rsidRPr="00FE6DEF" w:rsidR="00BB148F" w:rsidP="00BB148F" w:rsidRDefault="00BB148F" w14:paraId="5F24D258" w14:textId="30B95BDE">
      <w:pPr>
        <w:numPr>
          <w:ilvl w:val="0"/>
          <w:numId w:val="17"/>
        </w:numPr>
      </w:pPr>
      <w:r>
        <w:t xml:space="preserve">De AMVI adviseert, </w:t>
      </w:r>
      <w:r w:rsidR="00405378">
        <w:t xml:space="preserve">mede </w:t>
      </w:r>
      <w:r>
        <w:t xml:space="preserve">gezien de financiële positie van AnQore, om bij een eventuele subsidie de financiële risico's van de Staat als gevolg hiervan voldoende te mitigeren. In de gesprekken met AnQore over de JLoI is vanuit de Staat aangegeven dat bij een eventuele bindende maatwerkafspraak financiële zekerheden voor de Staat nodig zijn in de verschillende fases van het project. </w:t>
      </w:r>
      <w:r w:rsidR="00C3239E">
        <w:t xml:space="preserve">Aanvullend is, na het advies van de AMVI, met de aandeelhouders van AnQore afgesproken om in het vervolgtraject in gesprek te gaan over hun mogelijke rol bij het bieden van financiële zekerheden aan de Staat. Voldoende financiële zekerheden blijft voor de Staat een voorwaarde voor een eventuele maatwerksubsidie. </w:t>
      </w:r>
      <w:r>
        <w:t>Dit punt zal verder worden uitgewerkt richting een bindende maatwerkafspraak.</w:t>
      </w:r>
      <w:r w:rsidR="003C4855">
        <w:t xml:space="preserve"> </w:t>
      </w:r>
    </w:p>
    <w:p w:rsidRPr="00FE6DEF" w:rsidR="00BB148F" w:rsidP="00BB148F" w:rsidRDefault="00BB148F" w14:paraId="22A65A2E" w14:textId="77777777">
      <w:pPr>
        <w:ind w:left="360"/>
      </w:pPr>
    </w:p>
    <w:p w:rsidRPr="00FE6DEF" w:rsidR="00BB148F" w:rsidP="00BB148F" w:rsidRDefault="00BB148F" w14:paraId="62DE52E0" w14:textId="5181EC4A">
      <w:pPr>
        <w:numPr>
          <w:ilvl w:val="0"/>
          <w:numId w:val="17"/>
        </w:numPr>
      </w:pPr>
      <w:r w:rsidRPr="00FE6DEF">
        <w:t>Tot slot, geeft de AMVI als overweging mee om de onafhankelijk door het bedrijf AFRY vastgestelde gas-, elektriciteits- en ETS-prijzen die in het financiële model zijn gebruikt, richting een bindende maatwerkafspraak te actualiseren omdat deze afkomstig zijn uit het laatste kwartaal van 2024. Tot nu toe is een ritme gehanteerd om de prijzen jaarlijks te actualiseren. In overleg met AFRY en betrokken maatwerkbedrijven, zal bekeken worden of er reden is om hiervan af te wijken.</w:t>
      </w:r>
      <w:r w:rsidR="003C4855">
        <w:t xml:space="preserve"> </w:t>
      </w:r>
    </w:p>
    <w:p w:rsidR="00BB148F" w:rsidP="00BB148F" w:rsidRDefault="00BB148F" w14:paraId="061E561D" w14:textId="77777777">
      <w:pPr>
        <w:rPr>
          <w:i/>
          <w:iCs/>
        </w:rPr>
      </w:pPr>
    </w:p>
    <w:p w:rsidRPr="00FE6DEF" w:rsidR="00BB148F" w:rsidP="00BB148F" w:rsidRDefault="00BB148F" w14:paraId="54DA37E1" w14:textId="77777777">
      <w:r w:rsidRPr="00FE6DEF">
        <w:rPr>
          <w:i/>
          <w:iCs/>
        </w:rPr>
        <w:t xml:space="preserve">Conclusie </w:t>
      </w:r>
      <w:r w:rsidRPr="00FE6DEF">
        <w:br/>
        <w:t>De JLoI met AnQore is ambitieus en realisatie van het project</w:t>
      </w:r>
      <w:r>
        <w:t xml:space="preserve"> draagt bij aan de toekomst van het bedrijf, klimaatwinst en verbetering van de leefomgeving. </w:t>
      </w:r>
    </w:p>
    <w:p w:rsidRPr="00FE6DEF" w:rsidR="00BB148F" w:rsidP="00BB148F" w:rsidRDefault="00BB148F" w14:paraId="529E860F" w14:textId="77777777"/>
    <w:p w:rsidR="00BB148F" w:rsidP="00BB148F" w:rsidRDefault="00BB148F" w14:paraId="2689C6B1" w14:textId="0F1CDE30">
      <w:r>
        <w:t>Het ondertekenen van de JLoI</w:t>
      </w:r>
      <w:r w:rsidRPr="00FE6DEF">
        <w:t xml:space="preserve"> is een mooie tussenstap die, ondersteund door het advies van de AMVI</w:t>
      </w:r>
      <w:r>
        <w:t>,</w:t>
      </w:r>
      <w:r w:rsidRPr="00FE6DEF">
        <w:t xml:space="preserve"> laat zien dat we op de goede weg zijn. Om daadwerkelijk tot realisatie te komen, moet tegelijkertijd nog het nodige werk worden verzet. Dat is uitdagend, zeker in de huidige context waarin industriële bedrijven zoals AnQore het (financieel) minder ruim hebben. Maar met deze uitdaging zijn én gaan we de komende maanden, samen met alle betrokken partijen, hard aan de slag. </w:t>
      </w:r>
    </w:p>
    <w:p w:rsidR="00664A01" w:rsidP="00BB148F" w:rsidRDefault="00664A01" w14:paraId="1FBC7152" w14:textId="77777777"/>
    <w:p w:rsidR="00664A01" w:rsidP="00BB148F" w:rsidRDefault="00664A01" w14:paraId="533756A4" w14:textId="77777777"/>
    <w:p w:rsidR="00664A01" w:rsidP="00BB148F" w:rsidRDefault="00664A01" w14:paraId="1DC6828A" w14:textId="77777777"/>
    <w:p w:rsidRPr="00FE6DEF" w:rsidR="00664A01" w:rsidP="00BB148F" w:rsidRDefault="00664A01" w14:paraId="519E613C" w14:textId="77777777"/>
    <w:p w:rsidR="00BB148F" w:rsidP="00BB148F" w:rsidRDefault="00664A01" w14:paraId="0E983498" w14:textId="7419EC3D">
      <w:r w:rsidRPr="00FE6DEF">
        <w:t>Sophie Hermans</w:t>
      </w:r>
    </w:p>
    <w:p w:rsidRPr="00FE6DEF" w:rsidR="00BB148F" w:rsidP="00BB148F" w:rsidRDefault="00664A01" w14:paraId="4F380D29" w14:textId="4472B325">
      <w:r>
        <w:t>Minister van Klimaat en Groene Groei</w:t>
      </w:r>
    </w:p>
    <w:p w:rsidRPr="00FE6DEF" w:rsidR="00BB148F" w:rsidP="00BB148F" w:rsidRDefault="00BB148F" w14:paraId="345DC3A6" w14:textId="77777777"/>
    <w:p w:rsidR="00BB148F" w:rsidP="00BB148F" w:rsidRDefault="00BB148F" w14:paraId="0C278469" w14:textId="77777777"/>
    <w:p w:rsidR="00664A01" w:rsidP="00BB148F" w:rsidRDefault="00664A01" w14:paraId="141AEAE1" w14:textId="77777777"/>
    <w:p w:rsidR="00664A01" w:rsidP="00BB148F" w:rsidRDefault="00664A01" w14:paraId="7E47EBF0" w14:textId="77777777"/>
    <w:p w:rsidRPr="00FE6DEF" w:rsidR="00664A01" w:rsidP="00664A01" w:rsidRDefault="00664A01" w14:paraId="70C02330" w14:textId="77777777">
      <w:r w:rsidRPr="00FE6DEF">
        <w:t>A.A. (Thierry) Aartsen</w:t>
      </w:r>
    </w:p>
    <w:p w:rsidRPr="00FE6DEF" w:rsidR="00BB148F" w:rsidP="00BB148F" w:rsidRDefault="00664A01" w14:paraId="3610AB84" w14:textId="69CCC9DE">
      <w:r>
        <w:t>Staatssecretaris van Infrastructuur en Waterstaat</w:t>
      </w:r>
      <w:r w:rsidRPr="00FE6DEF" w:rsidR="00BB148F">
        <w:t xml:space="preserve"> </w:t>
      </w:r>
      <w:r>
        <w:t>–</w:t>
      </w:r>
      <w:r w:rsidRPr="00FE6DEF" w:rsidR="00BB148F">
        <w:t xml:space="preserve"> </w:t>
      </w:r>
      <w:r>
        <w:t>Openbaar Vervoer en Milieu</w:t>
      </w:r>
    </w:p>
    <w:p w:rsidRPr="00FE6DEF" w:rsidR="00664A01" w:rsidRDefault="00664A01" w14:paraId="32E56EAB" w14:textId="77777777"/>
    <w:sectPr w:rsidRPr="00FE6DEF" w:rsidR="00664A01"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81D03" w14:textId="77777777" w:rsidR="006E40C6" w:rsidRDefault="006E40C6">
      <w:r>
        <w:separator/>
      </w:r>
    </w:p>
    <w:p w14:paraId="169DEFB5" w14:textId="77777777" w:rsidR="006E40C6" w:rsidRDefault="006E40C6"/>
  </w:endnote>
  <w:endnote w:type="continuationSeparator" w:id="0">
    <w:p w14:paraId="0FE56501" w14:textId="77777777" w:rsidR="006E40C6" w:rsidRDefault="006E40C6">
      <w:r>
        <w:continuationSeparator/>
      </w:r>
    </w:p>
    <w:p w14:paraId="6E6088E3" w14:textId="77777777" w:rsidR="006E40C6" w:rsidRDefault="006E40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CF6FF" w14:textId="77777777" w:rsidR="005C2538" w:rsidRDefault="003F3C60">
    <w:pPr>
      <w:pStyle w:val="Voettekst"/>
    </w:pPr>
    <w:r>
      <w:rPr>
        <w:noProof/>
      </w:rPr>
      <mc:AlternateContent>
        <mc:Choice Requires="wps">
          <w:drawing>
            <wp:anchor distT="0" distB="0" distL="0" distR="0" simplePos="0" relativeHeight="251660288" behindDoc="0" locked="0" layoutInCell="1" allowOverlap="1" wp14:anchorId="4EDF83BB" wp14:editId="6FCD8DEC">
              <wp:simplePos x="0" y="0"/>
              <wp:positionH relativeFrom="page">
                <wp:align>left</wp:align>
              </wp:positionH>
              <wp:positionV relativeFrom="page">
                <wp:align>bottom</wp:align>
              </wp:positionV>
              <wp:extent cx="443865" cy="443865"/>
              <wp:effectExtent l="0" t="0" r="4445" b="0"/>
              <wp:wrapNone/>
              <wp:docPr id="4" name="Tekstvak 182878"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C401CB" w14:textId="77777777" w:rsidR="005C2538" w:rsidRPr="005C2538" w:rsidRDefault="003F3C60" w:rsidP="005C2538">
                          <w:pPr>
                            <w:rPr>
                              <w:rFonts w:ascii="Calibri" w:eastAsia="Calibri" w:hAnsi="Calibri" w:cs="Calibri"/>
                              <w:noProof/>
                              <w:color w:val="000000"/>
                              <w:sz w:val="20"/>
                              <w:szCs w:val="20"/>
                            </w:rPr>
                          </w:pPr>
                          <w:r w:rsidRPr="005C2538">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EDF83BB" id="_x0000_t202" coordsize="21600,21600" o:spt="202" path="m,l,21600r21600,l21600,xe">
              <v:stroke joinstyle="miter"/>
              <v:path gradientshapeok="t" o:connecttype="rect"/>
            </v:shapetype>
            <v:shape id="Tekstvak 182878" o:spid="_x0000_s1026" type="#_x0000_t202" alt="Intern gebruik"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68C401CB" w14:textId="77777777" w:rsidR="005C2538" w:rsidRPr="005C2538" w:rsidRDefault="003F3C60" w:rsidP="005C2538">
                    <w:pPr>
                      <w:rPr>
                        <w:rFonts w:ascii="Calibri" w:eastAsia="Calibri" w:hAnsi="Calibri" w:cs="Calibri"/>
                        <w:noProof/>
                        <w:color w:val="000000"/>
                        <w:sz w:val="20"/>
                        <w:szCs w:val="20"/>
                      </w:rPr>
                    </w:pPr>
                    <w:r w:rsidRPr="005C2538">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F49ED" w14:textId="282FDBD5"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773F18" w14:paraId="38DD27C2" w14:textId="77777777" w:rsidTr="006D1737">
      <w:trPr>
        <w:trHeight w:hRule="exact" w:val="240"/>
      </w:trPr>
      <w:tc>
        <w:tcPr>
          <w:tcW w:w="7601" w:type="dxa"/>
          <w:shd w:val="clear" w:color="auto" w:fill="auto"/>
        </w:tcPr>
        <w:p w14:paraId="5B140DA5" w14:textId="77777777" w:rsidR="006D1737" w:rsidRDefault="006D1737" w:rsidP="006D1737">
          <w:pPr>
            <w:pStyle w:val="Huisstijl-Rubricering"/>
          </w:pPr>
        </w:p>
      </w:tc>
      <w:tc>
        <w:tcPr>
          <w:tcW w:w="2156" w:type="dxa"/>
        </w:tcPr>
        <w:p w14:paraId="2B5C5938" w14:textId="75A6D511" w:rsidR="006D1737" w:rsidRPr="00645414" w:rsidRDefault="003F3C60" w:rsidP="006D1737">
          <w:pPr>
            <w:pStyle w:val="Huisstijl-Paginanummering"/>
          </w:pPr>
          <w:r>
            <w:t xml:space="preserve">Pagina </w:t>
          </w:r>
          <w:r w:rsidR="00B04649" w:rsidRPr="00645414">
            <w:fldChar w:fldCharType="begin"/>
          </w:r>
          <w:r w:rsidR="00B04649" w:rsidRPr="00645414">
            <w:instrText xml:space="preserve"> PAGE   \* MERGEFORMAT </w:instrText>
          </w:r>
          <w:r w:rsidR="00B04649" w:rsidRPr="00645414">
            <w:fldChar w:fldCharType="separate"/>
          </w:r>
          <w:r w:rsidR="00B04649">
            <w:t>2</w:t>
          </w:r>
          <w:r w:rsidR="00B04649" w:rsidRPr="00645414">
            <w:fldChar w:fldCharType="end"/>
          </w:r>
          <w:r>
            <w:t xml:space="preserve"> van </w:t>
          </w:r>
          <w:fldSimple w:instr=" SECTIONPAGES   \* MERGEFORMAT ">
            <w:r w:rsidR="00C63C02">
              <w:t>4</w:t>
            </w:r>
          </w:fldSimple>
          <w:r w:rsidRPr="00ED539E">
            <w:rPr>
              <w:rStyle w:val="Huisstijl-GegevenCharChar"/>
            </w:rPr>
            <w:t xml:space="preserve"> </w:t>
          </w:r>
          <w:r w:rsidRPr="00ED539E">
            <w:t xml:space="preserve"> </w:t>
          </w:r>
        </w:p>
      </w:tc>
      <w:tc>
        <w:tcPr>
          <w:tcW w:w="2156" w:type="dxa"/>
        </w:tcPr>
        <w:p w14:paraId="10D790DD" w14:textId="77777777" w:rsidR="006D1737" w:rsidRPr="00645414" w:rsidRDefault="003F3C60" w:rsidP="006D1737">
          <w:pPr>
            <w:pStyle w:val="Huisstijl-Paginanummering"/>
          </w:pPr>
          <w:r w:rsidRPr="00645414">
            <w:t xml:space="preserve"> </w:t>
          </w:r>
        </w:p>
      </w:tc>
    </w:tr>
  </w:tbl>
  <w:p w14:paraId="174AFD2B"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73F18" w14:paraId="127A5E43" w14:textId="77777777" w:rsidTr="00CA6A25">
      <w:trPr>
        <w:trHeight w:hRule="exact" w:val="240"/>
      </w:trPr>
      <w:tc>
        <w:tcPr>
          <w:tcW w:w="7601" w:type="dxa"/>
          <w:shd w:val="clear" w:color="auto" w:fill="auto"/>
        </w:tcPr>
        <w:p w14:paraId="438497E6" w14:textId="5D93231D" w:rsidR="00527BD4" w:rsidRDefault="00527BD4" w:rsidP="008C356D">
          <w:pPr>
            <w:pStyle w:val="Huisstijl-Rubricering"/>
          </w:pPr>
        </w:p>
      </w:tc>
      <w:tc>
        <w:tcPr>
          <w:tcW w:w="2170" w:type="dxa"/>
        </w:tcPr>
        <w:p w14:paraId="50C436E2" w14:textId="61D30A0E" w:rsidR="00527BD4" w:rsidRPr="00ED539E" w:rsidRDefault="003F3C60"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fldSimple w:instr=" SECTIONPAGES   \* MERGEFORMAT ">
            <w:r w:rsidR="00C63C02">
              <w:t>4</w:t>
            </w:r>
          </w:fldSimple>
        </w:p>
      </w:tc>
    </w:tr>
  </w:tbl>
  <w:p w14:paraId="7B7EE1DD" w14:textId="77777777" w:rsidR="00527BD4" w:rsidRPr="00BC3B53" w:rsidRDefault="00527BD4" w:rsidP="008C356D">
    <w:pPr>
      <w:pStyle w:val="Voettekst"/>
      <w:spacing w:line="240" w:lineRule="auto"/>
      <w:rPr>
        <w:sz w:val="2"/>
        <w:szCs w:val="2"/>
      </w:rPr>
    </w:pPr>
  </w:p>
  <w:p w14:paraId="4DABDDF6"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DD0B9" w14:textId="77777777" w:rsidR="006E40C6" w:rsidRDefault="006E40C6">
      <w:r>
        <w:separator/>
      </w:r>
    </w:p>
    <w:p w14:paraId="03DD20BA" w14:textId="77777777" w:rsidR="006E40C6" w:rsidRDefault="006E40C6"/>
  </w:footnote>
  <w:footnote w:type="continuationSeparator" w:id="0">
    <w:p w14:paraId="28C21AB0" w14:textId="77777777" w:rsidR="006E40C6" w:rsidRDefault="006E40C6">
      <w:r>
        <w:continuationSeparator/>
      </w:r>
    </w:p>
    <w:p w14:paraId="3986948D" w14:textId="77777777" w:rsidR="006E40C6" w:rsidRDefault="006E40C6"/>
  </w:footnote>
  <w:footnote w:id="1">
    <w:p w14:paraId="20FF62ED" w14:textId="77777777" w:rsidR="00BB148F" w:rsidRPr="003C4855" w:rsidRDefault="00BB148F" w:rsidP="00BB148F">
      <w:pPr>
        <w:pStyle w:val="Voetnoottekst"/>
        <w:rPr>
          <w:rFonts w:cstheme="minorBidi"/>
          <w:szCs w:val="13"/>
        </w:rPr>
      </w:pPr>
      <w:r w:rsidRPr="003C4855">
        <w:rPr>
          <w:rStyle w:val="Voetnootmarkering"/>
          <w:szCs w:val="13"/>
        </w:rPr>
        <w:footnoteRef/>
      </w:r>
      <w:r w:rsidRPr="003C4855">
        <w:rPr>
          <w:szCs w:val="13"/>
        </w:rPr>
        <w:t xml:space="preserve"> Kamerstuk 29826 nr. 197 is proces opgenomen over wanneer de Kamer te informeren. </w:t>
      </w:r>
    </w:p>
  </w:footnote>
  <w:footnote w:id="2">
    <w:p w14:paraId="0082D6F9" w14:textId="77777777" w:rsidR="00BB148F" w:rsidRPr="003C4855" w:rsidRDefault="00BB148F" w:rsidP="00BB148F">
      <w:pPr>
        <w:pStyle w:val="Voetnoottekst"/>
        <w:rPr>
          <w:szCs w:val="13"/>
        </w:rPr>
      </w:pPr>
      <w:r w:rsidRPr="003C4855">
        <w:rPr>
          <w:rStyle w:val="Voetnootmarkering"/>
          <w:szCs w:val="13"/>
        </w:rPr>
        <w:footnoteRef/>
      </w:r>
      <w:r w:rsidRPr="003C4855">
        <w:rPr>
          <w:szCs w:val="13"/>
        </w:rPr>
        <w:t xml:space="preserve"> </w:t>
      </w:r>
      <w:hyperlink r:id="rId1" w:history="1">
        <w:r w:rsidRPr="003C4855">
          <w:rPr>
            <w:rStyle w:val="Hyperlink"/>
            <w:szCs w:val="13"/>
          </w:rPr>
          <w:t>Kamerbrief Joint Letter of Intent Maatwerk Nobian | Kamerstuk | Rijksoverheid.nl</w:t>
        </w:r>
      </w:hyperlink>
    </w:p>
  </w:footnote>
  <w:footnote w:id="3">
    <w:p w14:paraId="367DBCC3" w14:textId="77777777" w:rsidR="00BB148F" w:rsidRPr="003C4855" w:rsidRDefault="00BB148F" w:rsidP="00BB148F">
      <w:pPr>
        <w:pStyle w:val="Voetnoottekst"/>
        <w:rPr>
          <w:szCs w:val="13"/>
        </w:rPr>
      </w:pPr>
      <w:r w:rsidRPr="003C4855">
        <w:rPr>
          <w:rStyle w:val="Voetnootmarkering"/>
          <w:szCs w:val="13"/>
        </w:rPr>
        <w:footnoteRef/>
      </w:r>
      <w:r w:rsidRPr="003C4855">
        <w:rPr>
          <w:szCs w:val="13"/>
        </w:rPr>
        <w:t xml:space="preserve"> </w:t>
      </w:r>
      <w:hyperlink r:id="rId2" w:history="1">
        <w:r w:rsidRPr="003C4855">
          <w:rPr>
            <w:rStyle w:val="Hyperlink"/>
            <w:szCs w:val="13"/>
          </w:rPr>
          <w:t>Kamerbrief Joint Letter of Intent Coöperatie Koninklijke Cosun UA | Kamerstuk | Rijksoverheid.nl</w:t>
        </w:r>
      </w:hyperlink>
    </w:p>
  </w:footnote>
  <w:footnote w:id="4">
    <w:p w14:paraId="10BF686D" w14:textId="77777777" w:rsidR="00BB148F" w:rsidRPr="003C4855" w:rsidRDefault="00BB148F" w:rsidP="00BB148F">
      <w:pPr>
        <w:pStyle w:val="Voetnoottekst"/>
        <w:spacing w:line="256" w:lineRule="auto"/>
        <w:rPr>
          <w:szCs w:val="13"/>
        </w:rPr>
      </w:pPr>
      <w:r w:rsidRPr="003C4855">
        <w:rPr>
          <w:rStyle w:val="Voetnootmarkering"/>
          <w:szCs w:val="13"/>
        </w:rPr>
        <w:footnoteRef/>
      </w:r>
      <w:r w:rsidRPr="003C4855">
        <w:rPr>
          <w:szCs w:val="13"/>
        </w:rPr>
        <w:t xml:space="preserve"> </w:t>
      </w:r>
      <w:r w:rsidRPr="003C4855">
        <w:rPr>
          <w:rFonts w:eastAsia="Aptos" w:cs="Aptos"/>
          <w:szCs w:val="13"/>
        </w:rPr>
        <w:t>Kamerstuk 29 826, nr. 236.</w:t>
      </w:r>
    </w:p>
  </w:footnote>
  <w:footnote w:id="5">
    <w:p w14:paraId="1A15C589" w14:textId="77777777" w:rsidR="00BB148F" w:rsidRPr="003C4855" w:rsidRDefault="00BB148F" w:rsidP="00BB148F">
      <w:pPr>
        <w:pStyle w:val="Voetnoottekst"/>
        <w:rPr>
          <w:szCs w:val="13"/>
        </w:rPr>
      </w:pPr>
      <w:r w:rsidRPr="003C4855">
        <w:rPr>
          <w:rStyle w:val="Voetnootmarkering"/>
          <w:szCs w:val="13"/>
        </w:rPr>
        <w:footnoteRef/>
      </w:r>
      <w:r w:rsidRPr="003C4855">
        <w:rPr>
          <w:szCs w:val="13"/>
        </w:rPr>
        <w:t xml:space="preserve"> </w:t>
      </w:r>
      <w:hyperlink r:id="rId3" w:history="1">
        <w:r w:rsidRPr="003C4855">
          <w:rPr>
            <w:rStyle w:val="Hyperlink"/>
            <w:szCs w:val="13"/>
          </w:rPr>
          <w:t>https://wetten.overheid.nl/BWBR0047890/2023-02-21</w:t>
        </w:r>
      </w:hyperlink>
    </w:p>
    <w:p w14:paraId="5047EB7D" w14:textId="77777777" w:rsidR="00BB148F" w:rsidRPr="003C4855" w:rsidRDefault="00BB148F" w:rsidP="00BB148F">
      <w:pPr>
        <w:pStyle w:val="Voetnoottekst"/>
        <w:rPr>
          <w:rFonts w:asciiTheme="minorHAnsi" w:hAnsiTheme="minorHAnsi"/>
          <w:szCs w:val="13"/>
        </w:rPr>
      </w:pPr>
    </w:p>
  </w:footnote>
  <w:footnote w:id="6">
    <w:p w14:paraId="722208A0" w14:textId="77777777" w:rsidR="00BB148F" w:rsidRPr="003C4855" w:rsidRDefault="00BB148F" w:rsidP="00BB148F">
      <w:pPr>
        <w:pStyle w:val="Voetnoottekst"/>
        <w:rPr>
          <w:szCs w:val="13"/>
          <w:lang w:val="en-US"/>
        </w:rPr>
      </w:pPr>
      <w:r w:rsidRPr="003C4855">
        <w:rPr>
          <w:rStyle w:val="Voetnootmarkering"/>
          <w:szCs w:val="13"/>
        </w:rPr>
        <w:footnoteRef/>
      </w:r>
      <w:r w:rsidRPr="003C4855">
        <w:rPr>
          <w:szCs w:val="13"/>
          <w:lang w:val="en-US"/>
        </w:rPr>
        <w:t xml:space="preserve"> </w:t>
      </w:r>
      <w:hyperlink r:id="rId4" w:history="1">
        <w:r w:rsidRPr="003C4855">
          <w:rPr>
            <w:rStyle w:val="Hyperlink"/>
            <w:szCs w:val="13"/>
            <w:lang w:val="en-US"/>
          </w:rPr>
          <w:t>Delegated regulation - EU - 2025/1222 - EN - EUR-Lex</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6DEF1" w14:textId="77777777" w:rsidR="00C63C02" w:rsidRDefault="00C63C0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73F18" w14:paraId="52D33F8B" w14:textId="77777777" w:rsidTr="00A50CF6">
      <w:tc>
        <w:tcPr>
          <w:tcW w:w="2156" w:type="dxa"/>
          <w:shd w:val="clear" w:color="auto" w:fill="auto"/>
        </w:tcPr>
        <w:p w14:paraId="0FD0A83F" w14:textId="524933FA" w:rsidR="00527BD4" w:rsidRPr="00624D22" w:rsidRDefault="003F3C60" w:rsidP="00A50CF6">
          <w:pPr>
            <w:pStyle w:val="Huisstijl-Adres"/>
            <w:rPr>
              <w:b/>
            </w:rPr>
          </w:pPr>
          <w:r>
            <w:rPr>
              <w:b/>
            </w:rPr>
            <w:t xml:space="preserve">Directoraat-generaal </w:t>
          </w:r>
          <w:r w:rsidR="00664A01">
            <w:rPr>
              <w:b/>
            </w:rPr>
            <w:t>Realisatie Groene Groei</w:t>
          </w:r>
        </w:p>
      </w:tc>
    </w:tr>
    <w:tr w:rsidR="00773F18" w14:paraId="762FEEE6" w14:textId="77777777" w:rsidTr="00A50CF6">
      <w:trPr>
        <w:trHeight w:hRule="exact" w:val="200"/>
      </w:trPr>
      <w:tc>
        <w:tcPr>
          <w:tcW w:w="2156" w:type="dxa"/>
          <w:shd w:val="clear" w:color="auto" w:fill="auto"/>
        </w:tcPr>
        <w:p w14:paraId="0D399C5A" w14:textId="77777777" w:rsidR="00527BD4" w:rsidRPr="005819CE" w:rsidRDefault="00527BD4" w:rsidP="00A50CF6"/>
      </w:tc>
    </w:tr>
    <w:tr w:rsidR="00773F18" w14:paraId="138F14DF" w14:textId="77777777" w:rsidTr="00502512">
      <w:trPr>
        <w:trHeight w:hRule="exact" w:val="774"/>
      </w:trPr>
      <w:tc>
        <w:tcPr>
          <w:tcW w:w="2156" w:type="dxa"/>
          <w:shd w:val="clear" w:color="auto" w:fill="auto"/>
        </w:tcPr>
        <w:p w14:paraId="27ECF554" w14:textId="77777777" w:rsidR="00527BD4" w:rsidRDefault="00527BD4" w:rsidP="003A5290">
          <w:pPr>
            <w:pStyle w:val="Huisstijl-Kopje"/>
          </w:pPr>
        </w:p>
        <w:p w14:paraId="488C5016" w14:textId="53BCB31B" w:rsidR="00502512" w:rsidRPr="00502512" w:rsidRDefault="003F3C60" w:rsidP="003A5290">
          <w:pPr>
            <w:pStyle w:val="Huisstijl-Kopje"/>
            <w:rPr>
              <w:b w:val="0"/>
            </w:rPr>
          </w:pPr>
          <w:r>
            <w:rPr>
              <w:b w:val="0"/>
            </w:rPr>
            <w:t>EZK_</w:t>
          </w:r>
          <w:r w:rsidR="00664A01">
            <w:rPr>
              <w:b w:val="0"/>
            </w:rPr>
            <w:t>DGRGG</w:t>
          </w:r>
          <w:r>
            <w:rPr>
              <w:b w:val="0"/>
            </w:rPr>
            <w:t>_VI</w:t>
          </w:r>
          <w:r w:rsidRPr="00502512">
            <w:rPr>
              <w:b w:val="0"/>
            </w:rPr>
            <w:t xml:space="preserve"> / </w:t>
          </w:r>
          <w:r>
            <w:rPr>
              <w:b w:val="0"/>
            </w:rPr>
            <w:t>99675417</w:t>
          </w:r>
        </w:p>
        <w:p w14:paraId="49E93B27" w14:textId="77777777" w:rsidR="00527BD4" w:rsidRPr="005819CE" w:rsidRDefault="00527BD4" w:rsidP="00361A56">
          <w:pPr>
            <w:pStyle w:val="Huisstijl-Kopje"/>
          </w:pPr>
        </w:p>
      </w:tc>
    </w:tr>
  </w:tbl>
  <w:p w14:paraId="73207059" w14:textId="77777777" w:rsidR="00527BD4" w:rsidRDefault="00527BD4" w:rsidP="008C356D">
    <w:pPr>
      <w:pStyle w:val="Koptekst"/>
      <w:rPr>
        <w:rFonts w:cs="Verdana-Bold"/>
        <w:b/>
        <w:bCs/>
        <w:smallCaps/>
        <w:szCs w:val="18"/>
      </w:rPr>
    </w:pPr>
  </w:p>
  <w:p w14:paraId="3E82EF28" w14:textId="77777777" w:rsidR="00527BD4" w:rsidRDefault="00527BD4" w:rsidP="008C356D"/>
  <w:p w14:paraId="401DAFDE" w14:textId="77777777" w:rsidR="00527BD4" w:rsidRPr="00740712" w:rsidRDefault="00527BD4" w:rsidP="008C356D"/>
  <w:p w14:paraId="4DF0A56C" w14:textId="77777777" w:rsidR="00527BD4" w:rsidRPr="00217880" w:rsidRDefault="00527BD4" w:rsidP="008C356D">
    <w:pPr>
      <w:spacing w:line="0" w:lineRule="atLeast"/>
      <w:rPr>
        <w:sz w:val="2"/>
        <w:szCs w:val="2"/>
      </w:rPr>
    </w:pPr>
  </w:p>
  <w:p w14:paraId="24070EE8" w14:textId="77777777" w:rsidR="00527BD4" w:rsidRDefault="00527BD4" w:rsidP="004F44C2">
    <w:pPr>
      <w:pStyle w:val="Koptekst"/>
      <w:rPr>
        <w:rFonts w:cs="Verdana-Bold"/>
        <w:b/>
        <w:bCs/>
        <w:smallCaps/>
        <w:szCs w:val="18"/>
      </w:rPr>
    </w:pPr>
  </w:p>
  <w:p w14:paraId="3DD3989F" w14:textId="77777777" w:rsidR="00527BD4" w:rsidRDefault="00527BD4" w:rsidP="004F44C2"/>
  <w:p w14:paraId="7992EA65" w14:textId="77777777" w:rsidR="00624D22" w:rsidRDefault="00624D22" w:rsidP="004F44C2"/>
  <w:p w14:paraId="14370E58" w14:textId="77777777" w:rsidR="00624D22" w:rsidRDefault="00624D22" w:rsidP="004F44C2"/>
  <w:p w14:paraId="1F2DFDF1" w14:textId="77777777" w:rsidR="00527BD4" w:rsidRPr="00740712" w:rsidRDefault="00527BD4" w:rsidP="004F44C2"/>
  <w:p w14:paraId="4273D454"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73F18" w14:paraId="7C5E530B" w14:textId="77777777" w:rsidTr="00751A6A">
      <w:trPr>
        <w:trHeight w:val="2636"/>
      </w:trPr>
      <w:tc>
        <w:tcPr>
          <w:tcW w:w="737" w:type="dxa"/>
          <w:shd w:val="clear" w:color="auto" w:fill="auto"/>
        </w:tcPr>
        <w:p w14:paraId="34714CA2"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7995A16A" w14:textId="77777777" w:rsidR="00527BD4" w:rsidRDefault="003F3C60" w:rsidP="00651CEE">
          <w:pPr>
            <w:framePr w:w="6340" w:h="2750" w:hRule="exact" w:hSpace="180" w:wrap="around" w:vAnchor="page" w:hAnchor="text" w:x="3873" w:y="-140"/>
            <w:spacing w:line="240" w:lineRule="auto"/>
          </w:pPr>
          <w:r>
            <w:t xml:space="preserve">   </w:t>
          </w:r>
          <w:r w:rsidRPr="009D0B5A">
            <w:rPr>
              <w:sz w:val="2"/>
              <w:szCs w:val="2"/>
            </w:rPr>
            <w:t xml:space="preserve"> </w:t>
          </w:r>
          <w:r>
            <w:rPr>
              <w:noProof/>
            </w:rPr>
            <w:drawing>
              <wp:inline distT="0" distB="0" distL="0" distR="0" wp14:anchorId="324CEBFE" wp14:editId="4C064F42">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tc>
    </w:tr>
  </w:tbl>
  <w:p w14:paraId="49A4D0CB" w14:textId="77777777" w:rsidR="00527BD4" w:rsidRDefault="00527BD4" w:rsidP="00D0609E">
    <w:pPr>
      <w:framePr w:w="6340" w:h="2750" w:hRule="exact" w:hSpace="180" w:wrap="around" w:vAnchor="page" w:hAnchor="text" w:x="3873" w:y="-140"/>
    </w:pPr>
  </w:p>
  <w:p w14:paraId="52EAE911"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73F18" w14:paraId="61710B32" w14:textId="77777777" w:rsidTr="00A50CF6">
      <w:tc>
        <w:tcPr>
          <w:tcW w:w="2160" w:type="dxa"/>
          <w:shd w:val="clear" w:color="auto" w:fill="auto"/>
        </w:tcPr>
        <w:p w14:paraId="18FC0B8B" w14:textId="118524E5" w:rsidR="00527BD4" w:rsidRPr="00781DCA" w:rsidRDefault="003F3C60" w:rsidP="00A50CF6">
          <w:pPr>
            <w:pStyle w:val="Huisstijl-Adres"/>
            <w:rPr>
              <w:b/>
            </w:rPr>
          </w:pPr>
          <w:r>
            <w:rPr>
              <w:b/>
            </w:rPr>
            <w:t xml:space="preserve">Directoraat-generaal </w:t>
          </w:r>
          <w:r w:rsidR="00E10A84">
            <w:rPr>
              <w:b/>
            </w:rPr>
            <w:t>Realisatie Groene Groei</w:t>
          </w:r>
          <w:r w:rsidRPr="005819CE">
            <w:rPr>
              <w:b/>
            </w:rPr>
            <w:br/>
          </w:r>
          <w:r>
            <w:t>Directie Verduurzaming Industrie</w:t>
          </w:r>
        </w:p>
        <w:p w14:paraId="18538939" w14:textId="77777777" w:rsidR="00527BD4" w:rsidRPr="00BE5ED9" w:rsidRDefault="003F3C60" w:rsidP="00A50CF6">
          <w:pPr>
            <w:pStyle w:val="Huisstijl-Adres"/>
          </w:pPr>
          <w:r>
            <w:rPr>
              <w:b/>
            </w:rPr>
            <w:t>Bezoekadres</w:t>
          </w:r>
          <w:r>
            <w:rPr>
              <w:b/>
            </w:rPr>
            <w:br/>
          </w:r>
          <w:r>
            <w:t>Bezuidenhoutseweg 73</w:t>
          </w:r>
          <w:r w:rsidRPr="005819CE">
            <w:br/>
          </w:r>
          <w:r>
            <w:t>2594 AC Den Haag</w:t>
          </w:r>
        </w:p>
        <w:p w14:paraId="57C40C3F" w14:textId="77777777" w:rsidR="00EF495B" w:rsidRDefault="003F3C60" w:rsidP="0098788A">
          <w:pPr>
            <w:pStyle w:val="Huisstijl-Adres"/>
          </w:pPr>
          <w:r>
            <w:rPr>
              <w:b/>
            </w:rPr>
            <w:t>Postadres</w:t>
          </w:r>
          <w:r>
            <w:rPr>
              <w:b/>
            </w:rPr>
            <w:br/>
          </w:r>
          <w:r>
            <w:t>Postbus 20401</w:t>
          </w:r>
          <w:r w:rsidRPr="005819CE">
            <w:br/>
            <w:t>2500 E</w:t>
          </w:r>
          <w:r>
            <w:t>K</w:t>
          </w:r>
          <w:r w:rsidRPr="005819CE">
            <w:t xml:space="preserve"> Den Haag</w:t>
          </w:r>
        </w:p>
        <w:p w14:paraId="1716C41A" w14:textId="77777777" w:rsidR="00EF495B" w:rsidRPr="005B3814" w:rsidRDefault="003F3C60" w:rsidP="0098788A">
          <w:pPr>
            <w:pStyle w:val="Huisstijl-Adres"/>
          </w:pPr>
          <w:r>
            <w:rPr>
              <w:b/>
            </w:rPr>
            <w:t>Overheidsidentificatienr</w:t>
          </w:r>
          <w:r>
            <w:rPr>
              <w:b/>
            </w:rPr>
            <w:br/>
          </w:r>
          <w:r w:rsidR="002D0DDB" w:rsidRPr="002D0DDB">
            <w:t>00000003952069570000</w:t>
          </w:r>
        </w:p>
        <w:p w14:paraId="2C089CB8" w14:textId="04C85943" w:rsidR="00527BD4" w:rsidRPr="003C4855" w:rsidRDefault="003F3C60" w:rsidP="00F748E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773F18" w14:paraId="22E8ACF5" w14:textId="77777777" w:rsidTr="003C4855">
      <w:trPr>
        <w:trHeight w:hRule="exact" w:val="80"/>
      </w:trPr>
      <w:tc>
        <w:tcPr>
          <w:tcW w:w="2160" w:type="dxa"/>
          <w:shd w:val="clear" w:color="auto" w:fill="auto"/>
        </w:tcPr>
        <w:p w14:paraId="48C75A86" w14:textId="77777777" w:rsidR="00527BD4" w:rsidRPr="00D71182" w:rsidRDefault="00527BD4" w:rsidP="00A50CF6">
          <w:pPr>
            <w:rPr>
              <w:lang w:val="fr-FR"/>
            </w:rPr>
          </w:pPr>
        </w:p>
      </w:tc>
    </w:tr>
    <w:tr w:rsidR="00773F18" w14:paraId="2A7EEE72" w14:textId="77777777" w:rsidTr="00A50CF6">
      <w:tc>
        <w:tcPr>
          <w:tcW w:w="2160" w:type="dxa"/>
          <w:shd w:val="clear" w:color="auto" w:fill="auto"/>
        </w:tcPr>
        <w:p w14:paraId="53400A85" w14:textId="77777777" w:rsidR="000C0163" w:rsidRPr="005819CE" w:rsidRDefault="003F3C60" w:rsidP="000C0163">
          <w:pPr>
            <w:pStyle w:val="Huisstijl-Kopje"/>
          </w:pPr>
          <w:r>
            <w:t>Ons kenmerk</w:t>
          </w:r>
        </w:p>
        <w:p w14:paraId="5AE07026" w14:textId="6C78A0DB" w:rsidR="000C0163" w:rsidRPr="005819CE" w:rsidRDefault="003F3C60" w:rsidP="000C0163">
          <w:pPr>
            <w:pStyle w:val="Huisstijl-Gegeven"/>
          </w:pPr>
          <w:r>
            <w:t>EZK_</w:t>
          </w:r>
          <w:r w:rsidR="00E10A84">
            <w:t>DGRGG</w:t>
          </w:r>
          <w:r>
            <w:t>_VI</w:t>
          </w:r>
          <w:r w:rsidR="00926AE2">
            <w:t xml:space="preserve"> / </w:t>
          </w:r>
          <w:r>
            <w:t>99675417</w:t>
          </w:r>
        </w:p>
        <w:p w14:paraId="564F9EAD" w14:textId="77777777" w:rsidR="00527BD4" w:rsidRPr="005819CE" w:rsidRDefault="003F3C60" w:rsidP="00A50CF6">
          <w:pPr>
            <w:pStyle w:val="Huisstijl-Kopje"/>
          </w:pPr>
          <w:r>
            <w:t>Bijlage(n)</w:t>
          </w:r>
        </w:p>
        <w:p w14:paraId="47873EBF" w14:textId="21C5ED5D" w:rsidR="00527BD4" w:rsidRPr="005819CE" w:rsidRDefault="003C4855" w:rsidP="00A50CF6">
          <w:pPr>
            <w:pStyle w:val="Huisstijl-Gegeven"/>
          </w:pPr>
          <w:r>
            <w:t>2</w:t>
          </w:r>
        </w:p>
      </w:tc>
    </w:tr>
  </w:tbl>
  <w:p w14:paraId="628E42B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773F18" w14:paraId="14155A51" w14:textId="77777777" w:rsidTr="00C37826">
      <w:trPr>
        <w:trHeight w:val="400"/>
      </w:trPr>
      <w:tc>
        <w:tcPr>
          <w:tcW w:w="7371" w:type="dxa"/>
          <w:gridSpan w:val="2"/>
          <w:shd w:val="clear" w:color="auto" w:fill="auto"/>
        </w:tcPr>
        <w:p w14:paraId="06A21BE8" w14:textId="77777777" w:rsidR="00527BD4" w:rsidRPr="00BC3B53" w:rsidRDefault="003F3C60"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773F18" w14:paraId="524E4AA8" w14:textId="77777777" w:rsidTr="00C37826">
      <w:tc>
        <w:tcPr>
          <w:tcW w:w="7371" w:type="dxa"/>
          <w:gridSpan w:val="2"/>
          <w:shd w:val="clear" w:color="auto" w:fill="auto"/>
        </w:tcPr>
        <w:p w14:paraId="12369066" w14:textId="77777777" w:rsidR="00527BD4" w:rsidRPr="00983E8F" w:rsidRDefault="00527BD4" w:rsidP="00A50CF6">
          <w:pPr>
            <w:pStyle w:val="Huisstijl-Rubricering"/>
          </w:pPr>
        </w:p>
      </w:tc>
    </w:tr>
    <w:tr w:rsidR="00773F18" w14:paraId="0A802641" w14:textId="77777777" w:rsidTr="00C37826">
      <w:trPr>
        <w:trHeight w:hRule="exact" w:val="2440"/>
      </w:trPr>
      <w:tc>
        <w:tcPr>
          <w:tcW w:w="7371" w:type="dxa"/>
          <w:gridSpan w:val="2"/>
          <w:shd w:val="clear" w:color="auto" w:fill="auto"/>
        </w:tcPr>
        <w:p w14:paraId="2092F250" w14:textId="77777777" w:rsidR="00527BD4" w:rsidRDefault="003F3C60" w:rsidP="00A50CF6">
          <w:pPr>
            <w:pStyle w:val="Huisstijl-NAW"/>
          </w:pPr>
          <w:r>
            <w:t xml:space="preserve">De Voorzitter van de Tweede Kamer </w:t>
          </w:r>
        </w:p>
        <w:p w14:paraId="4066B464" w14:textId="77777777" w:rsidR="00D87195" w:rsidRDefault="003F3C60" w:rsidP="00D87195">
          <w:pPr>
            <w:pStyle w:val="Huisstijl-NAW"/>
          </w:pPr>
          <w:r>
            <w:t>der Staten-Generaal</w:t>
          </w:r>
        </w:p>
        <w:p w14:paraId="3F232530" w14:textId="77777777" w:rsidR="00EA0F13" w:rsidRDefault="003F3C60" w:rsidP="00EA0F13">
          <w:pPr>
            <w:rPr>
              <w:szCs w:val="18"/>
            </w:rPr>
          </w:pPr>
          <w:r>
            <w:rPr>
              <w:szCs w:val="18"/>
            </w:rPr>
            <w:t>Prinses Irenestraat 6</w:t>
          </w:r>
        </w:p>
        <w:p w14:paraId="42567981" w14:textId="77777777" w:rsidR="00985E56" w:rsidRDefault="003F3C60" w:rsidP="00EA0F13">
          <w:r>
            <w:rPr>
              <w:szCs w:val="18"/>
            </w:rPr>
            <w:t>2595 BD  DEN HAAG</w:t>
          </w:r>
        </w:p>
      </w:tc>
    </w:tr>
    <w:tr w:rsidR="00773F18" w14:paraId="7B72897B" w14:textId="77777777" w:rsidTr="00C37826">
      <w:trPr>
        <w:trHeight w:hRule="exact" w:val="400"/>
      </w:trPr>
      <w:tc>
        <w:tcPr>
          <w:tcW w:w="7371" w:type="dxa"/>
          <w:gridSpan w:val="2"/>
          <w:shd w:val="clear" w:color="auto" w:fill="auto"/>
        </w:tcPr>
        <w:p w14:paraId="71483DAA"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773F18" w14:paraId="346B5F4D" w14:textId="77777777" w:rsidTr="00C37826">
      <w:trPr>
        <w:trHeight w:val="240"/>
      </w:trPr>
      <w:tc>
        <w:tcPr>
          <w:tcW w:w="709" w:type="dxa"/>
          <w:shd w:val="clear" w:color="auto" w:fill="auto"/>
        </w:tcPr>
        <w:p w14:paraId="74113515" w14:textId="77777777" w:rsidR="00527BD4" w:rsidRPr="00C37826" w:rsidRDefault="003F3C60" w:rsidP="00A50CF6">
          <w:pPr>
            <w:rPr>
              <w:szCs w:val="18"/>
            </w:rPr>
          </w:pPr>
          <w:r>
            <w:rPr>
              <w:szCs w:val="18"/>
            </w:rPr>
            <w:t>Datum</w:t>
          </w:r>
        </w:p>
      </w:tc>
      <w:tc>
        <w:tcPr>
          <w:tcW w:w="6662" w:type="dxa"/>
          <w:shd w:val="clear" w:color="auto" w:fill="auto"/>
        </w:tcPr>
        <w:p w14:paraId="532E5B24" w14:textId="29F69DEB" w:rsidR="00527BD4" w:rsidRPr="007709EF" w:rsidRDefault="00C63C02" w:rsidP="00A50CF6">
          <w:r>
            <w:t>9</w:t>
          </w:r>
          <w:r w:rsidR="00DB1593">
            <w:t xml:space="preserve"> juli 2025</w:t>
          </w:r>
        </w:p>
      </w:tc>
    </w:tr>
    <w:tr w:rsidR="00773F18" w14:paraId="6AFF083B" w14:textId="77777777" w:rsidTr="00C37826">
      <w:trPr>
        <w:trHeight w:val="240"/>
      </w:trPr>
      <w:tc>
        <w:tcPr>
          <w:tcW w:w="709" w:type="dxa"/>
          <w:shd w:val="clear" w:color="auto" w:fill="auto"/>
        </w:tcPr>
        <w:p w14:paraId="1633E40B" w14:textId="77777777" w:rsidR="00527BD4" w:rsidRPr="00C37826" w:rsidRDefault="003F3C60" w:rsidP="00A50CF6">
          <w:pPr>
            <w:rPr>
              <w:szCs w:val="18"/>
            </w:rPr>
          </w:pPr>
          <w:r>
            <w:rPr>
              <w:szCs w:val="18"/>
            </w:rPr>
            <w:t>Betreft</w:t>
          </w:r>
        </w:p>
      </w:tc>
      <w:tc>
        <w:tcPr>
          <w:tcW w:w="6662" w:type="dxa"/>
          <w:shd w:val="clear" w:color="auto" w:fill="auto"/>
        </w:tcPr>
        <w:p w14:paraId="5FC03005" w14:textId="77777777" w:rsidR="00527BD4" w:rsidRPr="007709EF" w:rsidRDefault="003F3C60" w:rsidP="00A50CF6">
          <w:r>
            <w:t>Kamerbrief Joint Letter of Intent AnQore</w:t>
          </w:r>
        </w:p>
      </w:tc>
    </w:tr>
  </w:tbl>
  <w:p w14:paraId="54EBA62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9123594">
      <w:start w:val="1"/>
      <w:numFmt w:val="bullet"/>
      <w:pStyle w:val="Lijstopsomteken"/>
      <w:lvlText w:val="•"/>
      <w:lvlJc w:val="left"/>
      <w:pPr>
        <w:tabs>
          <w:tab w:val="num" w:pos="227"/>
        </w:tabs>
        <w:ind w:left="227" w:hanging="227"/>
      </w:pPr>
      <w:rPr>
        <w:rFonts w:ascii="Verdana" w:hAnsi="Verdana" w:hint="default"/>
        <w:sz w:val="18"/>
        <w:szCs w:val="18"/>
      </w:rPr>
    </w:lvl>
    <w:lvl w:ilvl="1" w:tplc="DD8E1CD2" w:tentative="1">
      <w:start w:val="1"/>
      <w:numFmt w:val="bullet"/>
      <w:lvlText w:val="o"/>
      <w:lvlJc w:val="left"/>
      <w:pPr>
        <w:tabs>
          <w:tab w:val="num" w:pos="1440"/>
        </w:tabs>
        <w:ind w:left="1440" w:hanging="360"/>
      </w:pPr>
      <w:rPr>
        <w:rFonts w:ascii="Courier New" w:hAnsi="Courier New" w:cs="Courier New" w:hint="default"/>
      </w:rPr>
    </w:lvl>
    <w:lvl w:ilvl="2" w:tplc="EBE43C4A" w:tentative="1">
      <w:start w:val="1"/>
      <w:numFmt w:val="bullet"/>
      <w:lvlText w:val=""/>
      <w:lvlJc w:val="left"/>
      <w:pPr>
        <w:tabs>
          <w:tab w:val="num" w:pos="2160"/>
        </w:tabs>
        <w:ind w:left="2160" w:hanging="360"/>
      </w:pPr>
      <w:rPr>
        <w:rFonts w:ascii="Wingdings" w:hAnsi="Wingdings" w:hint="default"/>
      </w:rPr>
    </w:lvl>
    <w:lvl w:ilvl="3" w:tplc="45ECE4D0" w:tentative="1">
      <w:start w:val="1"/>
      <w:numFmt w:val="bullet"/>
      <w:lvlText w:val=""/>
      <w:lvlJc w:val="left"/>
      <w:pPr>
        <w:tabs>
          <w:tab w:val="num" w:pos="2880"/>
        </w:tabs>
        <w:ind w:left="2880" w:hanging="360"/>
      </w:pPr>
      <w:rPr>
        <w:rFonts w:ascii="Symbol" w:hAnsi="Symbol" w:hint="default"/>
      </w:rPr>
    </w:lvl>
    <w:lvl w:ilvl="4" w:tplc="BBCC2DB8" w:tentative="1">
      <w:start w:val="1"/>
      <w:numFmt w:val="bullet"/>
      <w:lvlText w:val="o"/>
      <w:lvlJc w:val="left"/>
      <w:pPr>
        <w:tabs>
          <w:tab w:val="num" w:pos="3600"/>
        </w:tabs>
        <w:ind w:left="3600" w:hanging="360"/>
      </w:pPr>
      <w:rPr>
        <w:rFonts w:ascii="Courier New" w:hAnsi="Courier New" w:cs="Courier New" w:hint="default"/>
      </w:rPr>
    </w:lvl>
    <w:lvl w:ilvl="5" w:tplc="4EB85726" w:tentative="1">
      <w:start w:val="1"/>
      <w:numFmt w:val="bullet"/>
      <w:lvlText w:val=""/>
      <w:lvlJc w:val="left"/>
      <w:pPr>
        <w:tabs>
          <w:tab w:val="num" w:pos="4320"/>
        </w:tabs>
        <w:ind w:left="4320" w:hanging="360"/>
      </w:pPr>
      <w:rPr>
        <w:rFonts w:ascii="Wingdings" w:hAnsi="Wingdings" w:hint="default"/>
      </w:rPr>
    </w:lvl>
    <w:lvl w:ilvl="6" w:tplc="D304E9A6" w:tentative="1">
      <w:start w:val="1"/>
      <w:numFmt w:val="bullet"/>
      <w:lvlText w:val=""/>
      <w:lvlJc w:val="left"/>
      <w:pPr>
        <w:tabs>
          <w:tab w:val="num" w:pos="5040"/>
        </w:tabs>
        <w:ind w:left="5040" w:hanging="360"/>
      </w:pPr>
      <w:rPr>
        <w:rFonts w:ascii="Symbol" w:hAnsi="Symbol" w:hint="default"/>
      </w:rPr>
    </w:lvl>
    <w:lvl w:ilvl="7" w:tplc="44F00070" w:tentative="1">
      <w:start w:val="1"/>
      <w:numFmt w:val="bullet"/>
      <w:lvlText w:val="o"/>
      <w:lvlJc w:val="left"/>
      <w:pPr>
        <w:tabs>
          <w:tab w:val="num" w:pos="5760"/>
        </w:tabs>
        <w:ind w:left="5760" w:hanging="360"/>
      </w:pPr>
      <w:rPr>
        <w:rFonts w:ascii="Courier New" w:hAnsi="Courier New" w:cs="Courier New" w:hint="default"/>
      </w:rPr>
    </w:lvl>
    <w:lvl w:ilvl="8" w:tplc="1AD6DB7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A535CD"/>
    <w:multiLevelType w:val="hybridMultilevel"/>
    <w:tmpl w:val="B4C4441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FDD8DC34">
      <w:start w:val="1"/>
      <w:numFmt w:val="bullet"/>
      <w:pStyle w:val="Lijstopsomteken2"/>
      <w:lvlText w:val="–"/>
      <w:lvlJc w:val="left"/>
      <w:pPr>
        <w:tabs>
          <w:tab w:val="num" w:pos="227"/>
        </w:tabs>
        <w:ind w:left="227" w:firstLine="0"/>
      </w:pPr>
      <w:rPr>
        <w:rFonts w:ascii="Verdana" w:hAnsi="Verdana" w:hint="default"/>
      </w:rPr>
    </w:lvl>
    <w:lvl w:ilvl="1" w:tplc="6C10133E" w:tentative="1">
      <w:start w:val="1"/>
      <w:numFmt w:val="bullet"/>
      <w:lvlText w:val="o"/>
      <w:lvlJc w:val="left"/>
      <w:pPr>
        <w:tabs>
          <w:tab w:val="num" w:pos="1440"/>
        </w:tabs>
        <w:ind w:left="1440" w:hanging="360"/>
      </w:pPr>
      <w:rPr>
        <w:rFonts w:ascii="Courier New" w:hAnsi="Courier New" w:cs="Courier New" w:hint="default"/>
      </w:rPr>
    </w:lvl>
    <w:lvl w:ilvl="2" w:tplc="8B4660C0" w:tentative="1">
      <w:start w:val="1"/>
      <w:numFmt w:val="bullet"/>
      <w:lvlText w:val=""/>
      <w:lvlJc w:val="left"/>
      <w:pPr>
        <w:tabs>
          <w:tab w:val="num" w:pos="2160"/>
        </w:tabs>
        <w:ind w:left="2160" w:hanging="360"/>
      </w:pPr>
      <w:rPr>
        <w:rFonts w:ascii="Wingdings" w:hAnsi="Wingdings" w:hint="default"/>
      </w:rPr>
    </w:lvl>
    <w:lvl w:ilvl="3" w:tplc="00CAA52E" w:tentative="1">
      <w:start w:val="1"/>
      <w:numFmt w:val="bullet"/>
      <w:lvlText w:val=""/>
      <w:lvlJc w:val="left"/>
      <w:pPr>
        <w:tabs>
          <w:tab w:val="num" w:pos="2880"/>
        </w:tabs>
        <w:ind w:left="2880" w:hanging="360"/>
      </w:pPr>
      <w:rPr>
        <w:rFonts w:ascii="Symbol" w:hAnsi="Symbol" w:hint="default"/>
      </w:rPr>
    </w:lvl>
    <w:lvl w:ilvl="4" w:tplc="82429252" w:tentative="1">
      <w:start w:val="1"/>
      <w:numFmt w:val="bullet"/>
      <w:lvlText w:val="o"/>
      <w:lvlJc w:val="left"/>
      <w:pPr>
        <w:tabs>
          <w:tab w:val="num" w:pos="3600"/>
        </w:tabs>
        <w:ind w:left="3600" w:hanging="360"/>
      </w:pPr>
      <w:rPr>
        <w:rFonts w:ascii="Courier New" w:hAnsi="Courier New" w:cs="Courier New" w:hint="default"/>
      </w:rPr>
    </w:lvl>
    <w:lvl w:ilvl="5" w:tplc="B64CF99E" w:tentative="1">
      <w:start w:val="1"/>
      <w:numFmt w:val="bullet"/>
      <w:lvlText w:val=""/>
      <w:lvlJc w:val="left"/>
      <w:pPr>
        <w:tabs>
          <w:tab w:val="num" w:pos="4320"/>
        </w:tabs>
        <w:ind w:left="4320" w:hanging="360"/>
      </w:pPr>
      <w:rPr>
        <w:rFonts w:ascii="Wingdings" w:hAnsi="Wingdings" w:hint="default"/>
      </w:rPr>
    </w:lvl>
    <w:lvl w:ilvl="6" w:tplc="C7909188" w:tentative="1">
      <w:start w:val="1"/>
      <w:numFmt w:val="bullet"/>
      <w:lvlText w:val=""/>
      <w:lvlJc w:val="left"/>
      <w:pPr>
        <w:tabs>
          <w:tab w:val="num" w:pos="5040"/>
        </w:tabs>
        <w:ind w:left="5040" w:hanging="360"/>
      </w:pPr>
      <w:rPr>
        <w:rFonts w:ascii="Symbol" w:hAnsi="Symbol" w:hint="default"/>
      </w:rPr>
    </w:lvl>
    <w:lvl w:ilvl="7" w:tplc="79F8A3A4" w:tentative="1">
      <w:start w:val="1"/>
      <w:numFmt w:val="bullet"/>
      <w:lvlText w:val="o"/>
      <w:lvlJc w:val="left"/>
      <w:pPr>
        <w:tabs>
          <w:tab w:val="num" w:pos="5760"/>
        </w:tabs>
        <w:ind w:left="5760" w:hanging="360"/>
      </w:pPr>
      <w:rPr>
        <w:rFonts w:ascii="Courier New" w:hAnsi="Courier New" w:cs="Courier New" w:hint="default"/>
      </w:rPr>
    </w:lvl>
    <w:lvl w:ilvl="8" w:tplc="4C6AD66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E908F5"/>
    <w:multiLevelType w:val="hybridMultilevel"/>
    <w:tmpl w:val="2BDACAD4"/>
    <w:lvl w:ilvl="0" w:tplc="9D16C772">
      <w:numFmt w:val="bullet"/>
      <w:lvlText w:val="-"/>
      <w:lvlJc w:val="left"/>
      <w:pPr>
        <w:ind w:left="720" w:hanging="360"/>
      </w:pPr>
      <w:rPr>
        <w:rFonts w:ascii="Calibri" w:eastAsia="Times New Roman" w:hAnsi="Calibri" w:cs="Calibri" w:hint="default"/>
      </w:rPr>
    </w:lvl>
    <w:lvl w:ilvl="1" w:tplc="F7A28D6E">
      <w:start w:val="1"/>
      <w:numFmt w:val="bullet"/>
      <w:lvlText w:val="o"/>
      <w:lvlJc w:val="left"/>
      <w:pPr>
        <w:ind w:left="1440" w:hanging="360"/>
      </w:pPr>
      <w:rPr>
        <w:rFonts w:ascii="Courier New" w:hAnsi="Courier New" w:cs="Courier New" w:hint="default"/>
      </w:rPr>
    </w:lvl>
    <w:lvl w:ilvl="2" w:tplc="5B9E2976">
      <w:start w:val="1"/>
      <w:numFmt w:val="bullet"/>
      <w:lvlText w:val=""/>
      <w:lvlJc w:val="left"/>
      <w:pPr>
        <w:ind w:left="2160" w:hanging="360"/>
      </w:pPr>
      <w:rPr>
        <w:rFonts w:ascii="Wingdings" w:hAnsi="Wingdings" w:hint="default"/>
      </w:rPr>
    </w:lvl>
    <w:lvl w:ilvl="3" w:tplc="DA385254">
      <w:start w:val="1"/>
      <w:numFmt w:val="bullet"/>
      <w:lvlText w:val=""/>
      <w:lvlJc w:val="left"/>
      <w:pPr>
        <w:ind w:left="2880" w:hanging="360"/>
      </w:pPr>
      <w:rPr>
        <w:rFonts w:ascii="Symbol" w:hAnsi="Symbol" w:hint="default"/>
      </w:rPr>
    </w:lvl>
    <w:lvl w:ilvl="4" w:tplc="BF56C480">
      <w:start w:val="1"/>
      <w:numFmt w:val="bullet"/>
      <w:lvlText w:val="o"/>
      <w:lvlJc w:val="left"/>
      <w:pPr>
        <w:ind w:left="3600" w:hanging="360"/>
      </w:pPr>
      <w:rPr>
        <w:rFonts w:ascii="Courier New" w:hAnsi="Courier New" w:cs="Courier New" w:hint="default"/>
      </w:rPr>
    </w:lvl>
    <w:lvl w:ilvl="5" w:tplc="13807FCC">
      <w:start w:val="1"/>
      <w:numFmt w:val="bullet"/>
      <w:lvlText w:val=""/>
      <w:lvlJc w:val="left"/>
      <w:pPr>
        <w:ind w:left="4320" w:hanging="360"/>
      </w:pPr>
      <w:rPr>
        <w:rFonts w:ascii="Wingdings" w:hAnsi="Wingdings" w:hint="default"/>
      </w:rPr>
    </w:lvl>
    <w:lvl w:ilvl="6" w:tplc="3C40AF9A">
      <w:start w:val="1"/>
      <w:numFmt w:val="bullet"/>
      <w:lvlText w:val=""/>
      <w:lvlJc w:val="left"/>
      <w:pPr>
        <w:ind w:left="5040" w:hanging="360"/>
      </w:pPr>
      <w:rPr>
        <w:rFonts w:ascii="Symbol" w:hAnsi="Symbol" w:hint="default"/>
      </w:rPr>
    </w:lvl>
    <w:lvl w:ilvl="7" w:tplc="45986E50">
      <w:start w:val="1"/>
      <w:numFmt w:val="bullet"/>
      <w:lvlText w:val="o"/>
      <w:lvlJc w:val="left"/>
      <w:pPr>
        <w:ind w:left="5760" w:hanging="360"/>
      </w:pPr>
      <w:rPr>
        <w:rFonts w:ascii="Courier New" w:hAnsi="Courier New" w:cs="Courier New" w:hint="default"/>
      </w:rPr>
    </w:lvl>
    <w:lvl w:ilvl="8" w:tplc="70D2B094">
      <w:start w:val="1"/>
      <w:numFmt w:val="bullet"/>
      <w:lvlText w:val=""/>
      <w:lvlJc w:val="left"/>
      <w:pPr>
        <w:ind w:left="6480" w:hanging="360"/>
      </w:pPr>
      <w:rPr>
        <w:rFonts w:ascii="Wingdings" w:hAnsi="Wingding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2704E4"/>
    <w:multiLevelType w:val="hybridMultilevel"/>
    <w:tmpl w:val="E396AEEE"/>
    <w:lvl w:ilvl="0" w:tplc="900C7F9E">
      <w:start w:val="1"/>
      <w:numFmt w:val="bullet"/>
      <w:lvlText w:val="-"/>
      <w:lvlJc w:val="left"/>
      <w:pPr>
        <w:ind w:left="360" w:hanging="360"/>
      </w:pPr>
      <w:rPr>
        <w:rFonts w:ascii="Aptos" w:hAnsi="Aptos" w:hint="default"/>
      </w:rPr>
    </w:lvl>
    <w:lvl w:ilvl="1" w:tplc="6F96333A">
      <w:start w:val="1"/>
      <w:numFmt w:val="bullet"/>
      <w:lvlText w:val="o"/>
      <w:lvlJc w:val="left"/>
      <w:pPr>
        <w:ind w:left="1080" w:hanging="360"/>
      </w:pPr>
      <w:rPr>
        <w:rFonts w:ascii="Courier New" w:hAnsi="Courier New" w:cs="Times New Roman" w:hint="default"/>
      </w:rPr>
    </w:lvl>
    <w:lvl w:ilvl="2" w:tplc="B562F2D6">
      <w:start w:val="1"/>
      <w:numFmt w:val="bullet"/>
      <w:lvlText w:val=""/>
      <w:lvlJc w:val="left"/>
      <w:pPr>
        <w:ind w:left="1800" w:hanging="360"/>
      </w:pPr>
      <w:rPr>
        <w:rFonts w:ascii="Wingdings" w:hAnsi="Wingdings" w:hint="default"/>
      </w:rPr>
    </w:lvl>
    <w:lvl w:ilvl="3" w:tplc="7AF0E0A6">
      <w:start w:val="1"/>
      <w:numFmt w:val="bullet"/>
      <w:lvlText w:val=""/>
      <w:lvlJc w:val="left"/>
      <w:pPr>
        <w:ind w:left="2520" w:hanging="360"/>
      </w:pPr>
      <w:rPr>
        <w:rFonts w:ascii="Symbol" w:hAnsi="Symbol" w:hint="default"/>
      </w:rPr>
    </w:lvl>
    <w:lvl w:ilvl="4" w:tplc="D71E5CAA">
      <w:start w:val="1"/>
      <w:numFmt w:val="bullet"/>
      <w:lvlText w:val="o"/>
      <w:lvlJc w:val="left"/>
      <w:pPr>
        <w:ind w:left="3240" w:hanging="360"/>
      </w:pPr>
      <w:rPr>
        <w:rFonts w:ascii="Courier New" w:hAnsi="Courier New" w:cs="Times New Roman" w:hint="default"/>
      </w:rPr>
    </w:lvl>
    <w:lvl w:ilvl="5" w:tplc="53AA3B84">
      <w:start w:val="1"/>
      <w:numFmt w:val="bullet"/>
      <w:lvlText w:val=""/>
      <w:lvlJc w:val="left"/>
      <w:pPr>
        <w:ind w:left="3960" w:hanging="360"/>
      </w:pPr>
      <w:rPr>
        <w:rFonts w:ascii="Wingdings" w:hAnsi="Wingdings" w:hint="default"/>
      </w:rPr>
    </w:lvl>
    <w:lvl w:ilvl="6" w:tplc="9850E160">
      <w:start w:val="1"/>
      <w:numFmt w:val="bullet"/>
      <w:lvlText w:val=""/>
      <w:lvlJc w:val="left"/>
      <w:pPr>
        <w:ind w:left="4680" w:hanging="360"/>
      </w:pPr>
      <w:rPr>
        <w:rFonts w:ascii="Symbol" w:hAnsi="Symbol" w:hint="default"/>
      </w:rPr>
    </w:lvl>
    <w:lvl w:ilvl="7" w:tplc="E53CE99C">
      <w:start w:val="1"/>
      <w:numFmt w:val="bullet"/>
      <w:lvlText w:val="o"/>
      <w:lvlJc w:val="left"/>
      <w:pPr>
        <w:ind w:left="5400" w:hanging="360"/>
      </w:pPr>
      <w:rPr>
        <w:rFonts w:ascii="Courier New" w:hAnsi="Courier New" w:cs="Times New Roman" w:hint="default"/>
      </w:rPr>
    </w:lvl>
    <w:lvl w:ilvl="8" w:tplc="B2CCE1B0">
      <w:start w:val="1"/>
      <w:numFmt w:val="bullet"/>
      <w:lvlText w:val=""/>
      <w:lvlJc w:val="left"/>
      <w:pPr>
        <w:ind w:left="6120" w:hanging="360"/>
      </w:pPr>
      <w:rPr>
        <w:rFonts w:ascii="Wingdings" w:hAnsi="Wingdings" w:hint="default"/>
      </w:rPr>
    </w:lvl>
  </w:abstractNum>
  <w:num w:numId="1" w16cid:durableId="973826016">
    <w:abstractNumId w:val="10"/>
  </w:num>
  <w:num w:numId="2" w16cid:durableId="94599192">
    <w:abstractNumId w:val="7"/>
  </w:num>
  <w:num w:numId="3" w16cid:durableId="1634359997">
    <w:abstractNumId w:val="6"/>
  </w:num>
  <w:num w:numId="4" w16cid:durableId="72708409">
    <w:abstractNumId w:val="5"/>
  </w:num>
  <w:num w:numId="5" w16cid:durableId="545917610">
    <w:abstractNumId w:val="4"/>
  </w:num>
  <w:num w:numId="6" w16cid:durableId="1072194249">
    <w:abstractNumId w:val="8"/>
  </w:num>
  <w:num w:numId="7" w16cid:durableId="369257980">
    <w:abstractNumId w:val="3"/>
  </w:num>
  <w:num w:numId="8" w16cid:durableId="1820875320">
    <w:abstractNumId w:val="2"/>
  </w:num>
  <w:num w:numId="9" w16cid:durableId="389424121">
    <w:abstractNumId w:val="1"/>
  </w:num>
  <w:num w:numId="10" w16cid:durableId="1645814095">
    <w:abstractNumId w:val="0"/>
  </w:num>
  <w:num w:numId="11" w16cid:durableId="109590191">
    <w:abstractNumId w:val="9"/>
  </w:num>
  <w:num w:numId="12" w16cid:durableId="905263970">
    <w:abstractNumId w:val="12"/>
  </w:num>
  <w:num w:numId="13" w16cid:durableId="2123305205">
    <w:abstractNumId w:val="15"/>
  </w:num>
  <w:num w:numId="14" w16cid:durableId="239143087">
    <w:abstractNumId w:val="13"/>
  </w:num>
  <w:num w:numId="15" w16cid:durableId="1938711256">
    <w:abstractNumId w:val="14"/>
  </w:num>
  <w:num w:numId="16" w16cid:durableId="1413507000">
    <w:abstractNumId w:val="11"/>
  </w:num>
  <w:num w:numId="17" w16cid:durableId="580874162">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26FA9"/>
    <w:rsid w:val="00031FBE"/>
    <w:rsid w:val="00033CDD"/>
    <w:rsid w:val="00034A84"/>
    <w:rsid w:val="00035E67"/>
    <w:rsid w:val="000366F3"/>
    <w:rsid w:val="00042EFA"/>
    <w:rsid w:val="00044437"/>
    <w:rsid w:val="0006024D"/>
    <w:rsid w:val="00071F28"/>
    <w:rsid w:val="00074079"/>
    <w:rsid w:val="00092799"/>
    <w:rsid w:val="00092C5F"/>
    <w:rsid w:val="00096680"/>
    <w:rsid w:val="000A0F36"/>
    <w:rsid w:val="000A174A"/>
    <w:rsid w:val="000A3E0A"/>
    <w:rsid w:val="000A65AC"/>
    <w:rsid w:val="000B024B"/>
    <w:rsid w:val="000B382B"/>
    <w:rsid w:val="000B7281"/>
    <w:rsid w:val="000B7FAB"/>
    <w:rsid w:val="000C0163"/>
    <w:rsid w:val="000C1BA1"/>
    <w:rsid w:val="000C3EA9"/>
    <w:rsid w:val="000D0225"/>
    <w:rsid w:val="000D6CCE"/>
    <w:rsid w:val="000E7895"/>
    <w:rsid w:val="000F161D"/>
    <w:rsid w:val="000F3CAA"/>
    <w:rsid w:val="00107296"/>
    <w:rsid w:val="00121BF0"/>
    <w:rsid w:val="00123704"/>
    <w:rsid w:val="001270C7"/>
    <w:rsid w:val="00132540"/>
    <w:rsid w:val="0014786A"/>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C5B3F"/>
    <w:rsid w:val="001E34C6"/>
    <w:rsid w:val="001E4101"/>
    <w:rsid w:val="001E5581"/>
    <w:rsid w:val="001F3C70"/>
    <w:rsid w:val="00200D88"/>
    <w:rsid w:val="00201F68"/>
    <w:rsid w:val="00212F2A"/>
    <w:rsid w:val="00214F2B"/>
    <w:rsid w:val="00217880"/>
    <w:rsid w:val="00222D66"/>
    <w:rsid w:val="00224A8A"/>
    <w:rsid w:val="00230238"/>
    <w:rsid w:val="002309A8"/>
    <w:rsid w:val="00231909"/>
    <w:rsid w:val="00236CFE"/>
    <w:rsid w:val="0024169F"/>
    <w:rsid w:val="002428E3"/>
    <w:rsid w:val="00243031"/>
    <w:rsid w:val="002570B4"/>
    <w:rsid w:val="00260BAF"/>
    <w:rsid w:val="002635AA"/>
    <w:rsid w:val="002650F7"/>
    <w:rsid w:val="00273F3B"/>
    <w:rsid w:val="00274DB7"/>
    <w:rsid w:val="00275984"/>
    <w:rsid w:val="002808B6"/>
    <w:rsid w:val="00280F74"/>
    <w:rsid w:val="002822CA"/>
    <w:rsid w:val="00286998"/>
    <w:rsid w:val="00291AB7"/>
    <w:rsid w:val="00292EB2"/>
    <w:rsid w:val="0029422B"/>
    <w:rsid w:val="002A0938"/>
    <w:rsid w:val="002B153C"/>
    <w:rsid w:val="002B479F"/>
    <w:rsid w:val="002B52FC"/>
    <w:rsid w:val="002C2830"/>
    <w:rsid w:val="002D001A"/>
    <w:rsid w:val="002D0DDB"/>
    <w:rsid w:val="002D28E2"/>
    <w:rsid w:val="002D317B"/>
    <w:rsid w:val="002D3587"/>
    <w:rsid w:val="002D502D"/>
    <w:rsid w:val="002E0F69"/>
    <w:rsid w:val="002E2258"/>
    <w:rsid w:val="002F5147"/>
    <w:rsid w:val="002F7ABD"/>
    <w:rsid w:val="0030029B"/>
    <w:rsid w:val="00312597"/>
    <w:rsid w:val="003145A7"/>
    <w:rsid w:val="0032671C"/>
    <w:rsid w:val="00327BA5"/>
    <w:rsid w:val="00334154"/>
    <w:rsid w:val="00336E15"/>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65812"/>
    <w:rsid w:val="00366054"/>
    <w:rsid w:val="0037062C"/>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45A8"/>
    <w:rsid w:val="003B7EE7"/>
    <w:rsid w:val="003C1595"/>
    <w:rsid w:val="003C2CCB"/>
    <w:rsid w:val="003C4855"/>
    <w:rsid w:val="003D39EC"/>
    <w:rsid w:val="003D5DED"/>
    <w:rsid w:val="003E3DD5"/>
    <w:rsid w:val="003F07C6"/>
    <w:rsid w:val="003F1F6B"/>
    <w:rsid w:val="003F210B"/>
    <w:rsid w:val="003F3757"/>
    <w:rsid w:val="003F38BD"/>
    <w:rsid w:val="003F3C60"/>
    <w:rsid w:val="003F44B7"/>
    <w:rsid w:val="003F6157"/>
    <w:rsid w:val="004008E9"/>
    <w:rsid w:val="00405378"/>
    <w:rsid w:val="00413D48"/>
    <w:rsid w:val="00441AC2"/>
    <w:rsid w:val="0044249B"/>
    <w:rsid w:val="0045023C"/>
    <w:rsid w:val="00450D91"/>
    <w:rsid w:val="00451A5B"/>
    <w:rsid w:val="00452BCD"/>
    <w:rsid w:val="00452CEA"/>
    <w:rsid w:val="00465B52"/>
    <w:rsid w:val="0046708E"/>
    <w:rsid w:val="00472A65"/>
    <w:rsid w:val="00474463"/>
    <w:rsid w:val="00474B75"/>
    <w:rsid w:val="00475175"/>
    <w:rsid w:val="00483F0B"/>
    <w:rsid w:val="00496319"/>
    <w:rsid w:val="00497279"/>
    <w:rsid w:val="004A163B"/>
    <w:rsid w:val="004A670A"/>
    <w:rsid w:val="004B5465"/>
    <w:rsid w:val="004B70F0"/>
    <w:rsid w:val="004D505E"/>
    <w:rsid w:val="004D72CA"/>
    <w:rsid w:val="004E2242"/>
    <w:rsid w:val="004E4776"/>
    <w:rsid w:val="004E505E"/>
    <w:rsid w:val="004F42FF"/>
    <w:rsid w:val="004F44C2"/>
    <w:rsid w:val="00502512"/>
    <w:rsid w:val="00503FD2"/>
    <w:rsid w:val="00505262"/>
    <w:rsid w:val="00516022"/>
    <w:rsid w:val="00521CEE"/>
    <w:rsid w:val="00524FB4"/>
    <w:rsid w:val="00525D81"/>
    <w:rsid w:val="00527BD4"/>
    <w:rsid w:val="00537095"/>
    <w:rsid w:val="005403C8"/>
    <w:rsid w:val="005429DC"/>
    <w:rsid w:val="005461DA"/>
    <w:rsid w:val="005565F9"/>
    <w:rsid w:val="00573041"/>
    <w:rsid w:val="00575B80"/>
    <w:rsid w:val="0057620F"/>
    <w:rsid w:val="0057795F"/>
    <w:rsid w:val="00581060"/>
    <w:rsid w:val="005819CE"/>
    <w:rsid w:val="0058298D"/>
    <w:rsid w:val="00584C1A"/>
    <w:rsid w:val="00593C2B"/>
    <w:rsid w:val="00595231"/>
    <w:rsid w:val="00596166"/>
    <w:rsid w:val="00597F64"/>
    <w:rsid w:val="005A207F"/>
    <w:rsid w:val="005A2F35"/>
    <w:rsid w:val="005B3814"/>
    <w:rsid w:val="005B463E"/>
    <w:rsid w:val="005C2538"/>
    <w:rsid w:val="005C34E1"/>
    <w:rsid w:val="005C3FE0"/>
    <w:rsid w:val="005C740C"/>
    <w:rsid w:val="005D32D1"/>
    <w:rsid w:val="005D625B"/>
    <w:rsid w:val="005E2CC3"/>
    <w:rsid w:val="005F62D3"/>
    <w:rsid w:val="005F6D11"/>
    <w:rsid w:val="00600CF0"/>
    <w:rsid w:val="006048F4"/>
    <w:rsid w:val="0060660A"/>
    <w:rsid w:val="00613B1D"/>
    <w:rsid w:val="00617A44"/>
    <w:rsid w:val="006202B6"/>
    <w:rsid w:val="00621DEC"/>
    <w:rsid w:val="00624D22"/>
    <w:rsid w:val="00625CD0"/>
    <w:rsid w:val="0062627D"/>
    <w:rsid w:val="00627432"/>
    <w:rsid w:val="006448E4"/>
    <w:rsid w:val="00645414"/>
    <w:rsid w:val="00651CEE"/>
    <w:rsid w:val="00653606"/>
    <w:rsid w:val="006610E9"/>
    <w:rsid w:val="00661591"/>
    <w:rsid w:val="0066433F"/>
    <w:rsid w:val="00664678"/>
    <w:rsid w:val="00664A01"/>
    <w:rsid w:val="0066632F"/>
    <w:rsid w:val="00674A89"/>
    <w:rsid w:val="00674F3D"/>
    <w:rsid w:val="00685545"/>
    <w:rsid w:val="006864B3"/>
    <w:rsid w:val="00692D64"/>
    <w:rsid w:val="006A10F8"/>
    <w:rsid w:val="006A1BF8"/>
    <w:rsid w:val="006A2100"/>
    <w:rsid w:val="006A5C3B"/>
    <w:rsid w:val="006A72E0"/>
    <w:rsid w:val="006B0BF3"/>
    <w:rsid w:val="006B775E"/>
    <w:rsid w:val="006B7BC7"/>
    <w:rsid w:val="006C2535"/>
    <w:rsid w:val="006C441E"/>
    <w:rsid w:val="006C4B90"/>
    <w:rsid w:val="006D1016"/>
    <w:rsid w:val="006D1737"/>
    <w:rsid w:val="006D17F2"/>
    <w:rsid w:val="006E3546"/>
    <w:rsid w:val="006E3FA9"/>
    <w:rsid w:val="006E40C6"/>
    <w:rsid w:val="006E7D82"/>
    <w:rsid w:val="006F038F"/>
    <w:rsid w:val="006F0F93"/>
    <w:rsid w:val="006F31F2"/>
    <w:rsid w:val="006F7494"/>
    <w:rsid w:val="006F751F"/>
    <w:rsid w:val="007008C0"/>
    <w:rsid w:val="00714DC5"/>
    <w:rsid w:val="00715237"/>
    <w:rsid w:val="00721AE1"/>
    <w:rsid w:val="007254A5"/>
    <w:rsid w:val="00725748"/>
    <w:rsid w:val="00735D88"/>
    <w:rsid w:val="0073720D"/>
    <w:rsid w:val="00737507"/>
    <w:rsid w:val="00740712"/>
    <w:rsid w:val="00742AB9"/>
    <w:rsid w:val="0074557D"/>
    <w:rsid w:val="00751A6A"/>
    <w:rsid w:val="00754FBF"/>
    <w:rsid w:val="007610AA"/>
    <w:rsid w:val="007709EF"/>
    <w:rsid w:val="00773F18"/>
    <w:rsid w:val="00781DCA"/>
    <w:rsid w:val="00782701"/>
    <w:rsid w:val="00783559"/>
    <w:rsid w:val="0079551B"/>
    <w:rsid w:val="00796B78"/>
    <w:rsid w:val="00797AA5"/>
    <w:rsid w:val="007A26BD"/>
    <w:rsid w:val="007A4105"/>
    <w:rsid w:val="007B4503"/>
    <w:rsid w:val="007B7905"/>
    <w:rsid w:val="007C406E"/>
    <w:rsid w:val="007C5183"/>
    <w:rsid w:val="007C53DC"/>
    <w:rsid w:val="007C5EFC"/>
    <w:rsid w:val="007C7573"/>
    <w:rsid w:val="007E2B20"/>
    <w:rsid w:val="007E6975"/>
    <w:rsid w:val="007F0015"/>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9B0"/>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A56"/>
    <w:rsid w:val="0090271B"/>
    <w:rsid w:val="00910642"/>
    <w:rsid w:val="00910DDF"/>
    <w:rsid w:val="009124FF"/>
    <w:rsid w:val="00926AE2"/>
    <w:rsid w:val="00930B13"/>
    <w:rsid w:val="009311C8"/>
    <w:rsid w:val="00933376"/>
    <w:rsid w:val="00933A2F"/>
    <w:rsid w:val="00934AB2"/>
    <w:rsid w:val="00967600"/>
    <w:rsid w:val="009716D8"/>
    <w:rsid w:val="009718F9"/>
    <w:rsid w:val="00971F42"/>
    <w:rsid w:val="00972FB9"/>
    <w:rsid w:val="00975112"/>
    <w:rsid w:val="00981768"/>
    <w:rsid w:val="00983E8F"/>
    <w:rsid w:val="00985E56"/>
    <w:rsid w:val="0098788A"/>
    <w:rsid w:val="0099243B"/>
    <w:rsid w:val="00994FDA"/>
    <w:rsid w:val="009969F2"/>
    <w:rsid w:val="009A31BF"/>
    <w:rsid w:val="009A3B71"/>
    <w:rsid w:val="009A55B4"/>
    <w:rsid w:val="009A61BC"/>
    <w:rsid w:val="009B0138"/>
    <w:rsid w:val="009B0FE9"/>
    <w:rsid w:val="009B173A"/>
    <w:rsid w:val="009C3F20"/>
    <w:rsid w:val="009C7CA1"/>
    <w:rsid w:val="009D043D"/>
    <w:rsid w:val="009D0B5A"/>
    <w:rsid w:val="009E107A"/>
    <w:rsid w:val="009F3259"/>
    <w:rsid w:val="00A056DE"/>
    <w:rsid w:val="00A128AD"/>
    <w:rsid w:val="00A21E76"/>
    <w:rsid w:val="00A23BC8"/>
    <w:rsid w:val="00A245F8"/>
    <w:rsid w:val="00A30E68"/>
    <w:rsid w:val="00A31933"/>
    <w:rsid w:val="00A329D2"/>
    <w:rsid w:val="00A34AA0"/>
    <w:rsid w:val="00A35254"/>
    <w:rsid w:val="00A3715C"/>
    <w:rsid w:val="00A41FE2"/>
    <w:rsid w:val="00A46FEF"/>
    <w:rsid w:val="00A47948"/>
    <w:rsid w:val="00A50CF6"/>
    <w:rsid w:val="00A56946"/>
    <w:rsid w:val="00A6170E"/>
    <w:rsid w:val="00A63B8C"/>
    <w:rsid w:val="00A715F8"/>
    <w:rsid w:val="00A77F6F"/>
    <w:rsid w:val="00A806D3"/>
    <w:rsid w:val="00A831FD"/>
    <w:rsid w:val="00A83352"/>
    <w:rsid w:val="00A850A2"/>
    <w:rsid w:val="00A91FA3"/>
    <w:rsid w:val="00A927D3"/>
    <w:rsid w:val="00AA7FC9"/>
    <w:rsid w:val="00AB237D"/>
    <w:rsid w:val="00AB5933"/>
    <w:rsid w:val="00AE013D"/>
    <w:rsid w:val="00AE11B7"/>
    <w:rsid w:val="00AE75C9"/>
    <w:rsid w:val="00AE7F68"/>
    <w:rsid w:val="00AF2321"/>
    <w:rsid w:val="00AF484C"/>
    <w:rsid w:val="00AF52F6"/>
    <w:rsid w:val="00AF54A8"/>
    <w:rsid w:val="00AF7237"/>
    <w:rsid w:val="00B0043A"/>
    <w:rsid w:val="00B00D75"/>
    <w:rsid w:val="00B04649"/>
    <w:rsid w:val="00B070CB"/>
    <w:rsid w:val="00B12456"/>
    <w:rsid w:val="00B12B12"/>
    <w:rsid w:val="00B145F0"/>
    <w:rsid w:val="00B259C8"/>
    <w:rsid w:val="00B26CCF"/>
    <w:rsid w:val="00B30FC2"/>
    <w:rsid w:val="00B331A2"/>
    <w:rsid w:val="00B425F0"/>
    <w:rsid w:val="00B42DFA"/>
    <w:rsid w:val="00B458B3"/>
    <w:rsid w:val="00B531DD"/>
    <w:rsid w:val="00B55014"/>
    <w:rsid w:val="00B62232"/>
    <w:rsid w:val="00B70BF3"/>
    <w:rsid w:val="00B71DC2"/>
    <w:rsid w:val="00B80E8A"/>
    <w:rsid w:val="00B824BA"/>
    <w:rsid w:val="00B84CBD"/>
    <w:rsid w:val="00B91CFC"/>
    <w:rsid w:val="00B93893"/>
    <w:rsid w:val="00BA1397"/>
    <w:rsid w:val="00BA7E0A"/>
    <w:rsid w:val="00BB148F"/>
    <w:rsid w:val="00BC3B53"/>
    <w:rsid w:val="00BC3B96"/>
    <w:rsid w:val="00BC4AE3"/>
    <w:rsid w:val="00BC5B28"/>
    <w:rsid w:val="00BD2370"/>
    <w:rsid w:val="00BD725C"/>
    <w:rsid w:val="00BE0C00"/>
    <w:rsid w:val="00BE3F88"/>
    <w:rsid w:val="00BE4756"/>
    <w:rsid w:val="00BE5ED9"/>
    <w:rsid w:val="00BE7B41"/>
    <w:rsid w:val="00C0405D"/>
    <w:rsid w:val="00C10029"/>
    <w:rsid w:val="00C15A91"/>
    <w:rsid w:val="00C206F1"/>
    <w:rsid w:val="00C217E1"/>
    <w:rsid w:val="00C219B1"/>
    <w:rsid w:val="00C3239E"/>
    <w:rsid w:val="00C37826"/>
    <w:rsid w:val="00C4015B"/>
    <w:rsid w:val="00C40268"/>
    <w:rsid w:val="00C40C60"/>
    <w:rsid w:val="00C5258E"/>
    <w:rsid w:val="00C530C9"/>
    <w:rsid w:val="00C619A7"/>
    <w:rsid w:val="00C63C02"/>
    <w:rsid w:val="00C73D5F"/>
    <w:rsid w:val="00C80455"/>
    <w:rsid w:val="00C82AFE"/>
    <w:rsid w:val="00C83DBC"/>
    <w:rsid w:val="00C83EAD"/>
    <w:rsid w:val="00C97C80"/>
    <w:rsid w:val="00CA47D3"/>
    <w:rsid w:val="00CA6533"/>
    <w:rsid w:val="00CA6A25"/>
    <w:rsid w:val="00CA6A3F"/>
    <w:rsid w:val="00CA7C99"/>
    <w:rsid w:val="00CC6290"/>
    <w:rsid w:val="00CD233D"/>
    <w:rsid w:val="00CD3499"/>
    <w:rsid w:val="00CD362D"/>
    <w:rsid w:val="00CE101D"/>
    <w:rsid w:val="00CE15B8"/>
    <w:rsid w:val="00CE1814"/>
    <w:rsid w:val="00CE1A95"/>
    <w:rsid w:val="00CE1C84"/>
    <w:rsid w:val="00CE5055"/>
    <w:rsid w:val="00CF053F"/>
    <w:rsid w:val="00CF1A17"/>
    <w:rsid w:val="00CF71AB"/>
    <w:rsid w:val="00D0375A"/>
    <w:rsid w:val="00D0609E"/>
    <w:rsid w:val="00D078E1"/>
    <w:rsid w:val="00D100E9"/>
    <w:rsid w:val="00D15779"/>
    <w:rsid w:val="00D17568"/>
    <w:rsid w:val="00D17942"/>
    <w:rsid w:val="00D21E4B"/>
    <w:rsid w:val="00D22441"/>
    <w:rsid w:val="00D23522"/>
    <w:rsid w:val="00D264D6"/>
    <w:rsid w:val="00D27100"/>
    <w:rsid w:val="00D33BF0"/>
    <w:rsid w:val="00D33DE0"/>
    <w:rsid w:val="00D36447"/>
    <w:rsid w:val="00D516BE"/>
    <w:rsid w:val="00D5423B"/>
    <w:rsid w:val="00D54E6A"/>
    <w:rsid w:val="00D54F4E"/>
    <w:rsid w:val="00D57A56"/>
    <w:rsid w:val="00D604B3"/>
    <w:rsid w:val="00D60BA4"/>
    <w:rsid w:val="00D62419"/>
    <w:rsid w:val="00D71182"/>
    <w:rsid w:val="00D77870"/>
    <w:rsid w:val="00D80977"/>
    <w:rsid w:val="00D80CCE"/>
    <w:rsid w:val="00D86EEA"/>
    <w:rsid w:val="00D87195"/>
    <w:rsid w:val="00D87D03"/>
    <w:rsid w:val="00D9360B"/>
    <w:rsid w:val="00D95C88"/>
    <w:rsid w:val="00D97B2E"/>
    <w:rsid w:val="00DA241E"/>
    <w:rsid w:val="00DB1593"/>
    <w:rsid w:val="00DB36FE"/>
    <w:rsid w:val="00DB533A"/>
    <w:rsid w:val="00DB60AE"/>
    <w:rsid w:val="00DB6307"/>
    <w:rsid w:val="00DD1DCD"/>
    <w:rsid w:val="00DD338F"/>
    <w:rsid w:val="00DD66F2"/>
    <w:rsid w:val="00DE1E04"/>
    <w:rsid w:val="00DE3FE0"/>
    <w:rsid w:val="00DE578A"/>
    <w:rsid w:val="00DF2583"/>
    <w:rsid w:val="00DF54D9"/>
    <w:rsid w:val="00DF7283"/>
    <w:rsid w:val="00E0091D"/>
    <w:rsid w:val="00E01A59"/>
    <w:rsid w:val="00E10A84"/>
    <w:rsid w:val="00E10DC6"/>
    <w:rsid w:val="00E11F8E"/>
    <w:rsid w:val="00E15881"/>
    <w:rsid w:val="00E16A8F"/>
    <w:rsid w:val="00E21DE3"/>
    <w:rsid w:val="00E273C5"/>
    <w:rsid w:val="00E307D1"/>
    <w:rsid w:val="00E30FE8"/>
    <w:rsid w:val="00E3731D"/>
    <w:rsid w:val="00E51469"/>
    <w:rsid w:val="00E573A1"/>
    <w:rsid w:val="00E634E3"/>
    <w:rsid w:val="00E66FC8"/>
    <w:rsid w:val="00E717C4"/>
    <w:rsid w:val="00E77E18"/>
    <w:rsid w:val="00E77F89"/>
    <w:rsid w:val="00E80330"/>
    <w:rsid w:val="00E806C5"/>
    <w:rsid w:val="00E80E71"/>
    <w:rsid w:val="00E850D3"/>
    <w:rsid w:val="00E853D6"/>
    <w:rsid w:val="00E876B9"/>
    <w:rsid w:val="00EA0F13"/>
    <w:rsid w:val="00EA231A"/>
    <w:rsid w:val="00EB5C9C"/>
    <w:rsid w:val="00EC0DFF"/>
    <w:rsid w:val="00EC237D"/>
    <w:rsid w:val="00EC2918"/>
    <w:rsid w:val="00EC4D0E"/>
    <w:rsid w:val="00EC4E2B"/>
    <w:rsid w:val="00ED072A"/>
    <w:rsid w:val="00ED539E"/>
    <w:rsid w:val="00EE4A1F"/>
    <w:rsid w:val="00EE4C2D"/>
    <w:rsid w:val="00EE528F"/>
    <w:rsid w:val="00EF1B5A"/>
    <w:rsid w:val="00EF24FB"/>
    <w:rsid w:val="00EF2CCA"/>
    <w:rsid w:val="00EF495B"/>
    <w:rsid w:val="00EF60DC"/>
    <w:rsid w:val="00F00F54"/>
    <w:rsid w:val="00F03473"/>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1F3C"/>
    <w:rsid w:val="00F720D0"/>
    <w:rsid w:val="00F74073"/>
    <w:rsid w:val="00F748E6"/>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E6DEF"/>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61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rsid w:val="00CF71AB"/>
    <w:rPr>
      <w:rFonts w:ascii="Verdana" w:hAnsi="Verdana"/>
      <w:lang w:val="nl-NL" w:eastAsia="nl-NL"/>
    </w:rPr>
  </w:style>
  <w:style w:type="character" w:styleId="Verwijzingopmerking">
    <w:name w:val="annotation reference"/>
    <w:basedOn w:val="Standaardalinea-lettertype"/>
    <w:uiPriority w:val="99"/>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525D81"/>
    <w:pPr>
      <w:ind w:left="720"/>
      <w:contextualSpacing/>
    </w:pPr>
  </w:style>
  <w:style w:type="character" w:styleId="Voetnootmarkering">
    <w:name w:val="footnote reference"/>
    <w:basedOn w:val="Standaardalinea-lettertype"/>
    <w:uiPriority w:val="99"/>
    <w:semiHidden/>
    <w:unhideWhenUsed/>
    <w:rsid w:val="00FE6DEF"/>
    <w:rPr>
      <w:vertAlign w:val="superscript"/>
    </w:rPr>
  </w:style>
  <w:style w:type="paragraph" w:styleId="Revisie">
    <w:name w:val="Revision"/>
    <w:hidden/>
    <w:uiPriority w:val="99"/>
    <w:semiHidden/>
    <w:rsid w:val="003F210B"/>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3F210B"/>
    <w:rPr>
      <w:b/>
      <w:bCs/>
    </w:rPr>
  </w:style>
  <w:style w:type="character" w:customStyle="1" w:styleId="OnderwerpvanopmerkingChar">
    <w:name w:val="Onderwerp van opmerking Char"/>
    <w:basedOn w:val="TekstopmerkingChar"/>
    <w:link w:val="Onderwerpvanopmerking"/>
    <w:semiHidden/>
    <w:rsid w:val="003F210B"/>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2726">
      <w:bodyDiv w:val="1"/>
      <w:marLeft w:val="0"/>
      <w:marRight w:val="0"/>
      <w:marTop w:val="0"/>
      <w:marBottom w:val="0"/>
      <w:divBdr>
        <w:top w:val="none" w:sz="0" w:space="0" w:color="auto"/>
        <w:left w:val="none" w:sz="0" w:space="0" w:color="auto"/>
        <w:bottom w:val="none" w:sz="0" w:space="0" w:color="auto"/>
        <w:right w:val="none" w:sz="0" w:space="0" w:color="auto"/>
      </w:divBdr>
    </w:div>
    <w:div w:id="1279145963">
      <w:bodyDiv w:val="1"/>
      <w:marLeft w:val="0"/>
      <w:marRight w:val="0"/>
      <w:marTop w:val="0"/>
      <w:marBottom w:val="0"/>
      <w:divBdr>
        <w:top w:val="none" w:sz="0" w:space="0" w:color="auto"/>
        <w:left w:val="none" w:sz="0" w:space="0" w:color="auto"/>
        <w:bottom w:val="none" w:sz="0" w:space="0" w:color="auto"/>
        <w:right w:val="none" w:sz="0" w:space="0" w:color="auto"/>
      </w:divBdr>
    </w:div>
    <w:div w:id="1300500674">
      <w:bodyDiv w:val="1"/>
      <w:marLeft w:val="0"/>
      <w:marRight w:val="0"/>
      <w:marTop w:val="0"/>
      <w:marBottom w:val="0"/>
      <w:divBdr>
        <w:top w:val="none" w:sz="0" w:space="0" w:color="auto"/>
        <w:left w:val="none" w:sz="0" w:space="0" w:color="auto"/>
        <w:bottom w:val="none" w:sz="0" w:space="0" w:color="auto"/>
        <w:right w:val="none" w:sz="0" w:space="0" w:color="auto"/>
      </w:divBdr>
    </w:div>
    <w:div w:id="1758475419">
      <w:bodyDiv w:val="1"/>
      <w:marLeft w:val="0"/>
      <w:marRight w:val="0"/>
      <w:marTop w:val="0"/>
      <w:marBottom w:val="0"/>
      <w:divBdr>
        <w:top w:val="none" w:sz="0" w:space="0" w:color="auto"/>
        <w:left w:val="none" w:sz="0" w:space="0" w:color="auto"/>
        <w:bottom w:val="none" w:sz="0" w:space="0" w:color="auto"/>
        <w:right w:val="none" w:sz="0" w:space="0" w:color="auto"/>
      </w:divBdr>
    </w:div>
    <w:div w:id="2073578870">
      <w:bodyDiv w:val="1"/>
      <w:marLeft w:val="0"/>
      <w:marRight w:val="0"/>
      <w:marTop w:val="0"/>
      <w:marBottom w:val="0"/>
      <w:divBdr>
        <w:top w:val="none" w:sz="0" w:space="0" w:color="auto"/>
        <w:left w:val="none" w:sz="0" w:space="0" w:color="auto"/>
        <w:bottom w:val="none" w:sz="0" w:space="0" w:color="auto"/>
        <w:right w:val="none" w:sz="0" w:space="0" w:color="auto"/>
      </w:divBdr>
    </w:div>
    <w:div w:id="2123529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etten.overheid.nl/BWBR0047890/2023-02-21" TargetMode="External"/><Relationship Id="rId2" Type="http://schemas.openxmlformats.org/officeDocument/2006/relationships/hyperlink" Target="https://www.rijksoverheid.nl/documenten/kamerstukken/2025/06/23/kamerbrief-joint-letter-of-intent-cooperatie-koninklijke-cosun-ua" TargetMode="External"/><Relationship Id="rId1" Type="http://schemas.openxmlformats.org/officeDocument/2006/relationships/hyperlink" Target="https://www.rijksoverheid.nl/documenten/kamerstukken/2023/11/22/kamerbrief-joint-letter-of-intent-maatwerk-nobian" TargetMode="External"/><Relationship Id="rId4" Type="http://schemas.openxmlformats.org/officeDocument/2006/relationships/hyperlink" Target="https://eur-lex.europa.eu/eli/reg_del/2025/1222/oj"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cd88dc2-102c-473d-aa45-6161565a3617}"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4</ap:Pages>
  <ap:Words>1431</ap:Words>
  <ap:Characters>7970</ap:Characters>
  <ap:DocSecurity>0</ap:DocSecurity>
  <ap:Lines>66</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9383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2025-07-08T13:55:00.0000000Z</dcterms:created>
  <dcterms:modified xsi:type="dcterms:W3CDTF">2025-07-08T17:05:00.0000000Z</dcterms:modified>
  <dc:description>------------------------</dc:description>
  <dc:subject/>
  <keywords/>
  <version/>
  <category/>
</coreProperties>
</file>