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2025Z14457</w:t>
        <w:br/>
      </w:r>
      <w:proofErr w:type="spellEnd"/>
    </w:p>
    <w:p>
      <w:pPr>
        <w:pStyle w:val="Normal"/>
        <w:rPr>
          <w:b w:val="1"/>
          <w:bCs w:val="1"/>
        </w:rPr>
      </w:pPr>
      <w:r w:rsidR="250AE766">
        <w:rPr>
          <w:b w:val="0"/>
          <w:bCs w:val="0"/>
        </w:rPr>
        <w:t>(ingezonden 9 juli 2025)</w:t>
        <w:br/>
      </w:r>
    </w:p>
    <w:p>
      <w:r>
        <w:t xml:space="preserve">Vragen van het lid Wingelaar (Nieuw Sociaal Contract) aan de staatssecretaris van Infrastructuur en Waterstaat en de minister van Klimaat en Groene Groei over het Eindrapport Plastic Tafel.</w:t>
      </w:r>
      <w:r>
        <w:br/>
      </w:r>
    </w:p>
    <w:p>
      <w:r>
        <w:t xml:space="preserve">1. In hoeverre tellen de maatregelen in het pakket op tot de kabinetsnorm van 30% circulaire plastics in 2030, conform de brief van minister Hermans? 1) 2)</w:t>
      </w:r>
      <w:r>
        <w:br/>
      </w:r>
    </w:p>
    <w:p>
      <w:r>
        <w:t xml:space="preserve">2. Kunt u aangeven hoeveel investeringen, patenten en capaciteit er verdwenen zijn door recente faillissementen op het gebied van chemische recycling en biobased productie en welke geplande investeringen uiteindelijk niet gerealiseerd werden? Welke regio’s worden daarbij specifiek geraakt?</w:t>
      </w:r>
      <w:r>
        <w:br/>
      </w:r>
    </w:p>
    <w:p>
      <w:r>
        <w:t xml:space="preserve">3. Bent u in gesprek met banken en investeerders om na te gaan of deze met het normerende pakket aan maatregelen weer vertrouwen voelen in de rol van de overheid in de circulaire economie? Zo nee, bent u bereid dit te doen en hierover voor het commissiedebat circulaire economie te rapporteren aan de Tweede Kamer? Kunt u daarbij specifiek nagaan of circulaire bedrijven met deze maatregelen naar de bank kunnen, zodat er weer investeringen kunnen worden gedaan?</w:t>
      </w:r>
      <w:r>
        <w:br/>
      </w:r>
    </w:p>
    <w:p>
      <w:r>
        <w:t xml:space="preserve">4. Vrijblijvende afspraken in het Plastic Pact werden eerder niet nagekomen, in hoeverre is de hefboom binnen dit pakket van normerende maatregelen essentieel om te voldoen aan het PBL (Planbureau voor de Leefomgeving)-advies voor 'dwingende en dringende stappen'?</w:t>
      </w:r>
      <w:r>
        <w:br/>
      </w:r>
    </w:p>
    <w:p>
      <w:r>
        <w:t xml:space="preserve">5. Bent u bereid het hele pakket van normerende maatregelen integraal over te nemen om te recht te doen aan de volledige consensus aan tafel? Zo nee, waarom niet?</w:t>
      </w:r>
      <w:r>
        <w:br/>
      </w:r>
    </w:p>
    <w:p>
      <w:r>
        <w:t xml:space="preserve">6. Het industriealarm wordt stevig geluid, gaan uw gedachten daarbij ook uit naar de gamechangers in de circulaire industrie? Zo ja, op welke manier wordt hier de komende tijd aandacht aan besteed?</w:t>
      </w:r>
      <w:r>
        <w:br/>
      </w:r>
    </w:p>
    <w:p>
      <w:r>
        <w:t xml:space="preserve">1) Kamerstuk 33043, nr. 114</w:t>
      </w:r>
      <w:r>
        <w:br/>
      </w:r>
    </w:p>
    <w:p>
      <w:r>
        <w:t xml:space="preserve">2) Rijksoverheid, 25 april 2025, (Ontwerp-Meerjarenprogramma 2026 Klimaatfonds | Rapport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