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1321" w:rsidR="00A21321" w:rsidP="00A21321" w:rsidRDefault="00A21321" w14:paraId="2CC67F72" w14:textId="77777777">
      <w:pPr>
        <w:pStyle w:val="WitregelW1bodytekst"/>
      </w:pPr>
      <w:bookmarkStart w:name="_GoBack" w:id="0"/>
      <w:bookmarkEnd w:id="0"/>
      <w:r w:rsidRPr="00A21321">
        <w:t>Geachte voorzitter,</w:t>
      </w:r>
    </w:p>
    <w:p w:rsidRPr="00A21321" w:rsidR="00A21321" w:rsidP="00A21321" w:rsidRDefault="00A21321" w14:paraId="5613F149" w14:textId="77777777">
      <w:pPr>
        <w:pStyle w:val="WitregelW1bodytekst"/>
      </w:pPr>
    </w:p>
    <w:p w:rsidR="00220BA3" w:rsidP="00E548F6" w:rsidRDefault="00B56459" w14:paraId="54B3C151" w14:textId="157FE2F5">
      <w:r>
        <w:t>Verschillende soorten</w:t>
      </w:r>
      <w:r w:rsidRPr="00220BA3">
        <w:t xml:space="preserve"> </w:t>
      </w:r>
      <w:r w:rsidRPr="00220BA3" w:rsidR="00220BA3">
        <w:t xml:space="preserve">vervoermiddelen zijn nodig voor een goede bereikbaarheid van werk en voorzieningen: individuele vervoermiddelen, zoals auto en (motor)fiets; collectieve vervoermiddelen, zoals trein en bus; en daartussen </w:t>
      </w:r>
      <w:r>
        <w:t xml:space="preserve">spelen ook </w:t>
      </w:r>
      <w:r w:rsidRPr="00220BA3" w:rsidR="00220BA3">
        <w:t>deelsystemen</w:t>
      </w:r>
      <w:r>
        <w:t xml:space="preserve"> een rol</w:t>
      </w:r>
      <w:r w:rsidR="00220BA3">
        <w:rPr>
          <w:rStyle w:val="FootnoteReference"/>
        </w:rPr>
        <w:footnoteReference w:id="1"/>
      </w:r>
      <w:r w:rsidRPr="00220BA3" w:rsidR="00220BA3">
        <w:t xml:space="preserve">. Deelmobiliteit is daarmee één van de bouwstenen in </w:t>
      </w:r>
      <w:r>
        <w:t>het</w:t>
      </w:r>
      <w:r w:rsidRPr="00220BA3">
        <w:t xml:space="preserve"> </w:t>
      </w:r>
      <w:r w:rsidRPr="00220BA3" w:rsidR="00220BA3">
        <w:t>mobiliteitssysteem</w:t>
      </w:r>
      <w:r w:rsidR="00220BA3">
        <w:t>.</w:t>
      </w:r>
      <w:r w:rsidRPr="00220BA3" w:rsidR="00220BA3">
        <w:t xml:space="preserve"> Hoewel het aandeel in de totale mobiliteitsmix relatief klein is, geeft </w:t>
      </w:r>
      <w:r w:rsidR="00220BA3">
        <w:t>bijvoorbeeld</w:t>
      </w:r>
      <w:r w:rsidRPr="00220BA3" w:rsidR="00220BA3">
        <w:t xml:space="preserve"> het K</w:t>
      </w:r>
      <w:r w:rsidR="00220BA3">
        <w:t xml:space="preserve">ennisinstituut voor </w:t>
      </w:r>
      <w:r w:rsidRPr="006A2261" w:rsidR="006A2261">
        <w:t xml:space="preserve">Mobiliteitsbeleid </w:t>
      </w:r>
      <w:r w:rsidRPr="00220BA3" w:rsidR="00220BA3">
        <w:t xml:space="preserve">aan dat deelmobiliteit </w:t>
      </w:r>
      <w:r w:rsidR="005F5013">
        <w:t xml:space="preserve">bijdraagt aan een afname van CO2 door mobiliteit en </w:t>
      </w:r>
      <w:r w:rsidR="00651414">
        <w:t xml:space="preserve">in samenhang met andere maatregelen </w:t>
      </w:r>
      <w:r w:rsidRPr="00220BA3" w:rsidR="00220BA3">
        <w:t>kan bijdragen aan betere doorstroming</w:t>
      </w:r>
      <w:r w:rsidR="00220BA3">
        <w:rPr>
          <w:rStyle w:val="FootnoteReference"/>
        </w:rPr>
        <w:footnoteReference w:id="2"/>
      </w:r>
      <w:r w:rsidR="00220BA3">
        <w:t xml:space="preserve">. Het Ministerie van Infrastructuur heeft met </w:t>
      </w:r>
      <w:r w:rsidR="006A2261">
        <w:t>medeoverheden</w:t>
      </w:r>
      <w:r w:rsidR="00220BA3">
        <w:t xml:space="preserve"> een nationaal samenwerkingsprogramma, genaamd Natuurlijk!Deelmobiliteit (N!D), opgezet om aan deelmobiliteit te werken.</w:t>
      </w:r>
      <w:r w:rsidR="00016069">
        <w:t xml:space="preserve"> Belangrijke reden voor dit programma is </w:t>
      </w:r>
      <w:r w:rsidR="00FB533B">
        <w:t>het opbouwen van meer</w:t>
      </w:r>
      <w:r w:rsidR="00016069">
        <w:t xml:space="preserve"> kennis </w:t>
      </w:r>
      <w:r w:rsidR="00FB533B">
        <w:t>over het onderwerp en zo bij te dragen aan de verdere opschaling van deelmobiliteit.</w:t>
      </w:r>
    </w:p>
    <w:p w:rsidR="00220BA3" w:rsidP="00A21321" w:rsidRDefault="00220BA3" w14:paraId="396FFCF1" w14:textId="77777777">
      <w:pPr>
        <w:pStyle w:val="WitregelW1bodytekst"/>
      </w:pPr>
    </w:p>
    <w:p w:rsidR="00220BA3" w:rsidP="00220BA3" w:rsidRDefault="00A21321" w14:paraId="047C71BE" w14:textId="64F23EDF">
      <w:r w:rsidRPr="00A21321">
        <w:t xml:space="preserve">N!D </w:t>
      </w:r>
      <w:r>
        <w:t xml:space="preserve">heeft de afgelopen tijd </w:t>
      </w:r>
      <w:r w:rsidR="00016069">
        <w:t>veel kennis opgebouwd en werkt aan standaardisatie en harmonisatie om die kennis te verbreden</w:t>
      </w:r>
      <w:r>
        <w:t>.</w:t>
      </w:r>
      <w:r w:rsidR="00016069">
        <w:t xml:space="preserve"> Er wordt nu ook gemonitord. De</w:t>
      </w:r>
      <w:r w:rsidR="00B56459">
        <w:t xml:space="preserve"> </w:t>
      </w:r>
      <w:r w:rsidR="00016069">
        <w:t xml:space="preserve">bijgevoegde </w:t>
      </w:r>
      <w:r w:rsidR="00B56459">
        <w:t>monitoring</w:t>
      </w:r>
      <w:r w:rsidR="00FB533B">
        <w:t xml:space="preserve"> </w:t>
      </w:r>
      <w:r w:rsidR="00016069">
        <w:t>laat een aantal positieve trends zien qua gebruik, maar tegelijkertijd</w:t>
      </w:r>
      <w:r w:rsidR="00B56459">
        <w:t xml:space="preserve"> is het aanbod van deelmobiliteit vorig jaar </w:t>
      </w:r>
      <w:r w:rsidR="00016069">
        <w:t xml:space="preserve">iets </w:t>
      </w:r>
      <w:r w:rsidR="00B56459">
        <w:t xml:space="preserve">gedaald. </w:t>
      </w:r>
      <w:r w:rsidRPr="00A21321">
        <w:t>De komende tijd, tot het eind van het programma in 2028, zal worden gewerkt aan de versnellingsfase.</w:t>
      </w:r>
    </w:p>
    <w:p w:rsidRPr="006A2261" w:rsidR="006A2261" w:rsidP="006A2261" w:rsidRDefault="006A2261" w14:paraId="11D2154D" w14:textId="77777777"/>
    <w:p w:rsidR="00A21321" w:rsidP="00A21321" w:rsidRDefault="00A21321" w14:paraId="1F3D85A8" w14:textId="6BBBD572">
      <w:pPr>
        <w:pStyle w:val="WitregelW1bodytekst"/>
      </w:pPr>
      <w:r w:rsidRPr="00A21321">
        <w:t>Over de voortgang van het programma wordt de Kamer periodiek geïnformeerd</w:t>
      </w:r>
      <w:r w:rsidRPr="00A21321">
        <w:rPr>
          <w:vertAlign w:val="superscript"/>
        </w:rPr>
        <w:footnoteReference w:id="3"/>
      </w:r>
      <w:r w:rsidRPr="00A21321">
        <w:t xml:space="preserve">. Deze brief informeert de Kamer </w:t>
      </w:r>
      <w:r w:rsidR="001C71FD">
        <w:t>over</w:t>
      </w:r>
      <w:r w:rsidRPr="00A21321" w:rsidR="001C71FD">
        <w:t xml:space="preserve"> </w:t>
      </w:r>
      <w:r w:rsidRPr="00A21321">
        <w:t>de laatste stand van zaken</w:t>
      </w:r>
      <w:r w:rsidR="001C71FD">
        <w:t xml:space="preserve">. </w:t>
      </w:r>
      <w:r w:rsidR="00CD0396">
        <w:t xml:space="preserve">Om te beginnen </w:t>
      </w:r>
      <w:r w:rsidR="001C71FD">
        <w:t>met</w:t>
      </w:r>
      <w:r w:rsidRPr="00A21321">
        <w:t xml:space="preserve"> een</w:t>
      </w:r>
      <w:r w:rsidR="001C71FD">
        <w:t xml:space="preserve"> meting van het effect van het programma N!D in 2024 en</w:t>
      </w:r>
      <w:r w:rsidR="00CD0396">
        <w:t xml:space="preserve"> daarna met een effectmeting</w:t>
      </w:r>
      <w:r w:rsidR="001C71FD">
        <w:t xml:space="preserve"> </w:t>
      </w:r>
      <w:r w:rsidRPr="00A21321">
        <w:t xml:space="preserve">van de deelmobiliteitshubs. </w:t>
      </w:r>
      <w:r w:rsidR="00CD0396">
        <w:t>Vervolgens</w:t>
      </w:r>
      <w:r w:rsidRPr="00A21321" w:rsidR="001C71FD">
        <w:t xml:space="preserve"> </w:t>
      </w:r>
      <w:r w:rsidRPr="00A21321">
        <w:t xml:space="preserve">gaat deze brief in op de </w:t>
      </w:r>
      <w:r w:rsidRPr="00A21321">
        <w:lastRenderedPageBreak/>
        <w:t xml:space="preserve">publiekscampagne over de deelauto en een toezegging aan de Kamer over een definitie van deelmobiliteit. Tot slot staat in deze brief een korte samenvatting van het </w:t>
      </w:r>
      <w:r>
        <w:t xml:space="preserve">uitgebreide </w:t>
      </w:r>
      <w:r w:rsidRPr="00A21321">
        <w:t>onderzoek van het Kennisinstituut voor Mobiliteitsbeleid (KiM) naar de effecten op de leefomgeving van de deelscooter.</w:t>
      </w:r>
    </w:p>
    <w:p w:rsidRPr="00A21321" w:rsidR="00A21321" w:rsidP="00A21321" w:rsidRDefault="00A21321" w14:paraId="163D3269" w14:textId="77777777">
      <w:pPr>
        <w:pStyle w:val="WitregelW1bodytekst"/>
      </w:pPr>
    </w:p>
    <w:p w:rsidRPr="00A21321" w:rsidR="00A21321" w:rsidP="00A21321" w:rsidRDefault="00A21321" w14:paraId="44C39859" w14:textId="77777777">
      <w:pPr>
        <w:pStyle w:val="WitregelW1bodytekst"/>
        <w:rPr>
          <w:b/>
          <w:bCs/>
        </w:rPr>
      </w:pPr>
      <w:r w:rsidRPr="00A21321">
        <w:rPr>
          <w:b/>
          <w:bCs/>
        </w:rPr>
        <w:t>2-meting Natuurlijk!Deelmobiliteit</w:t>
      </w:r>
    </w:p>
    <w:p w:rsidR="002E62FE" w:rsidP="002E62FE" w:rsidRDefault="002E62FE" w14:paraId="68A8828C" w14:textId="77777777">
      <w:pPr>
        <w:pStyle w:val="WitregelW1bodytekst"/>
      </w:pPr>
      <w:r>
        <w:t>Centraal in h</w:t>
      </w:r>
      <w:r w:rsidRPr="00A21321">
        <w:t>et programma N!D staan standaardisatie, harmonisatie, kennisopbouw en kennisdeling over het onderwerp deelmobiliteit. Om dit te bereiken zijn er tot en met 2024 in totaal 20 producten opgeleverd, in de vorm van onderzoeksrapporten, standaarden, leidraden en adviezen.</w:t>
      </w:r>
      <w:r>
        <w:t xml:space="preserve"> Een voorbeeld hiervan is het landelijk gebruikersonderzoek deelmobiliteit. Hiermee wordt op een landelijk gestandaardiseerde manier samen met aanbieders en medeoverheden onderzoek gedaan naar de gebruikers van deelmobiliteit. </w:t>
      </w:r>
    </w:p>
    <w:p w:rsidR="002E62FE" w:rsidP="004447B3" w:rsidRDefault="002E62FE" w14:paraId="266518ED" w14:textId="77777777"/>
    <w:p w:rsidR="004447B3" w:rsidP="004447B3" w:rsidRDefault="00A21321" w14:paraId="68178033" w14:textId="1B37B877">
      <w:r w:rsidRPr="00A21321">
        <w:t xml:space="preserve">De bijgevoegde monitoringsmeting </w:t>
      </w:r>
      <w:r w:rsidR="00AC64E8">
        <w:t xml:space="preserve">van N!D </w:t>
      </w:r>
      <w:r w:rsidRPr="00A21321">
        <w:t xml:space="preserve">laat de ontwikkelingen van het aanbod, gebruik en de houding rond deelmobiliteit zien. Het aantal gebruikers is gegroeid. In 2023 </w:t>
      </w:r>
      <w:r w:rsidR="003E0656">
        <w:t>gaf</w:t>
      </w:r>
      <w:r w:rsidRPr="00A21321">
        <w:t xml:space="preserve"> 18% van de Nederlanders </w:t>
      </w:r>
      <w:r w:rsidR="003E0656">
        <w:t xml:space="preserve">aan </w:t>
      </w:r>
      <w:r w:rsidRPr="00A21321">
        <w:t>deelmobiliteit</w:t>
      </w:r>
      <w:r w:rsidR="003E0656">
        <w:t xml:space="preserve"> te gebruiken</w:t>
      </w:r>
      <w:r w:rsidRPr="00A21321">
        <w:t>. Dit is in 2024 gegroeid naar 20%.</w:t>
      </w:r>
      <w:r>
        <w:t xml:space="preserve"> </w:t>
      </w:r>
      <w:r w:rsidRPr="00A21321">
        <w:t>Het aanbod van alle deelvoertuigen is in 2024 iets lager dan in 2023.</w:t>
      </w:r>
      <w:r>
        <w:t xml:space="preserve"> Dit komt</w:t>
      </w:r>
      <w:r w:rsidRPr="00A21321">
        <w:t xml:space="preserve"> onder andere door overnames en vertrek van enkele aanbieders. De houding ten opzichte van deelmobiliteit is ongeveer gelijk gebleven. De combinatie van de beperkte daling van het aantal deelauto’s en de stijging van het aantal gebruikers </w:t>
      </w:r>
      <w:r w:rsidR="005E3AA6">
        <w:t xml:space="preserve">wordt vooral verklaard </w:t>
      </w:r>
      <w:r w:rsidR="00591B38">
        <w:t xml:space="preserve">doordat </w:t>
      </w:r>
      <w:r w:rsidRPr="00A21321">
        <w:t>de markt in ontwikkeling is.</w:t>
      </w:r>
      <w:r w:rsidR="00591B38">
        <w:t xml:space="preserve"> </w:t>
      </w:r>
      <w:r w:rsidRPr="00A21321" w:rsidR="00591B38">
        <w:t>De verwachting is dat het effect</w:t>
      </w:r>
      <w:r w:rsidR="00591B38">
        <w:t xml:space="preserve"> van N!D</w:t>
      </w:r>
      <w:r w:rsidRPr="00A21321" w:rsidR="00591B38">
        <w:t xml:space="preserve"> op aanbod, gebruik en houding van deelmobiliteit vanaf 2026 zichtbaar zal zijn.</w:t>
      </w:r>
    </w:p>
    <w:p w:rsidRPr="004447B3" w:rsidR="004447B3" w:rsidP="00E548F6" w:rsidRDefault="004447B3" w14:paraId="13EAC991" w14:textId="77777777"/>
    <w:p w:rsidRPr="002E62FE" w:rsidR="00A21321" w:rsidP="00A21321" w:rsidRDefault="0097050B" w14:paraId="25897FCC" w14:textId="0488A22E">
      <w:pPr>
        <w:pStyle w:val="WitregelW1bodytekst"/>
        <w:rPr>
          <w:rFonts w:eastAsia="Times New Roman" w:cs="Times New Roman"/>
        </w:rPr>
      </w:pPr>
      <w:bookmarkStart w:name="_Hlk201156277" w:id="1"/>
      <w:bookmarkStart w:name="_Hlk201156619" w:id="2"/>
      <w:r>
        <w:t>Zoals eerder aan de Kamer gemeld</w:t>
      </w:r>
      <w:r>
        <w:rPr>
          <w:rStyle w:val="FootnoteReference"/>
        </w:rPr>
        <w:footnoteReference w:id="4"/>
      </w:r>
      <w:r w:rsidR="002E62FE">
        <w:t>,</w:t>
      </w:r>
      <w:r>
        <w:t xml:space="preserve"> </w:t>
      </w:r>
      <w:r w:rsidRPr="00B460B3" w:rsidR="00B460B3">
        <w:t xml:space="preserve">is het programma N!D recent gestart met een traject ‘marktordening’. Dit traject is gestart vanuit de behoefte aan meer stabiliteit in de markt en </w:t>
      </w:r>
      <w:r w:rsidR="00B460B3">
        <w:t xml:space="preserve">om </w:t>
      </w:r>
      <w:r w:rsidRPr="00B460B3" w:rsidR="00B460B3">
        <w:t xml:space="preserve">meer grip te krijgen op hoe deelmobiliteit is georganiseerd. Het project geeft inzicht in de rollen en verantwoordelijkheden van </w:t>
      </w:r>
      <w:r w:rsidR="006974D8">
        <w:t xml:space="preserve">de verschillende </w:t>
      </w:r>
      <w:r w:rsidRPr="00B460B3" w:rsidR="00B460B3">
        <w:t>overheidslagen en marktpartijen</w:t>
      </w:r>
      <w:r w:rsidR="006974D8">
        <w:t>, mogelijke belemmeringen</w:t>
      </w:r>
      <w:r w:rsidRPr="00B460B3" w:rsidR="00B460B3">
        <w:t xml:space="preserve"> en </w:t>
      </w:r>
      <w:r w:rsidR="006974D8">
        <w:t xml:space="preserve">antwoord op de vraag of en </w:t>
      </w:r>
      <w:r w:rsidRPr="00B460B3" w:rsidR="00B460B3">
        <w:t>waar (nog) meer standaardisatie en harmonisatie nodig is. Het streven van het programma N!D is om dit eind 2025 te verwerken tot een advies.</w:t>
      </w:r>
      <w:bookmarkEnd w:id="1"/>
      <w:r w:rsidRPr="00A21321" w:rsidR="00A21321">
        <w:rPr>
          <w:i/>
          <w:iCs/>
        </w:rPr>
        <w:t xml:space="preserve"> </w:t>
      </w:r>
    </w:p>
    <w:bookmarkEnd w:id="2"/>
    <w:p w:rsidRPr="00A21321" w:rsidR="00A21321" w:rsidP="00A21321" w:rsidRDefault="00A21321" w14:paraId="26F87639" w14:textId="77777777">
      <w:pPr>
        <w:pStyle w:val="WitregelW1bodytekst"/>
      </w:pPr>
    </w:p>
    <w:p w:rsidRPr="00A21321" w:rsidR="00A21321" w:rsidP="00A21321" w:rsidRDefault="00A21321" w14:paraId="24DC3CA1" w14:textId="77777777">
      <w:pPr>
        <w:pStyle w:val="WitregelW1bodytekst"/>
        <w:rPr>
          <w:b/>
          <w:bCs/>
        </w:rPr>
      </w:pPr>
      <w:r w:rsidRPr="00A21321">
        <w:rPr>
          <w:b/>
          <w:bCs/>
        </w:rPr>
        <w:t>Monitoring en evaluatie deelmobiliteitshubs</w:t>
      </w:r>
    </w:p>
    <w:p w:rsidRPr="00A21321" w:rsidR="00A21321" w:rsidP="00A21321" w:rsidRDefault="00A21321" w14:paraId="300EB0C0" w14:textId="77777777">
      <w:pPr>
        <w:pStyle w:val="WitregelW1bodytekst"/>
      </w:pPr>
      <w:r w:rsidRPr="00A21321">
        <w:t>Deelmobiliteitshubs zijn plekken in de openbare ruimte waar deelvoertuigen neergezet kunnen worden. Ze worden gezien als een veelbelovend instrument om deelmobiliteit op te schalen</w:t>
      </w:r>
      <w:r w:rsidRPr="00A21321">
        <w:rPr>
          <w:vertAlign w:val="superscript"/>
        </w:rPr>
        <w:footnoteReference w:id="5"/>
      </w:r>
      <w:r w:rsidRPr="00A21321">
        <w:t>. De deelmobiliteitshubs voorkomen overlast van deelvoertuigen en maken deelmobiliteit op straat herkenbaar voor de gebruiker</w:t>
      </w:r>
      <w:r w:rsidRPr="00A21321">
        <w:rPr>
          <w:vertAlign w:val="superscript"/>
        </w:rPr>
        <w:footnoteReference w:id="6"/>
      </w:r>
      <w:r w:rsidRPr="00A21321">
        <w:t>. Het ministerie is in 2023 een co-financierings-programma gestart om meer inzicht te krijgen in de effecten van de hubs en de randvoorwaarden waaronder deze hubs succesvol kunnen zijn. In de periode 2023 tot en met 2028 worden samen met medeoverheden in het kader van het programma circa 1.500 deelmobiliteitshubs geïmplementeerd en de effecten onderzocht. De opgedane inzichten worden onder andere meegenomen in de projecten van Natuurlijk!Deelmobiliteit.</w:t>
      </w:r>
    </w:p>
    <w:p w:rsidRPr="00A21321" w:rsidR="00A21321" w:rsidP="00A21321" w:rsidRDefault="00A21321" w14:paraId="3E9F7B6F" w14:textId="77777777">
      <w:pPr>
        <w:pStyle w:val="WitregelW1bodytekst"/>
      </w:pPr>
      <w:r w:rsidRPr="00A21321">
        <w:t xml:space="preserve"> </w:t>
      </w:r>
    </w:p>
    <w:p w:rsidRPr="00A21321" w:rsidR="00A21321" w:rsidP="00A21321" w:rsidRDefault="00A21321" w14:paraId="074F2852" w14:textId="77777777">
      <w:pPr>
        <w:pStyle w:val="WitregelW1bodytekst"/>
      </w:pPr>
      <w:r w:rsidRPr="00A21321">
        <w:t>In de rapportage over 2024 zijn de eerst uitgevoerde 321 deelmobiliteitshubs in verschillende steden in Nederland gemonitord op het gebruik van deelmobiliteit op de hubs. Het gebruik van deelmobiliteit op de hubs varieert sterk en is onder andere afhankelijk van de verstedelijkingsgraad en de nabijheid van ov-voorzieningen. De volledige monitoring en evaluatie is te lezen in bijgevoegde monitor. De monitoring wordt in de komende jaren verder doorontwikkeld en uitgebreid.</w:t>
      </w:r>
    </w:p>
    <w:p w:rsidRPr="00A21321" w:rsidR="00A21321" w:rsidP="00A21321" w:rsidRDefault="00A21321" w14:paraId="02CA80D9" w14:textId="77777777">
      <w:pPr>
        <w:pStyle w:val="WitregelW1bodytekst"/>
      </w:pPr>
    </w:p>
    <w:p w:rsidRPr="00A21321" w:rsidR="00A21321" w:rsidP="00A21321" w:rsidRDefault="00A21321" w14:paraId="2DBDBB02" w14:textId="77777777">
      <w:pPr>
        <w:pStyle w:val="WitregelW1bodytekst"/>
        <w:rPr>
          <w:b/>
          <w:bCs/>
        </w:rPr>
      </w:pPr>
      <w:r w:rsidRPr="00A21321">
        <w:rPr>
          <w:b/>
          <w:bCs/>
        </w:rPr>
        <w:t>Update campagne deelauto</w:t>
      </w:r>
    </w:p>
    <w:p w:rsidRPr="00A21321" w:rsidR="00A21321" w:rsidP="00A21321" w:rsidRDefault="00A21321" w14:paraId="62BBFBB7" w14:textId="77E607AC">
      <w:pPr>
        <w:pStyle w:val="WitregelW1bodytekst"/>
      </w:pPr>
      <w:r w:rsidRPr="00A21321">
        <w:t xml:space="preserve">In het vierde kwartaal van 2024 </w:t>
      </w:r>
      <w:r w:rsidR="00315CE6">
        <w:t xml:space="preserve">heeft een nieuwe </w:t>
      </w:r>
      <w:r w:rsidR="00315CE6">
        <w:rPr>
          <w:i/>
          <w:iCs/>
        </w:rPr>
        <w:t xml:space="preserve">campagneflight </w:t>
      </w:r>
      <w:r w:rsidR="00315CE6">
        <w:t>van de</w:t>
      </w:r>
      <w:r w:rsidRPr="00A21321">
        <w:t xml:space="preserve"> publiekscampagne ‘Delen maakt je wereld mooier’ </w:t>
      </w:r>
      <w:r w:rsidR="00315CE6">
        <w:t>plaatsgevonden</w:t>
      </w:r>
      <w:r w:rsidRPr="00A21321">
        <w:t xml:space="preserve">. </w:t>
      </w:r>
      <w:r w:rsidRPr="00A21321" w:rsidR="00315CE6">
        <w:t xml:space="preserve">De campagne richtte zich op alledaagse situaties waarin </w:t>
      </w:r>
      <w:r w:rsidR="00315CE6">
        <w:t>je een</w:t>
      </w:r>
      <w:r w:rsidRPr="00A21321" w:rsidR="00315CE6">
        <w:t xml:space="preserve"> auto nodig kunt hebben, maar er zelf geen voor de deur hebt staan. </w:t>
      </w:r>
      <w:r w:rsidRPr="00A21321">
        <w:t>In zulke gevallen kan een deelauto uitkomst bieden. De campagne is geëvalueerd</w:t>
      </w:r>
      <w:r w:rsidRPr="00A21321">
        <w:rPr>
          <w:vertAlign w:val="superscript"/>
        </w:rPr>
        <w:footnoteReference w:id="7"/>
      </w:r>
      <w:r w:rsidRPr="00A21321">
        <w:t xml:space="preserve">. De campagne laat positieve resultaten zien; de herkenning en waardering van de campagne zijn hoger t.o.v. de vorige campagne. Effecten op houding en daadwerkelijk gedrag worden pas op langere termijn verwacht. Dit is passend bij een meerjarige campagne zoals deze. </w:t>
      </w:r>
    </w:p>
    <w:p w:rsidRPr="00A21321" w:rsidR="00A21321" w:rsidP="00A21321" w:rsidRDefault="00A21321" w14:paraId="60B490F7" w14:textId="77777777">
      <w:pPr>
        <w:pStyle w:val="WitregelW1bodytekst"/>
      </w:pPr>
      <w:r w:rsidRPr="00A21321">
        <w:t xml:space="preserve"> </w:t>
      </w:r>
    </w:p>
    <w:p w:rsidRPr="00A21321" w:rsidR="00A21321" w:rsidP="00A21321" w:rsidRDefault="00A21321" w14:paraId="0A2A4CBE" w14:textId="4ABBBC8F">
      <w:pPr>
        <w:pStyle w:val="WitregelW1bodytekst"/>
      </w:pPr>
      <w:r w:rsidRPr="00A21321">
        <w:t xml:space="preserve">In 2025 krijgt de campagne een vervolg met enkele aanpassingen. De aanpassingen zijn gebaseerd op de resultaten van de campagne-effectmeting. De focus ligt op nog herkenbaardere situaties en het stimuleren van bezoek aan de website www.startmetdelen.nl. De campagne </w:t>
      </w:r>
      <w:r w:rsidR="00315CE6">
        <w:t>zal</w:t>
      </w:r>
      <w:r w:rsidRPr="00A21321">
        <w:t xml:space="preserve"> een langere periode </w:t>
      </w:r>
      <w:r>
        <w:t xml:space="preserve">(van juni tot en met november) </w:t>
      </w:r>
      <w:r w:rsidRPr="00A21321">
        <w:t xml:space="preserve">zichtbaar </w:t>
      </w:r>
      <w:r w:rsidR="00315CE6">
        <w:t xml:space="preserve">zijn </w:t>
      </w:r>
      <w:r w:rsidRPr="00A21321">
        <w:t>waardoor de impact gedurende het jaar beter is verspreid en verder wordt vergroot.</w:t>
      </w:r>
    </w:p>
    <w:p w:rsidRPr="00A21321" w:rsidR="00A21321" w:rsidP="00A21321" w:rsidRDefault="00A21321" w14:paraId="13CED5EA" w14:textId="77777777">
      <w:pPr>
        <w:pStyle w:val="WitregelW1bodytekst"/>
      </w:pPr>
    </w:p>
    <w:p w:rsidRPr="00A21321" w:rsidR="00A21321" w:rsidP="00A21321" w:rsidRDefault="00A21321" w14:paraId="00F13107" w14:textId="77777777">
      <w:pPr>
        <w:pStyle w:val="WitregelW1bodytekst"/>
      </w:pPr>
      <w:r w:rsidRPr="00A21321">
        <w:rPr>
          <w:b/>
          <w:bCs/>
        </w:rPr>
        <w:t>Definitie deelmobiliteit</w:t>
      </w:r>
    </w:p>
    <w:p w:rsidRPr="00A21321" w:rsidR="00A21321" w:rsidP="00A21321" w:rsidRDefault="00A21321" w14:paraId="3FF283CE" w14:textId="064D61AC">
      <w:pPr>
        <w:pStyle w:val="WitregelW1bodytekst"/>
      </w:pPr>
      <w:r w:rsidRPr="00A21321">
        <w:t>In het commissiedebat Auto van 15 juni 2023 is door het lid Van Ginneken (D66) bij de Minister geïnformeerd naar een definitie voor deelmobiliteit. Zoals vermeld in een eerdere Kamerbrief</w:t>
      </w:r>
      <w:r w:rsidRPr="00A21321">
        <w:rPr>
          <w:vertAlign w:val="superscript"/>
        </w:rPr>
        <w:footnoteReference w:id="8"/>
      </w:r>
      <w:r w:rsidRPr="00A21321">
        <w:t xml:space="preserve"> heeft kennisorganisatie CROW met het Kennisinstituut voor Mobiliteitsbeleid het traject begeleid om tot een eenduidige definitie te komen. Het </w:t>
      </w:r>
      <w:r>
        <w:t xml:space="preserve">opgeleverde </w:t>
      </w:r>
      <w:r w:rsidRPr="00A21321">
        <w:t xml:space="preserve">document is bij deze brief ook als bijlage meegestuurd. Hiermee is de toezegging </w:t>
      </w:r>
      <w:r w:rsidR="008A6FE0">
        <w:t xml:space="preserve">aan de Kamer </w:t>
      </w:r>
      <w:r w:rsidRPr="00A21321">
        <w:t>afgedaan.</w:t>
      </w:r>
    </w:p>
    <w:p w:rsidRPr="00A21321" w:rsidR="00A21321" w:rsidP="00A21321" w:rsidRDefault="00A21321" w14:paraId="55B73A65" w14:textId="77777777">
      <w:pPr>
        <w:pStyle w:val="WitregelW1bodytekst"/>
        <w:rPr>
          <w:b/>
          <w:bCs/>
        </w:rPr>
      </w:pPr>
    </w:p>
    <w:p w:rsidRPr="00A21321" w:rsidR="00A21321" w:rsidP="00A21321" w:rsidRDefault="00A21321" w14:paraId="714821B6" w14:textId="77777777">
      <w:pPr>
        <w:pStyle w:val="WitregelW1bodytekst"/>
      </w:pPr>
      <w:r w:rsidRPr="00A21321">
        <w:rPr>
          <w:b/>
          <w:bCs/>
        </w:rPr>
        <w:t>Samenvatting onderzoek deelscooter</w:t>
      </w:r>
    </w:p>
    <w:p w:rsidRPr="00A21321" w:rsidR="00A21321" w:rsidP="00A21321" w:rsidRDefault="00A21321" w14:paraId="774227F8" w14:textId="08C26753">
      <w:pPr>
        <w:pStyle w:val="WitregelW1bodytekst"/>
      </w:pPr>
      <w:r w:rsidRPr="00A21321">
        <w:t>Het Kennisinstituut voor Mobiliteitsbeleid (KiM) heeft onderzoek gedaan naar de deelscooters</w:t>
      </w:r>
      <w:r w:rsidRPr="00A21321">
        <w:rPr>
          <w:vertAlign w:val="superscript"/>
        </w:rPr>
        <w:footnoteReference w:id="9"/>
      </w:r>
      <w:r w:rsidRPr="00A21321">
        <w:t xml:space="preserve"> en deze recent opgeleverd. Het onderzoek is een bijwerking van een eerdere studie naar deelscooters</w:t>
      </w:r>
      <w:r w:rsidRPr="00A21321">
        <w:rPr>
          <w:vertAlign w:val="superscript"/>
        </w:rPr>
        <w:footnoteReference w:id="10"/>
      </w:r>
      <w:r w:rsidRPr="00A21321">
        <w:t>. Door aanpassingen in de operatie van aanbieders en een langere levensduur blijkt uit het onderzoek dat deelscooters minder impact op het milieu hebben dan het eerdere onderzoek uitwees. De elektrische deelscooter is per reizigerskilometer</w:t>
      </w:r>
      <w:r w:rsidRPr="00A21321">
        <w:rPr>
          <w:vertAlign w:val="superscript"/>
        </w:rPr>
        <w:footnoteReference w:id="11"/>
      </w:r>
      <w:r w:rsidRPr="00A21321">
        <w:t xml:space="preserve"> beter voor het milieu dan een auto en/of een benzinescooter. De deelscooter heeft per reizigerskilometer ongeveer evenveel uitstoot als een elektrische ov-bus. De (elektrische) fiets heeft minder milieu impact. Bij gebruik stoten deelscooters nauwelijks schadelijke stoffen uit in een stad. Dat leidt tot een schonere lucht in dichtbevolkte gebieden dan wanneer brandstofvoertuigen worden gebruikt. Deelscooters kunnen daarnaast interessant zijn als onderdeel (in voor- en natransport) van een ketenreis met bijvoorbeeld de trein.</w:t>
      </w:r>
    </w:p>
    <w:p w:rsidR="00443A40" w:rsidRDefault="008C35A8" w14:paraId="78C3BF7B" w14:textId="77777777">
      <w:pPr>
        <w:pStyle w:val="WitregelW1bodytekst"/>
      </w:pPr>
      <w:r>
        <w:t xml:space="preserve">  </w:t>
      </w:r>
    </w:p>
    <w:p w:rsidR="00651ECE" w:rsidP="00651ECE" w:rsidRDefault="00651ECE" w14:paraId="47B10654" w14:textId="77777777">
      <w:pPr>
        <w:pStyle w:val="Slotzin"/>
      </w:pPr>
      <w:r>
        <w:t>Hoogachtend,</w:t>
      </w:r>
    </w:p>
    <w:p w:rsidR="00651ECE" w:rsidP="00651ECE" w:rsidRDefault="00651ECE" w14:paraId="6D4C9789" w14:textId="77777777">
      <w:pPr>
        <w:pStyle w:val="OndertekeningArea1"/>
      </w:pPr>
      <w:r>
        <w:t>DE MINISTER VAN INFRASTRUCTUUR EN WATERSTAAT,</w:t>
      </w:r>
    </w:p>
    <w:p w:rsidR="00651ECE" w:rsidP="00651ECE" w:rsidRDefault="00651ECE" w14:paraId="2E5E4680" w14:textId="77777777"/>
    <w:p w:rsidR="00651ECE" w:rsidP="00651ECE" w:rsidRDefault="00651ECE" w14:paraId="71C36D58" w14:textId="77777777"/>
    <w:p w:rsidR="004C6056" w:rsidP="00651ECE" w:rsidRDefault="004C6056" w14:paraId="29E05793" w14:textId="77777777"/>
    <w:p w:rsidR="00651ECE" w:rsidP="00651ECE" w:rsidRDefault="00651ECE" w14:paraId="7146C8CB" w14:textId="77777777"/>
    <w:p w:rsidR="00651ECE" w:rsidP="00651ECE" w:rsidRDefault="00651ECE" w14:paraId="43920F74" w14:textId="77777777">
      <w:r w:rsidRPr="00EF7DC6">
        <w:t>ing. R. (Robert) Tieman</w:t>
      </w:r>
    </w:p>
    <w:p w:rsidR="00651ECE" w:rsidP="00651ECE" w:rsidRDefault="00651ECE" w14:paraId="5567AAC8" w14:textId="77777777"/>
    <w:p w:rsidR="00651ECE" w:rsidP="00651ECE" w:rsidRDefault="00651ECE" w14:paraId="050FAC1A" w14:textId="77777777"/>
    <w:p w:rsidR="00651ECE" w:rsidP="00651ECE" w:rsidRDefault="00651ECE" w14:paraId="454A1512" w14:textId="77777777">
      <w:r w:rsidRPr="00A21321">
        <w:t>DE STAATSSECRETARIS VAN INFRASTRUCTUUR EN WATERSTAAT - OPENBAAR VERVOER EN MILIEU,</w:t>
      </w:r>
    </w:p>
    <w:p w:rsidR="00651ECE" w:rsidP="00651ECE" w:rsidRDefault="00651ECE" w14:paraId="46173326" w14:textId="77777777"/>
    <w:p w:rsidR="004C6056" w:rsidP="00651ECE" w:rsidRDefault="004C6056" w14:paraId="09BBBF6C" w14:textId="77777777"/>
    <w:p w:rsidR="004C6056" w:rsidP="00651ECE" w:rsidRDefault="004C6056" w14:paraId="7ECC523A" w14:textId="77777777"/>
    <w:p w:rsidR="004C6056" w:rsidP="00651ECE" w:rsidRDefault="004C6056" w14:paraId="3E3B006E" w14:textId="77777777"/>
    <w:p w:rsidR="00651ECE" w:rsidP="00651ECE" w:rsidRDefault="00651ECE" w14:paraId="031209F5" w14:textId="77777777"/>
    <w:p w:rsidR="00651ECE" w:rsidP="00651ECE" w:rsidRDefault="00651ECE" w14:paraId="6614A49D" w14:textId="77777777"/>
    <w:p w:rsidR="00651ECE" w:rsidP="00651ECE" w:rsidRDefault="00651ECE" w14:paraId="40FC061C" w14:textId="77777777">
      <w:r w:rsidRPr="00EF7DC6">
        <w:t>A.A. (Thierry) Aartsen</w:t>
      </w:r>
    </w:p>
    <w:p w:rsidR="00A21321" w:rsidP="00651ECE" w:rsidRDefault="00A21321" w14:paraId="4B4C00C7" w14:textId="0D566D6F">
      <w:pPr>
        <w:pStyle w:val="Slotzin"/>
      </w:pPr>
    </w:p>
    <w:sectPr w:rsidR="00A2132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EE351" w14:textId="77777777" w:rsidR="00E165DC" w:rsidRDefault="00E165DC">
      <w:pPr>
        <w:spacing w:line="240" w:lineRule="auto"/>
      </w:pPr>
      <w:r>
        <w:separator/>
      </w:r>
    </w:p>
  </w:endnote>
  <w:endnote w:type="continuationSeparator" w:id="0">
    <w:p w14:paraId="16094EAC" w14:textId="77777777" w:rsidR="00E165DC" w:rsidRDefault="00E16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ED8C" w14:textId="77777777" w:rsidR="004C6056" w:rsidRDefault="004C6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E32BA" w14:textId="77777777" w:rsidR="004C6056" w:rsidRDefault="004C6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9D22" w14:textId="77777777" w:rsidR="004C6056" w:rsidRDefault="004C6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F12FF" w14:textId="77777777" w:rsidR="00E165DC" w:rsidRDefault="00E165DC">
      <w:pPr>
        <w:spacing w:line="240" w:lineRule="auto"/>
      </w:pPr>
      <w:r>
        <w:separator/>
      </w:r>
    </w:p>
  </w:footnote>
  <w:footnote w:type="continuationSeparator" w:id="0">
    <w:p w14:paraId="3AF1C8D1" w14:textId="77777777" w:rsidR="00E165DC" w:rsidRDefault="00E165DC">
      <w:pPr>
        <w:spacing w:line="240" w:lineRule="auto"/>
      </w:pPr>
      <w:r>
        <w:continuationSeparator/>
      </w:r>
    </w:p>
  </w:footnote>
  <w:footnote w:id="1">
    <w:p w14:paraId="66281908" w14:textId="16BF2581" w:rsidR="00220BA3" w:rsidRPr="00E548F6" w:rsidRDefault="00220BA3">
      <w:pPr>
        <w:pStyle w:val="FootnoteText"/>
        <w:rPr>
          <w:sz w:val="18"/>
          <w:szCs w:val="18"/>
        </w:rPr>
      </w:pPr>
      <w:r w:rsidRPr="00E548F6">
        <w:rPr>
          <w:rStyle w:val="FootnoteReference"/>
          <w:sz w:val="18"/>
          <w:szCs w:val="18"/>
        </w:rPr>
        <w:footnoteRef/>
      </w:r>
      <w:r w:rsidRPr="00E548F6">
        <w:rPr>
          <w:sz w:val="18"/>
          <w:szCs w:val="18"/>
        </w:rPr>
        <w:t xml:space="preserve"> </w:t>
      </w:r>
      <w:r w:rsidR="005E3AA6" w:rsidRPr="00E548F6">
        <w:rPr>
          <w:sz w:val="18"/>
          <w:szCs w:val="18"/>
        </w:rPr>
        <w:t xml:space="preserve">Kabinetsstandpunt Bereikbaarheid op peil, maart 2025, </w:t>
      </w:r>
      <w:r w:rsidRPr="00E548F6">
        <w:rPr>
          <w:sz w:val="18"/>
          <w:szCs w:val="18"/>
        </w:rPr>
        <w:t>Kamerstuk 31305 nr. 489</w:t>
      </w:r>
    </w:p>
  </w:footnote>
  <w:footnote w:id="2">
    <w:p w14:paraId="787F9200" w14:textId="7D9752ED" w:rsidR="00220BA3" w:rsidRDefault="00220BA3">
      <w:pPr>
        <w:pStyle w:val="FootnoteText"/>
      </w:pPr>
      <w:r w:rsidRPr="00E548F6">
        <w:rPr>
          <w:rStyle w:val="FootnoteReference"/>
          <w:sz w:val="18"/>
          <w:szCs w:val="18"/>
        </w:rPr>
        <w:footnoteRef/>
      </w:r>
      <w:r w:rsidRPr="00E548F6">
        <w:rPr>
          <w:sz w:val="18"/>
          <w:szCs w:val="18"/>
        </w:rPr>
        <w:t xml:space="preserve"> </w:t>
      </w:r>
      <w:r w:rsidR="0006571E" w:rsidRPr="00E548F6">
        <w:rPr>
          <w:sz w:val="18"/>
          <w:szCs w:val="18"/>
        </w:rPr>
        <w:t xml:space="preserve">Zie: KiM, “Effecten van maatregelen op doorstroming en verduurzaming reisgedrag, april 2024. Te benaderen via: </w:t>
      </w:r>
      <w:hyperlink r:id="rId1" w:history="1">
        <w:r w:rsidR="00A47DCB" w:rsidRPr="007640AC">
          <w:rPr>
            <w:rStyle w:val="Hyperlink"/>
            <w:sz w:val="18"/>
            <w:szCs w:val="18"/>
          </w:rPr>
          <w:t>https://www.kimnet.nl/documenten/2024/04/22/effecten-van-maatregelen-op-doorstroming-en-verduurzaming-reisgedrag</w:t>
        </w:r>
      </w:hyperlink>
      <w:r w:rsidR="00A47DCB">
        <w:rPr>
          <w:sz w:val="18"/>
          <w:szCs w:val="18"/>
        </w:rPr>
        <w:t xml:space="preserve"> </w:t>
      </w:r>
    </w:p>
  </w:footnote>
  <w:footnote w:id="3">
    <w:p w14:paraId="400441D1" w14:textId="77777777" w:rsidR="00A21321" w:rsidRDefault="00A21321" w:rsidP="00A21321">
      <w:pPr>
        <w:pStyle w:val="FootnoteText"/>
      </w:pPr>
      <w:r>
        <w:rPr>
          <w:rStyle w:val="FootnoteReference"/>
        </w:rPr>
        <w:footnoteRef/>
      </w:r>
      <w:r>
        <w:t xml:space="preserve"> </w:t>
      </w:r>
      <w:r w:rsidRPr="006176B2">
        <w:rPr>
          <w:sz w:val="18"/>
          <w:szCs w:val="18"/>
        </w:rPr>
        <w:t>Kamerstuk 31305 nr. 379 (23-12-2022), Kamerstuk 31305, nr. 412 (18-07-2023), Kamerstuk 31305, nr. 425 (26-09-2023), Kamerstuk 31305, nr. 464 (30-05-2024) en Kamerstuk 31305, nr. 486</w:t>
      </w:r>
      <w:r>
        <w:rPr>
          <w:sz w:val="18"/>
          <w:szCs w:val="18"/>
        </w:rPr>
        <w:t xml:space="preserve"> (04-02-2025)</w:t>
      </w:r>
      <w:r w:rsidRPr="004A77E6">
        <w:rPr>
          <w:sz w:val="16"/>
          <w:szCs w:val="16"/>
        </w:rPr>
        <w:t>.</w:t>
      </w:r>
    </w:p>
  </w:footnote>
  <w:footnote w:id="4">
    <w:p w14:paraId="4EF18A60" w14:textId="537C9130" w:rsidR="0097050B" w:rsidRDefault="0097050B">
      <w:pPr>
        <w:pStyle w:val="FootnoteText"/>
      </w:pPr>
      <w:r>
        <w:rPr>
          <w:rStyle w:val="FootnoteReference"/>
        </w:rPr>
        <w:footnoteRef/>
      </w:r>
      <w:r>
        <w:t xml:space="preserve"> </w:t>
      </w:r>
      <w:r w:rsidRPr="00E548F6">
        <w:rPr>
          <w:sz w:val="18"/>
          <w:szCs w:val="18"/>
        </w:rPr>
        <w:t>Kamerstuk 31305, nr. 519</w:t>
      </w:r>
      <w:r w:rsidR="006A2261">
        <w:rPr>
          <w:sz w:val="18"/>
          <w:szCs w:val="18"/>
        </w:rPr>
        <w:t xml:space="preserve"> (02-06-2025)</w:t>
      </w:r>
    </w:p>
  </w:footnote>
  <w:footnote w:id="5">
    <w:p w14:paraId="7E5DB7FA" w14:textId="74CB751B" w:rsidR="00A21321" w:rsidRPr="006176B2" w:rsidRDefault="00A21321" w:rsidP="00A21321">
      <w:pPr>
        <w:rPr>
          <w:sz w:val="20"/>
          <w:szCs w:val="20"/>
        </w:rPr>
      </w:pPr>
      <w:r w:rsidRPr="278802C7">
        <w:rPr>
          <w:rStyle w:val="FootnoteReference"/>
        </w:rPr>
        <w:footnoteRef/>
      </w:r>
      <w:r>
        <w:t xml:space="preserve"> </w:t>
      </w:r>
      <w:r w:rsidRPr="006176B2">
        <w:rPr>
          <w:rFonts w:eastAsia="Verdana" w:cs="Verdana"/>
        </w:rPr>
        <w:t>Zie: CE Delft, "Top 10 van instrumenten ter stimulering van deelmobiliteit", rapportnummer 2024D37377, oktober 2024.</w:t>
      </w:r>
    </w:p>
  </w:footnote>
  <w:footnote w:id="6">
    <w:p w14:paraId="6C67F5D7" w14:textId="77777777" w:rsidR="00A21321" w:rsidRPr="006176B2" w:rsidRDefault="00A21321" w:rsidP="00A21321">
      <w:pPr>
        <w:rPr>
          <w:sz w:val="20"/>
          <w:szCs w:val="20"/>
        </w:rPr>
      </w:pPr>
      <w:r w:rsidRPr="278802C7">
        <w:rPr>
          <w:rStyle w:val="FootnoteReference"/>
        </w:rPr>
        <w:footnoteRef/>
      </w:r>
      <w:r>
        <w:t xml:space="preserve"> Zie: </w:t>
      </w:r>
      <w:r w:rsidRPr="006176B2">
        <w:rPr>
          <w:rFonts w:eastAsia="Verdana" w:cs="Verdana"/>
        </w:rPr>
        <w:t>Ministerie van Infrastructuur en Waterstaat, "Verkenning parkeeroverlast deelscooters - Resultaten bevraging gemeenten", rapportnummer 2023D33089, 18 juli 2023.</w:t>
      </w:r>
    </w:p>
  </w:footnote>
  <w:footnote w:id="7">
    <w:p w14:paraId="6B4F3B67" w14:textId="0C9C1840" w:rsidR="00A21321" w:rsidRPr="006176B2" w:rsidRDefault="00A21321" w:rsidP="00A21321">
      <w:pPr>
        <w:pStyle w:val="FootnoteText"/>
        <w:rPr>
          <w:b/>
          <w:bCs/>
        </w:rPr>
      </w:pPr>
      <w:r>
        <w:rPr>
          <w:rStyle w:val="FootnoteReference"/>
        </w:rPr>
        <w:footnoteRef/>
      </w:r>
      <w:r>
        <w:t xml:space="preserve"> </w:t>
      </w:r>
      <w:r w:rsidRPr="006176B2">
        <w:rPr>
          <w:sz w:val="18"/>
          <w:szCs w:val="18"/>
        </w:rPr>
        <w:t>Zie: DVJ Insights, “Campagne-effectonderzoek Autodelen 2023-2024”, april 2024</w:t>
      </w:r>
      <w:r>
        <w:rPr>
          <w:sz w:val="18"/>
          <w:szCs w:val="18"/>
        </w:rPr>
        <w:t xml:space="preserve">. Te benaderen via: </w:t>
      </w:r>
      <w:hyperlink r:id="rId2" w:history="1">
        <w:r w:rsidRPr="00B4630E">
          <w:rPr>
            <w:rStyle w:val="Hyperlink"/>
            <w:sz w:val="18"/>
            <w:szCs w:val="18"/>
          </w:rPr>
          <w:t>https://www.rijksoverheid.nl/documenten/rapporten/2025/02/17/campagne-effectonderzoek-autodelen-2024-2025</w:t>
        </w:r>
      </w:hyperlink>
      <w:r>
        <w:rPr>
          <w:sz w:val="18"/>
          <w:szCs w:val="18"/>
        </w:rPr>
        <w:t xml:space="preserve"> </w:t>
      </w:r>
    </w:p>
  </w:footnote>
  <w:footnote w:id="8">
    <w:p w14:paraId="59A6D9D3" w14:textId="77777777" w:rsidR="00A21321" w:rsidRPr="006176B2" w:rsidRDefault="00A21321" w:rsidP="00A21321">
      <w:pPr>
        <w:pStyle w:val="FootnoteText"/>
        <w:rPr>
          <w:color w:val="000000" w:themeColor="text1"/>
          <w:sz w:val="22"/>
          <w:szCs w:val="22"/>
        </w:rPr>
      </w:pPr>
      <w:r w:rsidRPr="4B5E819E">
        <w:rPr>
          <w:rStyle w:val="FootnoteReference"/>
        </w:rPr>
        <w:footnoteRef/>
      </w:r>
      <w:r>
        <w:rPr>
          <w:color w:val="132439"/>
          <w:sz w:val="16"/>
          <w:szCs w:val="16"/>
        </w:rPr>
        <w:t xml:space="preserve"> </w:t>
      </w:r>
      <w:r w:rsidRPr="006176B2">
        <w:rPr>
          <w:color w:val="132439"/>
          <w:sz w:val="18"/>
          <w:szCs w:val="18"/>
        </w:rPr>
        <w:t>Kamerstuk 31305, nr. 464 (30-05-2024)</w:t>
      </w:r>
    </w:p>
  </w:footnote>
  <w:footnote w:id="9">
    <w:p w14:paraId="70FF53C8" w14:textId="7AC083B6" w:rsidR="00A21321" w:rsidRPr="008C6ADA" w:rsidRDefault="00A21321" w:rsidP="00A21321">
      <w:pPr>
        <w:spacing w:line="240" w:lineRule="auto"/>
      </w:pPr>
      <w:r w:rsidRPr="008C6ADA">
        <w:rPr>
          <w:rStyle w:val="FootnoteReference"/>
        </w:rPr>
        <w:footnoteRef/>
      </w:r>
      <w:r w:rsidRPr="008C6ADA">
        <w:t xml:space="preserve"> Zie: KiM, “Deelscooters: impact op de leefomgeving”, april 2025. Te benaderen via: </w:t>
      </w:r>
      <w:hyperlink r:id="rId3" w:history="1">
        <w:r w:rsidR="00A47DCB" w:rsidRPr="007640AC">
          <w:rPr>
            <w:rStyle w:val="Hyperlink"/>
          </w:rPr>
          <w:t>https://www.kimnet.nl/documenten/2025/04/29/deelscooters-impact-op-de-leefomgeving</w:t>
        </w:r>
      </w:hyperlink>
      <w:r w:rsidR="00A47DCB">
        <w:t xml:space="preserve"> </w:t>
      </w:r>
    </w:p>
  </w:footnote>
  <w:footnote w:id="10">
    <w:p w14:paraId="0E3E2196" w14:textId="59DF368F" w:rsidR="00A21321" w:rsidRPr="008C6ADA" w:rsidRDefault="00A21321" w:rsidP="00A21321">
      <w:pPr>
        <w:pStyle w:val="FootnoteText"/>
        <w:rPr>
          <w:b/>
          <w:bCs/>
          <w:sz w:val="18"/>
          <w:szCs w:val="18"/>
        </w:rPr>
      </w:pPr>
      <w:r w:rsidRPr="00E548F6">
        <w:rPr>
          <w:rStyle w:val="FootnoteReference"/>
          <w:sz w:val="18"/>
          <w:szCs w:val="18"/>
        </w:rPr>
        <w:footnoteRef/>
      </w:r>
      <w:r w:rsidRPr="00E548F6">
        <w:rPr>
          <w:sz w:val="18"/>
          <w:szCs w:val="18"/>
        </w:rPr>
        <w:t xml:space="preserve"> </w:t>
      </w:r>
      <w:r w:rsidRPr="008C6ADA">
        <w:rPr>
          <w:sz w:val="18"/>
          <w:szCs w:val="18"/>
        </w:rPr>
        <w:t>Zie: KiM, “Op weg met LEV: de rol van lichte elektrische voertuigen in het mobiliteitssysteem”, juli 2021.</w:t>
      </w:r>
      <w:r w:rsidR="00D03E7F" w:rsidRPr="008C6ADA">
        <w:rPr>
          <w:sz w:val="18"/>
          <w:szCs w:val="18"/>
        </w:rPr>
        <w:t xml:space="preserve"> Te benaderen via: </w:t>
      </w:r>
      <w:hyperlink r:id="rId4" w:history="1">
        <w:r w:rsidR="00A47DCB" w:rsidRPr="007640AC">
          <w:rPr>
            <w:rStyle w:val="Hyperlink"/>
            <w:sz w:val="18"/>
            <w:szCs w:val="18"/>
          </w:rPr>
          <w:t>https://www.kimnet.nl/documenten/2021/07/09/op-weg-met-lev-de-rol-van-lichte-elektrische-voertuigen-in-het-mobiliteitssysteem</w:t>
        </w:r>
      </w:hyperlink>
      <w:r w:rsidR="00A47DCB">
        <w:rPr>
          <w:sz w:val="18"/>
          <w:szCs w:val="18"/>
        </w:rPr>
        <w:t xml:space="preserve"> </w:t>
      </w:r>
      <w:r w:rsidR="00D03E7F" w:rsidRPr="008C6ADA">
        <w:rPr>
          <w:sz w:val="18"/>
          <w:szCs w:val="18"/>
        </w:rPr>
        <w:t xml:space="preserve"> </w:t>
      </w:r>
    </w:p>
  </w:footnote>
  <w:footnote w:id="11">
    <w:p w14:paraId="009B29C6" w14:textId="77777777" w:rsidR="00A21321" w:rsidRPr="00E548F6" w:rsidRDefault="00A21321" w:rsidP="00A21321">
      <w:pPr>
        <w:pStyle w:val="FootnoteText"/>
        <w:rPr>
          <w:sz w:val="18"/>
          <w:szCs w:val="18"/>
        </w:rPr>
      </w:pPr>
      <w:r w:rsidRPr="00E548F6">
        <w:rPr>
          <w:rStyle w:val="FootnoteReference"/>
          <w:sz w:val="18"/>
          <w:szCs w:val="18"/>
        </w:rPr>
        <w:footnoteRef/>
      </w:r>
      <w:r w:rsidRPr="00E548F6">
        <w:rPr>
          <w:sz w:val="18"/>
          <w:szCs w:val="18"/>
        </w:rPr>
        <w:t xml:space="preserve"> </w:t>
      </w:r>
      <w:r w:rsidRPr="008C6ADA">
        <w:rPr>
          <w:sz w:val="18"/>
          <w:szCs w:val="18"/>
        </w:rPr>
        <w:t>Eén reizigerskilometer komt overeen met een verplaatsing van een reiziger over een afstand van één kilometer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5886" w14:textId="77777777" w:rsidR="004C6056" w:rsidRDefault="004C6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26CC" w14:textId="77777777" w:rsidR="00443A40" w:rsidRDefault="008C35A8">
    <w:r>
      <w:rPr>
        <w:noProof/>
        <w:lang w:val="en-GB" w:eastAsia="en-GB"/>
      </w:rPr>
      <mc:AlternateContent>
        <mc:Choice Requires="wps">
          <w:drawing>
            <wp:anchor distT="0" distB="0" distL="0" distR="0" simplePos="0" relativeHeight="251651584" behindDoc="0" locked="1" layoutInCell="1" allowOverlap="1" wp14:anchorId="51EB6782" wp14:editId="4EEEC82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A5B4B7" w14:textId="77777777" w:rsidR="00443A40" w:rsidRDefault="008C35A8">
                          <w:pPr>
                            <w:pStyle w:val="AfzendgegevensKop0"/>
                          </w:pPr>
                          <w:r>
                            <w:t>Ministerie van Infrastructuur en Waterstaat</w:t>
                          </w:r>
                        </w:p>
                        <w:p w14:paraId="3112ABAB" w14:textId="77777777" w:rsidR="00443A40" w:rsidRDefault="00443A40">
                          <w:pPr>
                            <w:pStyle w:val="WitregelW2"/>
                          </w:pPr>
                        </w:p>
                        <w:p w14:paraId="34509B22" w14:textId="77777777" w:rsidR="00443A40" w:rsidRDefault="008C35A8">
                          <w:pPr>
                            <w:pStyle w:val="Referentiegegevenskop"/>
                          </w:pPr>
                          <w:r>
                            <w:t>Ons kenmerk</w:t>
                          </w:r>
                        </w:p>
                        <w:p w14:paraId="135C434B" w14:textId="77777777" w:rsidR="00443A40" w:rsidRDefault="008C35A8">
                          <w:pPr>
                            <w:pStyle w:val="Referentiegegevens"/>
                          </w:pPr>
                          <w:r>
                            <w:t>IENW/BSK-2025/138445</w:t>
                          </w:r>
                        </w:p>
                      </w:txbxContent>
                    </wps:txbx>
                    <wps:bodyPr vert="horz" wrap="square" lIns="0" tIns="0" rIns="0" bIns="0" anchor="t" anchorCtr="0"/>
                  </wps:wsp>
                </a:graphicData>
              </a:graphic>
            </wp:anchor>
          </w:drawing>
        </mc:Choice>
        <mc:Fallback>
          <w:pict>
            <v:shapetype w14:anchorId="51EB678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A5B4B7" w14:textId="77777777" w:rsidR="00443A40" w:rsidRDefault="008C35A8">
                    <w:pPr>
                      <w:pStyle w:val="AfzendgegevensKop0"/>
                    </w:pPr>
                    <w:r>
                      <w:t>Ministerie van Infrastructuur en Waterstaat</w:t>
                    </w:r>
                  </w:p>
                  <w:p w14:paraId="3112ABAB" w14:textId="77777777" w:rsidR="00443A40" w:rsidRDefault="00443A40">
                    <w:pPr>
                      <w:pStyle w:val="WitregelW2"/>
                    </w:pPr>
                  </w:p>
                  <w:p w14:paraId="34509B22" w14:textId="77777777" w:rsidR="00443A40" w:rsidRDefault="008C35A8">
                    <w:pPr>
                      <w:pStyle w:val="Referentiegegevenskop"/>
                    </w:pPr>
                    <w:r>
                      <w:t>Ons kenmerk</w:t>
                    </w:r>
                  </w:p>
                  <w:p w14:paraId="135C434B" w14:textId="77777777" w:rsidR="00443A40" w:rsidRDefault="008C35A8">
                    <w:pPr>
                      <w:pStyle w:val="Referentiegegevens"/>
                    </w:pPr>
                    <w:r>
                      <w:t>IENW/BSK-2025/138445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9818FE2" wp14:editId="3A79936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A77E49" w14:textId="77777777" w:rsidR="00443A40" w:rsidRDefault="008C35A8">
                          <w:pPr>
                            <w:pStyle w:val="Referentiegegevens"/>
                          </w:pPr>
                          <w:r>
                            <w:t xml:space="preserve">Pagina </w:t>
                          </w:r>
                          <w:r>
                            <w:fldChar w:fldCharType="begin"/>
                          </w:r>
                          <w:r>
                            <w:instrText>PAGE</w:instrText>
                          </w:r>
                          <w:r>
                            <w:fldChar w:fldCharType="separate"/>
                          </w:r>
                          <w:r w:rsidR="00A21321">
                            <w:rPr>
                              <w:noProof/>
                            </w:rPr>
                            <w:t>1</w:t>
                          </w:r>
                          <w:r>
                            <w:fldChar w:fldCharType="end"/>
                          </w:r>
                          <w:r>
                            <w:t xml:space="preserve"> van </w:t>
                          </w:r>
                          <w:r>
                            <w:fldChar w:fldCharType="begin"/>
                          </w:r>
                          <w:r>
                            <w:instrText>NUMPAGES</w:instrText>
                          </w:r>
                          <w:r>
                            <w:fldChar w:fldCharType="separate"/>
                          </w:r>
                          <w:r w:rsidR="00A21321">
                            <w:rPr>
                              <w:noProof/>
                            </w:rPr>
                            <w:t>1</w:t>
                          </w:r>
                          <w:r>
                            <w:fldChar w:fldCharType="end"/>
                          </w:r>
                        </w:p>
                      </w:txbxContent>
                    </wps:txbx>
                    <wps:bodyPr vert="horz" wrap="square" lIns="0" tIns="0" rIns="0" bIns="0" anchor="t" anchorCtr="0"/>
                  </wps:wsp>
                </a:graphicData>
              </a:graphic>
            </wp:anchor>
          </w:drawing>
        </mc:Choice>
        <mc:Fallback>
          <w:pict>
            <v:shape w14:anchorId="39818FE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A77E49" w14:textId="77777777" w:rsidR="00443A40" w:rsidRDefault="008C35A8">
                    <w:pPr>
                      <w:pStyle w:val="Referentiegegevens"/>
                    </w:pPr>
                    <w:r>
                      <w:t xml:space="preserve">Pagina </w:t>
                    </w:r>
                    <w:r>
                      <w:fldChar w:fldCharType="begin"/>
                    </w:r>
                    <w:r>
                      <w:instrText>PAGE</w:instrText>
                    </w:r>
                    <w:r>
                      <w:fldChar w:fldCharType="separate"/>
                    </w:r>
                    <w:r w:rsidR="00A21321">
                      <w:rPr>
                        <w:noProof/>
                      </w:rPr>
                      <w:t>1</w:t>
                    </w:r>
                    <w:r>
                      <w:fldChar w:fldCharType="end"/>
                    </w:r>
                    <w:r>
                      <w:t xml:space="preserve"> van </w:t>
                    </w:r>
                    <w:r>
                      <w:fldChar w:fldCharType="begin"/>
                    </w:r>
                    <w:r>
                      <w:instrText>NUMPAGES</w:instrText>
                    </w:r>
                    <w:r>
                      <w:fldChar w:fldCharType="separate"/>
                    </w:r>
                    <w:r w:rsidR="00A2132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1919D4" wp14:editId="0F00CF6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17CD09" w14:textId="77777777" w:rsidR="00F40BF4" w:rsidRDefault="00F40BF4"/>
                      </w:txbxContent>
                    </wps:txbx>
                    <wps:bodyPr vert="horz" wrap="square" lIns="0" tIns="0" rIns="0" bIns="0" anchor="t" anchorCtr="0"/>
                  </wps:wsp>
                </a:graphicData>
              </a:graphic>
            </wp:anchor>
          </w:drawing>
        </mc:Choice>
        <mc:Fallback>
          <w:pict>
            <v:shape w14:anchorId="651919D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17CD09"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227AA4" wp14:editId="1EC7AA9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873A5B" w14:textId="77777777" w:rsidR="00F40BF4" w:rsidRDefault="00F40BF4"/>
                      </w:txbxContent>
                    </wps:txbx>
                    <wps:bodyPr vert="horz" wrap="square" lIns="0" tIns="0" rIns="0" bIns="0" anchor="t" anchorCtr="0"/>
                  </wps:wsp>
                </a:graphicData>
              </a:graphic>
            </wp:anchor>
          </w:drawing>
        </mc:Choice>
        <mc:Fallback>
          <w:pict>
            <v:shape w14:anchorId="2D227AA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5873A5B" w14:textId="77777777" w:rsidR="00F40BF4" w:rsidRDefault="00F40BF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0DE8C" w14:textId="77777777" w:rsidR="00443A40" w:rsidRDefault="008C35A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CE8217E" wp14:editId="2059D9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8564C" w14:textId="77777777" w:rsidR="00F40BF4" w:rsidRDefault="00F40BF4"/>
                      </w:txbxContent>
                    </wps:txbx>
                    <wps:bodyPr vert="horz" wrap="square" lIns="0" tIns="0" rIns="0" bIns="0" anchor="t" anchorCtr="0"/>
                  </wps:wsp>
                </a:graphicData>
              </a:graphic>
            </wp:anchor>
          </w:drawing>
        </mc:Choice>
        <mc:Fallback>
          <w:pict>
            <v:shapetype w14:anchorId="6CE821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98564C"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F17866" wp14:editId="17A4A15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5D4885" w14:textId="67D78D0A" w:rsidR="00443A40" w:rsidRDefault="008C35A8">
                          <w:pPr>
                            <w:pStyle w:val="Referentiegegevens"/>
                          </w:pPr>
                          <w:r>
                            <w:t xml:space="preserve">Pagina </w:t>
                          </w:r>
                          <w:r>
                            <w:fldChar w:fldCharType="begin"/>
                          </w:r>
                          <w:r>
                            <w:instrText>PAGE</w:instrText>
                          </w:r>
                          <w:r>
                            <w:fldChar w:fldCharType="separate"/>
                          </w:r>
                          <w:r w:rsidR="00D322F6">
                            <w:rPr>
                              <w:noProof/>
                            </w:rPr>
                            <w:t>1</w:t>
                          </w:r>
                          <w:r>
                            <w:fldChar w:fldCharType="end"/>
                          </w:r>
                          <w:r>
                            <w:t xml:space="preserve"> van </w:t>
                          </w:r>
                          <w:r>
                            <w:fldChar w:fldCharType="begin"/>
                          </w:r>
                          <w:r>
                            <w:instrText>NUMPAGES</w:instrText>
                          </w:r>
                          <w:r>
                            <w:fldChar w:fldCharType="separate"/>
                          </w:r>
                          <w:r w:rsidR="00D322F6">
                            <w:rPr>
                              <w:noProof/>
                            </w:rPr>
                            <w:t>1</w:t>
                          </w:r>
                          <w:r>
                            <w:fldChar w:fldCharType="end"/>
                          </w:r>
                        </w:p>
                      </w:txbxContent>
                    </wps:txbx>
                    <wps:bodyPr vert="horz" wrap="square" lIns="0" tIns="0" rIns="0" bIns="0" anchor="t" anchorCtr="0"/>
                  </wps:wsp>
                </a:graphicData>
              </a:graphic>
            </wp:anchor>
          </w:drawing>
        </mc:Choice>
        <mc:Fallback>
          <w:pict>
            <v:shape w14:anchorId="31F178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85D4885" w14:textId="67D78D0A" w:rsidR="00443A40" w:rsidRDefault="008C35A8">
                    <w:pPr>
                      <w:pStyle w:val="Referentiegegevens"/>
                    </w:pPr>
                    <w:r>
                      <w:t xml:space="preserve">Pagina </w:t>
                    </w:r>
                    <w:r>
                      <w:fldChar w:fldCharType="begin"/>
                    </w:r>
                    <w:r>
                      <w:instrText>PAGE</w:instrText>
                    </w:r>
                    <w:r>
                      <w:fldChar w:fldCharType="separate"/>
                    </w:r>
                    <w:r w:rsidR="00D322F6">
                      <w:rPr>
                        <w:noProof/>
                      </w:rPr>
                      <w:t>1</w:t>
                    </w:r>
                    <w:r>
                      <w:fldChar w:fldCharType="end"/>
                    </w:r>
                    <w:r>
                      <w:t xml:space="preserve"> van </w:t>
                    </w:r>
                    <w:r>
                      <w:fldChar w:fldCharType="begin"/>
                    </w:r>
                    <w:r>
                      <w:instrText>NUMPAGES</w:instrText>
                    </w:r>
                    <w:r>
                      <w:fldChar w:fldCharType="separate"/>
                    </w:r>
                    <w:r w:rsidR="00D322F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1CE80F7" wp14:editId="0A364E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E3B04F" w14:textId="77777777" w:rsidR="00443A40" w:rsidRDefault="008C35A8">
                          <w:pPr>
                            <w:pStyle w:val="AfzendgegevensKop0"/>
                          </w:pPr>
                          <w:r>
                            <w:t>Ministerie van Infrastructuur en Waterstaat</w:t>
                          </w:r>
                        </w:p>
                        <w:p w14:paraId="17EFC51B" w14:textId="77777777" w:rsidR="00443A40" w:rsidRDefault="00443A40">
                          <w:pPr>
                            <w:pStyle w:val="WitregelW1"/>
                          </w:pPr>
                        </w:p>
                        <w:p w14:paraId="646960C4" w14:textId="77777777" w:rsidR="00443A40" w:rsidRDefault="008C35A8">
                          <w:pPr>
                            <w:pStyle w:val="Afzendgegevens"/>
                          </w:pPr>
                          <w:r>
                            <w:t>Rijnstraat 8</w:t>
                          </w:r>
                        </w:p>
                        <w:p w14:paraId="39B235BE" w14:textId="77777777" w:rsidR="00443A40" w:rsidRPr="00A21321" w:rsidRDefault="008C35A8">
                          <w:pPr>
                            <w:pStyle w:val="Afzendgegevens"/>
                            <w:rPr>
                              <w:lang w:val="de-DE"/>
                            </w:rPr>
                          </w:pPr>
                          <w:r w:rsidRPr="00A21321">
                            <w:rPr>
                              <w:lang w:val="de-DE"/>
                            </w:rPr>
                            <w:t>2515 XP  Den Haag</w:t>
                          </w:r>
                        </w:p>
                        <w:p w14:paraId="04C47B24" w14:textId="77777777" w:rsidR="00443A40" w:rsidRPr="00A21321" w:rsidRDefault="008C35A8">
                          <w:pPr>
                            <w:pStyle w:val="Afzendgegevens"/>
                            <w:rPr>
                              <w:lang w:val="de-DE"/>
                            </w:rPr>
                          </w:pPr>
                          <w:r w:rsidRPr="00A21321">
                            <w:rPr>
                              <w:lang w:val="de-DE"/>
                            </w:rPr>
                            <w:t>Postbus 20901</w:t>
                          </w:r>
                        </w:p>
                        <w:p w14:paraId="00B4C1A4" w14:textId="77777777" w:rsidR="00443A40" w:rsidRPr="00A21321" w:rsidRDefault="008C35A8">
                          <w:pPr>
                            <w:pStyle w:val="Afzendgegevens"/>
                            <w:rPr>
                              <w:lang w:val="de-DE"/>
                            </w:rPr>
                          </w:pPr>
                          <w:r w:rsidRPr="00A21321">
                            <w:rPr>
                              <w:lang w:val="de-DE"/>
                            </w:rPr>
                            <w:t>2500 EX Den Haag</w:t>
                          </w:r>
                        </w:p>
                        <w:p w14:paraId="31754E7A" w14:textId="77777777" w:rsidR="00443A40" w:rsidRPr="00A21321" w:rsidRDefault="00443A40">
                          <w:pPr>
                            <w:pStyle w:val="WitregelW1"/>
                            <w:rPr>
                              <w:lang w:val="de-DE"/>
                            </w:rPr>
                          </w:pPr>
                        </w:p>
                        <w:p w14:paraId="7C506400" w14:textId="77777777" w:rsidR="00443A40" w:rsidRPr="00A21321" w:rsidRDefault="008C35A8">
                          <w:pPr>
                            <w:pStyle w:val="Afzendgegevens"/>
                            <w:rPr>
                              <w:lang w:val="de-DE"/>
                            </w:rPr>
                          </w:pPr>
                          <w:r w:rsidRPr="00A21321">
                            <w:rPr>
                              <w:lang w:val="de-DE"/>
                            </w:rPr>
                            <w:t>T   070-456 0000</w:t>
                          </w:r>
                        </w:p>
                        <w:p w14:paraId="33195CDC" w14:textId="77777777" w:rsidR="00443A40" w:rsidRDefault="008C35A8">
                          <w:pPr>
                            <w:pStyle w:val="Afzendgegevens"/>
                          </w:pPr>
                          <w:r>
                            <w:t>F   070-456 1111</w:t>
                          </w:r>
                        </w:p>
                        <w:p w14:paraId="6F0C21BC" w14:textId="77777777" w:rsidR="00443A40" w:rsidRDefault="00443A40">
                          <w:pPr>
                            <w:pStyle w:val="WitregelW2"/>
                          </w:pPr>
                        </w:p>
                        <w:p w14:paraId="3F7723E1" w14:textId="77777777" w:rsidR="00443A40" w:rsidRDefault="008C35A8">
                          <w:pPr>
                            <w:pStyle w:val="Referentiegegevenskop"/>
                          </w:pPr>
                          <w:r>
                            <w:t>Ons kenmerk</w:t>
                          </w:r>
                        </w:p>
                        <w:p w14:paraId="58A84EDF" w14:textId="77777777" w:rsidR="00443A40" w:rsidRDefault="008C35A8">
                          <w:pPr>
                            <w:pStyle w:val="Referentiegegevens"/>
                          </w:pPr>
                          <w:r>
                            <w:t>IENW/BSK-2025/138445</w:t>
                          </w:r>
                        </w:p>
                        <w:p w14:paraId="2A44F306" w14:textId="77777777" w:rsidR="008C35A8" w:rsidRDefault="008C35A8" w:rsidP="008C35A8"/>
                        <w:p w14:paraId="5AFCC02E" w14:textId="53F83471" w:rsidR="008C35A8" w:rsidRPr="008C35A8" w:rsidRDefault="008C35A8" w:rsidP="008C35A8">
                          <w:pPr>
                            <w:spacing w:line="240" w:lineRule="auto"/>
                            <w:rPr>
                              <w:b/>
                              <w:bCs/>
                              <w:sz w:val="13"/>
                              <w:szCs w:val="13"/>
                            </w:rPr>
                          </w:pPr>
                          <w:r w:rsidRPr="008C35A8">
                            <w:rPr>
                              <w:b/>
                              <w:bCs/>
                              <w:sz w:val="13"/>
                              <w:szCs w:val="13"/>
                            </w:rPr>
                            <w:t>Bijlage(n)</w:t>
                          </w:r>
                        </w:p>
                        <w:p w14:paraId="58434084" w14:textId="270EFAAC" w:rsidR="008C35A8" w:rsidRPr="008C35A8" w:rsidRDefault="008C35A8" w:rsidP="008C35A8">
                          <w:pPr>
                            <w:spacing w:line="240" w:lineRule="auto"/>
                            <w:rPr>
                              <w:sz w:val="13"/>
                              <w:szCs w:val="13"/>
                            </w:rPr>
                          </w:pPr>
                          <w:r w:rsidRPr="008C35A8">
                            <w:rPr>
                              <w:sz w:val="13"/>
                              <w:szCs w:val="13"/>
                            </w:rPr>
                            <w:t>4</w:t>
                          </w:r>
                        </w:p>
                      </w:txbxContent>
                    </wps:txbx>
                    <wps:bodyPr vert="horz" wrap="square" lIns="0" tIns="0" rIns="0" bIns="0" anchor="t" anchorCtr="0"/>
                  </wps:wsp>
                </a:graphicData>
              </a:graphic>
            </wp:anchor>
          </w:drawing>
        </mc:Choice>
        <mc:Fallback>
          <w:pict>
            <v:shape w14:anchorId="21CE80F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6E3B04F" w14:textId="77777777" w:rsidR="00443A40" w:rsidRDefault="008C35A8">
                    <w:pPr>
                      <w:pStyle w:val="AfzendgegevensKop0"/>
                    </w:pPr>
                    <w:r>
                      <w:t>Ministerie van Infrastructuur en Waterstaat</w:t>
                    </w:r>
                  </w:p>
                  <w:p w14:paraId="17EFC51B" w14:textId="77777777" w:rsidR="00443A40" w:rsidRDefault="00443A40">
                    <w:pPr>
                      <w:pStyle w:val="WitregelW1"/>
                    </w:pPr>
                  </w:p>
                  <w:p w14:paraId="646960C4" w14:textId="77777777" w:rsidR="00443A40" w:rsidRDefault="008C35A8">
                    <w:pPr>
                      <w:pStyle w:val="Afzendgegevens"/>
                    </w:pPr>
                    <w:r>
                      <w:t>Rijnstraat 8</w:t>
                    </w:r>
                  </w:p>
                  <w:p w14:paraId="39B235BE" w14:textId="77777777" w:rsidR="00443A40" w:rsidRPr="00A21321" w:rsidRDefault="008C35A8">
                    <w:pPr>
                      <w:pStyle w:val="Afzendgegevens"/>
                      <w:rPr>
                        <w:lang w:val="de-DE"/>
                      </w:rPr>
                    </w:pPr>
                    <w:r w:rsidRPr="00A21321">
                      <w:rPr>
                        <w:lang w:val="de-DE"/>
                      </w:rPr>
                      <w:t>2515 XP  Den Haag</w:t>
                    </w:r>
                  </w:p>
                  <w:p w14:paraId="04C47B24" w14:textId="77777777" w:rsidR="00443A40" w:rsidRPr="00A21321" w:rsidRDefault="008C35A8">
                    <w:pPr>
                      <w:pStyle w:val="Afzendgegevens"/>
                      <w:rPr>
                        <w:lang w:val="de-DE"/>
                      </w:rPr>
                    </w:pPr>
                    <w:r w:rsidRPr="00A21321">
                      <w:rPr>
                        <w:lang w:val="de-DE"/>
                      </w:rPr>
                      <w:t>Postbus 20901</w:t>
                    </w:r>
                  </w:p>
                  <w:p w14:paraId="00B4C1A4" w14:textId="77777777" w:rsidR="00443A40" w:rsidRPr="00A21321" w:rsidRDefault="008C35A8">
                    <w:pPr>
                      <w:pStyle w:val="Afzendgegevens"/>
                      <w:rPr>
                        <w:lang w:val="de-DE"/>
                      </w:rPr>
                    </w:pPr>
                    <w:r w:rsidRPr="00A21321">
                      <w:rPr>
                        <w:lang w:val="de-DE"/>
                      </w:rPr>
                      <w:t>2500 EX Den Haag</w:t>
                    </w:r>
                  </w:p>
                  <w:p w14:paraId="31754E7A" w14:textId="77777777" w:rsidR="00443A40" w:rsidRPr="00A21321" w:rsidRDefault="00443A40">
                    <w:pPr>
                      <w:pStyle w:val="WitregelW1"/>
                      <w:rPr>
                        <w:lang w:val="de-DE"/>
                      </w:rPr>
                    </w:pPr>
                  </w:p>
                  <w:p w14:paraId="7C506400" w14:textId="77777777" w:rsidR="00443A40" w:rsidRPr="00A21321" w:rsidRDefault="008C35A8">
                    <w:pPr>
                      <w:pStyle w:val="Afzendgegevens"/>
                      <w:rPr>
                        <w:lang w:val="de-DE"/>
                      </w:rPr>
                    </w:pPr>
                    <w:r w:rsidRPr="00A21321">
                      <w:rPr>
                        <w:lang w:val="de-DE"/>
                      </w:rPr>
                      <w:t>T   070-456 0000</w:t>
                    </w:r>
                  </w:p>
                  <w:p w14:paraId="33195CDC" w14:textId="77777777" w:rsidR="00443A40" w:rsidRDefault="008C35A8">
                    <w:pPr>
                      <w:pStyle w:val="Afzendgegevens"/>
                    </w:pPr>
                    <w:r>
                      <w:t>F   070-456 1111</w:t>
                    </w:r>
                  </w:p>
                  <w:p w14:paraId="6F0C21BC" w14:textId="77777777" w:rsidR="00443A40" w:rsidRDefault="00443A40">
                    <w:pPr>
                      <w:pStyle w:val="WitregelW2"/>
                    </w:pPr>
                  </w:p>
                  <w:p w14:paraId="3F7723E1" w14:textId="77777777" w:rsidR="00443A40" w:rsidRDefault="008C35A8">
                    <w:pPr>
                      <w:pStyle w:val="Referentiegegevenskop"/>
                    </w:pPr>
                    <w:r>
                      <w:t>Ons kenmerk</w:t>
                    </w:r>
                  </w:p>
                  <w:p w14:paraId="58A84EDF" w14:textId="77777777" w:rsidR="00443A40" w:rsidRDefault="008C35A8">
                    <w:pPr>
                      <w:pStyle w:val="Referentiegegevens"/>
                    </w:pPr>
                    <w:r>
                      <w:t>IENW/BSK-2025/138445</w:t>
                    </w:r>
                  </w:p>
                  <w:p w14:paraId="2A44F306" w14:textId="77777777" w:rsidR="008C35A8" w:rsidRDefault="008C35A8" w:rsidP="008C35A8"/>
                  <w:p w14:paraId="5AFCC02E" w14:textId="53F83471" w:rsidR="008C35A8" w:rsidRPr="008C35A8" w:rsidRDefault="008C35A8" w:rsidP="008C35A8">
                    <w:pPr>
                      <w:spacing w:line="240" w:lineRule="auto"/>
                      <w:rPr>
                        <w:b/>
                        <w:bCs/>
                        <w:sz w:val="13"/>
                        <w:szCs w:val="13"/>
                      </w:rPr>
                    </w:pPr>
                    <w:r w:rsidRPr="008C35A8">
                      <w:rPr>
                        <w:b/>
                        <w:bCs/>
                        <w:sz w:val="13"/>
                        <w:szCs w:val="13"/>
                      </w:rPr>
                      <w:t>Bijlage(n)</w:t>
                    </w:r>
                  </w:p>
                  <w:p w14:paraId="58434084" w14:textId="270EFAAC" w:rsidR="008C35A8" w:rsidRPr="008C35A8" w:rsidRDefault="008C35A8" w:rsidP="008C35A8">
                    <w:pPr>
                      <w:spacing w:line="240" w:lineRule="auto"/>
                      <w:rPr>
                        <w:sz w:val="13"/>
                        <w:szCs w:val="13"/>
                      </w:rPr>
                    </w:pPr>
                    <w:r w:rsidRPr="008C35A8">
                      <w:rPr>
                        <w:sz w:val="13"/>
                        <w:szCs w:val="13"/>
                      </w:rP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07FF4EE" wp14:editId="27E425D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118BE4" w14:textId="77777777" w:rsidR="00443A40" w:rsidRDefault="008C35A8">
                          <w:pPr>
                            <w:spacing w:line="240" w:lineRule="auto"/>
                          </w:pPr>
                          <w:r>
                            <w:rPr>
                              <w:noProof/>
                              <w:lang w:val="en-GB" w:eastAsia="en-GB"/>
                            </w:rPr>
                            <w:drawing>
                              <wp:inline distT="0" distB="0" distL="0" distR="0" wp14:anchorId="6FC49EE9" wp14:editId="651147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7FF4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9118BE4" w14:textId="77777777" w:rsidR="00443A40" w:rsidRDefault="008C35A8">
                    <w:pPr>
                      <w:spacing w:line="240" w:lineRule="auto"/>
                    </w:pPr>
                    <w:r>
                      <w:rPr>
                        <w:noProof/>
                        <w:lang w:val="en-GB" w:eastAsia="en-GB"/>
                      </w:rPr>
                      <w:drawing>
                        <wp:inline distT="0" distB="0" distL="0" distR="0" wp14:anchorId="6FC49EE9" wp14:editId="6511471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68C07E9" wp14:editId="751863F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31C686" w14:textId="77777777" w:rsidR="00443A40" w:rsidRDefault="008C35A8">
                          <w:pPr>
                            <w:spacing w:line="240" w:lineRule="auto"/>
                          </w:pPr>
                          <w:r>
                            <w:rPr>
                              <w:noProof/>
                              <w:lang w:val="en-GB" w:eastAsia="en-GB"/>
                            </w:rPr>
                            <w:drawing>
                              <wp:inline distT="0" distB="0" distL="0" distR="0" wp14:anchorId="62E1B764" wp14:editId="0845565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8C07E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31C686" w14:textId="77777777" w:rsidR="00443A40" w:rsidRDefault="008C35A8">
                    <w:pPr>
                      <w:spacing w:line="240" w:lineRule="auto"/>
                    </w:pPr>
                    <w:r>
                      <w:rPr>
                        <w:noProof/>
                        <w:lang w:val="en-GB" w:eastAsia="en-GB"/>
                      </w:rPr>
                      <w:drawing>
                        <wp:inline distT="0" distB="0" distL="0" distR="0" wp14:anchorId="62E1B764" wp14:editId="0845565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BED66A" wp14:editId="0B346D7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ED6BAD" w14:textId="77777777" w:rsidR="00443A40" w:rsidRDefault="008C35A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3BED66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ED6BAD" w14:textId="77777777" w:rsidR="00443A40" w:rsidRDefault="008C35A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58103F" wp14:editId="4E742C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0CB085" w14:textId="77777777" w:rsidR="00443A40" w:rsidRDefault="008C35A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58103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30CB085" w14:textId="77777777" w:rsidR="00443A40" w:rsidRDefault="008C35A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DE4489" wp14:editId="3EF82CC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3A40" w14:paraId="0B1BD129" w14:textId="77777777">
                            <w:trPr>
                              <w:trHeight w:val="200"/>
                            </w:trPr>
                            <w:tc>
                              <w:tcPr>
                                <w:tcW w:w="1140" w:type="dxa"/>
                              </w:tcPr>
                              <w:p w14:paraId="3746C00E" w14:textId="77777777" w:rsidR="00443A40" w:rsidRDefault="00443A40"/>
                            </w:tc>
                            <w:tc>
                              <w:tcPr>
                                <w:tcW w:w="5400" w:type="dxa"/>
                              </w:tcPr>
                              <w:p w14:paraId="3042BB65" w14:textId="77777777" w:rsidR="00443A40" w:rsidRDefault="00443A40"/>
                            </w:tc>
                          </w:tr>
                          <w:tr w:rsidR="00443A40" w14:paraId="55E4CDE2" w14:textId="77777777">
                            <w:trPr>
                              <w:trHeight w:val="240"/>
                            </w:trPr>
                            <w:tc>
                              <w:tcPr>
                                <w:tcW w:w="1140" w:type="dxa"/>
                              </w:tcPr>
                              <w:p w14:paraId="4533BF9A" w14:textId="77777777" w:rsidR="00443A40" w:rsidRDefault="008C35A8">
                                <w:r>
                                  <w:t>Datum</w:t>
                                </w:r>
                              </w:p>
                            </w:tc>
                            <w:tc>
                              <w:tcPr>
                                <w:tcW w:w="5400" w:type="dxa"/>
                              </w:tcPr>
                              <w:p w14:paraId="6D4A4924" w14:textId="69D784FA" w:rsidR="00443A40" w:rsidRDefault="004C6056">
                                <w:r>
                                  <w:t>9 juli 2025</w:t>
                                </w:r>
                              </w:p>
                            </w:tc>
                          </w:tr>
                          <w:tr w:rsidR="00443A40" w14:paraId="720B5228" w14:textId="77777777">
                            <w:trPr>
                              <w:trHeight w:val="240"/>
                            </w:trPr>
                            <w:tc>
                              <w:tcPr>
                                <w:tcW w:w="1140" w:type="dxa"/>
                              </w:tcPr>
                              <w:p w14:paraId="45BB2ED8" w14:textId="77777777" w:rsidR="00443A40" w:rsidRDefault="008C35A8">
                                <w:r>
                                  <w:t>Betreft</w:t>
                                </w:r>
                              </w:p>
                            </w:tc>
                            <w:tc>
                              <w:tcPr>
                                <w:tcW w:w="5400" w:type="dxa"/>
                              </w:tcPr>
                              <w:p w14:paraId="3900E2D8" w14:textId="77777777" w:rsidR="00443A40" w:rsidRDefault="008C35A8">
                                <w:r>
                                  <w:t>Voortgangsbrief deelmobiliteit juni 2025</w:t>
                                </w:r>
                              </w:p>
                            </w:tc>
                          </w:tr>
                          <w:tr w:rsidR="00443A40" w14:paraId="6D37EEBC" w14:textId="77777777">
                            <w:trPr>
                              <w:trHeight w:val="200"/>
                            </w:trPr>
                            <w:tc>
                              <w:tcPr>
                                <w:tcW w:w="1140" w:type="dxa"/>
                              </w:tcPr>
                              <w:p w14:paraId="375BB2A1" w14:textId="77777777" w:rsidR="00443A40" w:rsidRDefault="00443A40"/>
                            </w:tc>
                            <w:tc>
                              <w:tcPr>
                                <w:tcW w:w="5400" w:type="dxa"/>
                              </w:tcPr>
                              <w:p w14:paraId="53E0AC1E" w14:textId="77777777" w:rsidR="00443A40" w:rsidRDefault="00443A40"/>
                            </w:tc>
                          </w:tr>
                        </w:tbl>
                        <w:p w14:paraId="15CE9B75" w14:textId="77777777" w:rsidR="00F40BF4" w:rsidRDefault="00F40BF4"/>
                      </w:txbxContent>
                    </wps:txbx>
                    <wps:bodyPr vert="horz" wrap="square" lIns="0" tIns="0" rIns="0" bIns="0" anchor="t" anchorCtr="0"/>
                  </wps:wsp>
                </a:graphicData>
              </a:graphic>
            </wp:anchor>
          </w:drawing>
        </mc:Choice>
        <mc:Fallback>
          <w:pict>
            <v:shape w14:anchorId="59DE448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43A40" w14:paraId="0B1BD129" w14:textId="77777777">
                      <w:trPr>
                        <w:trHeight w:val="200"/>
                      </w:trPr>
                      <w:tc>
                        <w:tcPr>
                          <w:tcW w:w="1140" w:type="dxa"/>
                        </w:tcPr>
                        <w:p w14:paraId="3746C00E" w14:textId="77777777" w:rsidR="00443A40" w:rsidRDefault="00443A40"/>
                      </w:tc>
                      <w:tc>
                        <w:tcPr>
                          <w:tcW w:w="5400" w:type="dxa"/>
                        </w:tcPr>
                        <w:p w14:paraId="3042BB65" w14:textId="77777777" w:rsidR="00443A40" w:rsidRDefault="00443A40"/>
                      </w:tc>
                    </w:tr>
                    <w:tr w:rsidR="00443A40" w14:paraId="55E4CDE2" w14:textId="77777777">
                      <w:trPr>
                        <w:trHeight w:val="240"/>
                      </w:trPr>
                      <w:tc>
                        <w:tcPr>
                          <w:tcW w:w="1140" w:type="dxa"/>
                        </w:tcPr>
                        <w:p w14:paraId="4533BF9A" w14:textId="77777777" w:rsidR="00443A40" w:rsidRDefault="008C35A8">
                          <w:r>
                            <w:t>Datum</w:t>
                          </w:r>
                        </w:p>
                      </w:tc>
                      <w:tc>
                        <w:tcPr>
                          <w:tcW w:w="5400" w:type="dxa"/>
                        </w:tcPr>
                        <w:p w14:paraId="6D4A4924" w14:textId="69D784FA" w:rsidR="00443A40" w:rsidRDefault="004C6056">
                          <w:r>
                            <w:t>9 juli 2025</w:t>
                          </w:r>
                        </w:p>
                      </w:tc>
                    </w:tr>
                    <w:tr w:rsidR="00443A40" w14:paraId="720B5228" w14:textId="77777777">
                      <w:trPr>
                        <w:trHeight w:val="240"/>
                      </w:trPr>
                      <w:tc>
                        <w:tcPr>
                          <w:tcW w:w="1140" w:type="dxa"/>
                        </w:tcPr>
                        <w:p w14:paraId="45BB2ED8" w14:textId="77777777" w:rsidR="00443A40" w:rsidRDefault="008C35A8">
                          <w:r>
                            <w:t>Betreft</w:t>
                          </w:r>
                        </w:p>
                      </w:tc>
                      <w:tc>
                        <w:tcPr>
                          <w:tcW w:w="5400" w:type="dxa"/>
                        </w:tcPr>
                        <w:p w14:paraId="3900E2D8" w14:textId="77777777" w:rsidR="00443A40" w:rsidRDefault="008C35A8">
                          <w:r>
                            <w:t>Voortgangsbrief deelmobiliteit juni 2025</w:t>
                          </w:r>
                        </w:p>
                      </w:tc>
                    </w:tr>
                    <w:tr w:rsidR="00443A40" w14:paraId="6D37EEBC" w14:textId="77777777">
                      <w:trPr>
                        <w:trHeight w:val="200"/>
                      </w:trPr>
                      <w:tc>
                        <w:tcPr>
                          <w:tcW w:w="1140" w:type="dxa"/>
                        </w:tcPr>
                        <w:p w14:paraId="375BB2A1" w14:textId="77777777" w:rsidR="00443A40" w:rsidRDefault="00443A40"/>
                      </w:tc>
                      <w:tc>
                        <w:tcPr>
                          <w:tcW w:w="5400" w:type="dxa"/>
                        </w:tcPr>
                        <w:p w14:paraId="53E0AC1E" w14:textId="77777777" w:rsidR="00443A40" w:rsidRDefault="00443A40"/>
                      </w:tc>
                    </w:tr>
                  </w:tbl>
                  <w:p w14:paraId="15CE9B75" w14:textId="77777777" w:rsidR="00F40BF4" w:rsidRDefault="00F40B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DA0B62" wp14:editId="34F3809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B2A186" w14:textId="77777777" w:rsidR="00F40BF4" w:rsidRDefault="00F40BF4"/>
                      </w:txbxContent>
                    </wps:txbx>
                    <wps:bodyPr vert="horz" wrap="square" lIns="0" tIns="0" rIns="0" bIns="0" anchor="t" anchorCtr="0"/>
                  </wps:wsp>
                </a:graphicData>
              </a:graphic>
            </wp:anchor>
          </w:drawing>
        </mc:Choice>
        <mc:Fallback>
          <w:pict>
            <v:shape w14:anchorId="51DA0B6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2B2A186" w14:textId="77777777" w:rsidR="00F40BF4" w:rsidRDefault="00F40BF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34FFA"/>
    <w:multiLevelType w:val="multilevel"/>
    <w:tmpl w:val="5AFA02E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18ED72"/>
    <w:multiLevelType w:val="multilevel"/>
    <w:tmpl w:val="5FAD95B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4C7D77"/>
    <w:multiLevelType w:val="multilevel"/>
    <w:tmpl w:val="07B08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93D77F"/>
    <w:multiLevelType w:val="multilevel"/>
    <w:tmpl w:val="89FCE4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4D25AC"/>
    <w:multiLevelType w:val="multilevel"/>
    <w:tmpl w:val="D09F35A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7951FA"/>
    <w:multiLevelType w:val="multilevel"/>
    <w:tmpl w:val="36755CF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91286D"/>
    <w:multiLevelType w:val="multilevel"/>
    <w:tmpl w:val="30B334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54EFBE"/>
    <w:multiLevelType w:val="multilevel"/>
    <w:tmpl w:val="65AF1B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C7A9A9"/>
    <w:multiLevelType w:val="multilevel"/>
    <w:tmpl w:val="57FB0E7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B2C6A4"/>
    <w:multiLevelType w:val="multilevel"/>
    <w:tmpl w:val="B6D1697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0094126"/>
    <w:multiLevelType w:val="multilevel"/>
    <w:tmpl w:val="3ED7F89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17000B"/>
    <w:multiLevelType w:val="multilevel"/>
    <w:tmpl w:val="2018698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EA81458"/>
    <w:multiLevelType w:val="multilevel"/>
    <w:tmpl w:val="19C4E2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AF4D1F"/>
    <w:multiLevelType w:val="multilevel"/>
    <w:tmpl w:val="696CB19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C0FD6"/>
    <w:multiLevelType w:val="multilevel"/>
    <w:tmpl w:val="8FCB51B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A5FC5"/>
    <w:multiLevelType w:val="multilevel"/>
    <w:tmpl w:val="EDFF85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521883"/>
    <w:multiLevelType w:val="multilevel"/>
    <w:tmpl w:val="7B8C5F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79AFDC"/>
    <w:multiLevelType w:val="multilevel"/>
    <w:tmpl w:val="585BA08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B672FA"/>
    <w:multiLevelType w:val="multilevel"/>
    <w:tmpl w:val="4CDC31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CAE371"/>
    <w:multiLevelType w:val="multilevel"/>
    <w:tmpl w:val="DDDB28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C5A495"/>
    <w:multiLevelType w:val="multilevel"/>
    <w:tmpl w:val="6C04FB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3FD395"/>
    <w:multiLevelType w:val="multilevel"/>
    <w:tmpl w:val="601426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65189A5"/>
    <w:multiLevelType w:val="multilevel"/>
    <w:tmpl w:val="71084D2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3"/>
  </w:num>
  <w:num w:numId="4">
    <w:abstractNumId w:val="5"/>
  </w:num>
  <w:num w:numId="5">
    <w:abstractNumId w:val="9"/>
  </w:num>
  <w:num w:numId="6">
    <w:abstractNumId w:val="19"/>
  </w:num>
  <w:num w:numId="7">
    <w:abstractNumId w:val="4"/>
  </w:num>
  <w:num w:numId="8">
    <w:abstractNumId w:val="3"/>
  </w:num>
  <w:num w:numId="9">
    <w:abstractNumId w:val="17"/>
  </w:num>
  <w:num w:numId="10">
    <w:abstractNumId w:val="7"/>
  </w:num>
  <w:num w:numId="11">
    <w:abstractNumId w:val="6"/>
  </w:num>
  <w:num w:numId="12">
    <w:abstractNumId w:val="21"/>
  </w:num>
  <w:num w:numId="13">
    <w:abstractNumId w:val="10"/>
  </w:num>
  <w:num w:numId="14">
    <w:abstractNumId w:val="11"/>
  </w:num>
  <w:num w:numId="15">
    <w:abstractNumId w:val="8"/>
  </w:num>
  <w:num w:numId="16">
    <w:abstractNumId w:val="2"/>
  </w:num>
  <w:num w:numId="17">
    <w:abstractNumId w:val="18"/>
  </w:num>
  <w:num w:numId="18">
    <w:abstractNumId w:val="22"/>
  </w:num>
  <w:num w:numId="19">
    <w:abstractNumId w:val="15"/>
  </w:num>
  <w:num w:numId="20">
    <w:abstractNumId w:val="20"/>
  </w:num>
  <w:num w:numId="21">
    <w:abstractNumId w:val="12"/>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40"/>
    <w:rsid w:val="00004E6A"/>
    <w:rsid w:val="00016069"/>
    <w:rsid w:val="0001620E"/>
    <w:rsid w:val="00031733"/>
    <w:rsid w:val="00035BD4"/>
    <w:rsid w:val="0003705F"/>
    <w:rsid w:val="0006571E"/>
    <w:rsid w:val="00071C25"/>
    <w:rsid w:val="000D673F"/>
    <w:rsid w:val="00122EC6"/>
    <w:rsid w:val="001329B4"/>
    <w:rsid w:val="00175987"/>
    <w:rsid w:val="00186159"/>
    <w:rsid w:val="001C71FD"/>
    <w:rsid w:val="00213EE1"/>
    <w:rsid w:val="00220BA3"/>
    <w:rsid w:val="00230BB4"/>
    <w:rsid w:val="00231230"/>
    <w:rsid w:val="002329C8"/>
    <w:rsid w:val="00282D3D"/>
    <w:rsid w:val="002B6B54"/>
    <w:rsid w:val="002C17CE"/>
    <w:rsid w:val="002E62FE"/>
    <w:rsid w:val="00300EA5"/>
    <w:rsid w:val="003069E4"/>
    <w:rsid w:val="00315CE6"/>
    <w:rsid w:val="00361108"/>
    <w:rsid w:val="00366394"/>
    <w:rsid w:val="0037746B"/>
    <w:rsid w:val="003E0656"/>
    <w:rsid w:val="004114F1"/>
    <w:rsid w:val="00414993"/>
    <w:rsid w:val="00443A40"/>
    <w:rsid w:val="004447B3"/>
    <w:rsid w:val="004636BA"/>
    <w:rsid w:val="004A542B"/>
    <w:rsid w:val="004C6056"/>
    <w:rsid w:val="00566557"/>
    <w:rsid w:val="00567F93"/>
    <w:rsid w:val="00591B38"/>
    <w:rsid w:val="005B1A44"/>
    <w:rsid w:val="005E3AA6"/>
    <w:rsid w:val="005F5013"/>
    <w:rsid w:val="00651414"/>
    <w:rsid w:val="00651ECE"/>
    <w:rsid w:val="00651F94"/>
    <w:rsid w:val="006974D8"/>
    <w:rsid w:val="006A2261"/>
    <w:rsid w:val="006A5D08"/>
    <w:rsid w:val="006A5EA3"/>
    <w:rsid w:val="006D0E25"/>
    <w:rsid w:val="00703317"/>
    <w:rsid w:val="0076212B"/>
    <w:rsid w:val="00787CEC"/>
    <w:rsid w:val="007F0376"/>
    <w:rsid w:val="0083689C"/>
    <w:rsid w:val="00837AD5"/>
    <w:rsid w:val="00857964"/>
    <w:rsid w:val="008A6FE0"/>
    <w:rsid w:val="008B49EC"/>
    <w:rsid w:val="008C35A8"/>
    <w:rsid w:val="008C6ADA"/>
    <w:rsid w:val="008F2233"/>
    <w:rsid w:val="0097050B"/>
    <w:rsid w:val="00985647"/>
    <w:rsid w:val="009B38CA"/>
    <w:rsid w:val="009C097A"/>
    <w:rsid w:val="00A07D26"/>
    <w:rsid w:val="00A1551D"/>
    <w:rsid w:val="00A21321"/>
    <w:rsid w:val="00A4051E"/>
    <w:rsid w:val="00A4647A"/>
    <w:rsid w:val="00A47DCB"/>
    <w:rsid w:val="00AA19F8"/>
    <w:rsid w:val="00AC64E8"/>
    <w:rsid w:val="00AF73D3"/>
    <w:rsid w:val="00B016A7"/>
    <w:rsid w:val="00B115F9"/>
    <w:rsid w:val="00B460B3"/>
    <w:rsid w:val="00B56459"/>
    <w:rsid w:val="00B61F60"/>
    <w:rsid w:val="00BA5370"/>
    <w:rsid w:val="00C279AC"/>
    <w:rsid w:val="00CD0396"/>
    <w:rsid w:val="00D03E7F"/>
    <w:rsid w:val="00D322F6"/>
    <w:rsid w:val="00D645FF"/>
    <w:rsid w:val="00D71201"/>
    <w:rsid w:val="00D82CB0"/>
    <w:rsid w:val="00D83902"/>
    <w:rsid w:val="00D91A20"/>
    <w:rsid w:val="00E00FC1"/>
    <w:rsid w:val="00E165DC"/>
    <w:rsid w:val="00E548F6"/>
    <w:rsid w:val="00EC5A05"/>
    <w:rsid w:val="00EC6BB2"/>
    <w:rsid w:val="00ED7395"/>
    <w:rsid w:val="00F06046"/>
    <w:rsid w:val="00F40BF4"/>
    <w:rsid w:val="00F52147"/>
    <w:rsid w:val="00F90705"/>
    <w:rsid w:val="00FB533B"/>
    <w:rsid w:val="00FC5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21321"/>
    <w:pPr>
      <w:tabs>
        <w:tab w:val="center" w:pos="4536"/>
        <w:tab w:val="right" w:pos="9072"/>
      </w:tabs>
      <w:spacing w:line="240" w:lineRule="auto"/>
    </w:pPr>
  </w:style>
  <w:style w:type="character" w:customStyle="1" w:styleId="HeaderChar">
    <w:name w:val="Header Char"/>
    <w:basedOn w:val="DefaultParagraphFont"/>
    <w:link w:val="Header"/>
    <w:uiPriority w:val="99"/>
    <w:rsid w:val="00A21321"/>
    <w:rPr>
      <w:rFonts w:ascii="Verdana" w:hAnsi="Verdana"/>
      <w:color w:val="000000"/>
      <w:sz w:val="18"/>
      <w:szCs w:val="18"/>
    </w:rPr>
  </w:style>
  <w:style w:type="paragraph" w:styleId="Footer">
    <w:name w:val="footer"/>
    <w:basedOn w:val="Normal"/>
    <w:link w:val="FooterChar"/>
    <w:uiPriority w:val="99"/>
    <w:unhideWhenUsed/>
    <w:rsid w:val="00A21321"/>
    <w:pPr>
      <w:tabs>
        <w:tab w:val="center" w:pos="4536"/>
        <w:tab w:val="right" w:pos="9072"/>
      </w:tabs>
      <w:spacing w:line="240" w:lineRule="auto"/>
    </w:pPr>
  </w:style>
  <w:style w:type="character" w:customStyle="1" w:styleId="FooterChar">
    <w:name w:val="Footer Char"/>
    <w:basedOn w:val="DefaultParagraphFont"/>
    <w:link w:val="Footer"/>
    <w:uiPriority w:val="99"/>
    <w:rsid w:val="00A21321"/>
    <w:rPr>
      <w:rFonts w:ascii="Verdana" w:hAnsi="Verdana"/>
      <w:color w:val="000000"/>
      <w:sz w:val="18"/>
      <w:szCs w:val="18"/>
    </w:rPr>
  </w:style>
  <w:style w:type="paragraph" w:styleId="FootnoteText">
    <w:name w:val="footnote text"/>
    <w:basedOn w:val="Normal"/>
    <w:link w:val="FootnoteTextChar"/>
    <w:uiPriority w:val="99"/>
    <w:semiHidden/>
    <w:unhideWhenUsed/>
    <w:rsid w:val="00A21321"/>
    <w:pPr>
      <w:spacing w:line="240" w:lineRule="auto"/>
    </w:pPr>
    <w:rPr>
      <w:sz w:val="20"/>
      <w:szCs w:val="20"/>
    </w:rPr>
  </w:style>
  <w:style w:type="character" w:customStyle="1" w:styleId="FootnoteTextChar">
    <w:name w:val="Footnote Text Char"/>
    <w:basedOn w:val="DefaultParagraphFont"/>
    <w:link w:val="FootnoteText"/>
    <w:uiPriority w:val="99"/>
    <w:semiHidden/>
    <w:rsid w:val="00A21321"/>
    <w:rPr>
      <w:rFonts w:ascii="Verdana" w:hAnsi="Verdana"/>
      <w:color w:val="000000"/>
    </w:rPr>
  </w:style>
  <w:style w:type="character" w:styleId="FootnoteReference">
    <w:name w:val="footnote reference"/>
    <w:basedOn w:val="DefaultParagraphFont"/>
    <w:uiPriority w:val="99"/>
    <w:semiHidden/>
    <w:unhideWhenUsed/>
    <w:rsid w:val="00A21321"/>
    <w:rPr>
      <w:vertAlign w:val="superscript"/>
    </w:rPr>
  </w:style>
  <w:style w:type="character" w:customStyle="1" w:styleId="UnresolvedMention">
    <w:name w:val="Unresolved Mention"/>
    <w:basedOn w:val="DefaultParagraphFont"/>
    <w:uiPriority w:val="99"/>
    <w:semiHidden/>
    <w:unhideWhenUsed/>
    <w:rsid w:val="00A21321"/>
    <w:rPr>
      <w:color w:val="605E5C"/>
      <w:shd w:val="clear" w:color="auto" w:fill="E1DFDD"/>
    </w:rPr>
  </w:style>
  <w:style w:type="paragraph" w:styleId="Revision">
    <w:name w:val="Revision"/>
    <w:hidden/>
    <w:uiPriority w:val="99"/>
    <w:semiHidden/>
    <w:rsid w:val="001C71F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47570">
      <w:bodyDiv w:val="1"/>
      <w:marLeft w:val="0"/>
      <w:marRight w:val="0"/>
      <w:marTop w:val="0"/>
      <w:marBottom w:val="0"/>
      <w:divBdr>
        <w:top w:val="none" w:sz="0" w:space="0" w:color="auto"/>
        <w:left w:val="none" w:sz="0" w:space="0" w:color="auto"/>
        <w:bottom w:val="none" w:sz="0" w:space="0" w:color="auto"/>
        <w:right w:val="none" w:sz="0" w:space="0" w:color="auto"/>
      </w:divBdr>
    </w:div>
    <w:div w:id="1851410868">
      <w:bodyDiv w:val="1"/>
      <w:marLeft w:val="0"/>
      <w:marRight w:val="0"/>
      <w:marTop w:val="0"/>
      <w:marBottom w:val="0"/>
      <w:divBdr>
        <w:top w:val="none" w:sz="0" w:space="0" w:color="auto"/>
        <w:left w:val="none" w:sz="0" w:space="0" w:color="auto"/>
        <w:bottom w:val="none" w:sz="0" w:space="0" w:color="auto"/>
        <w:right w:val="none" w:sz="0" w:space="0" w:color="auto"/>
      </w:divBdr>
    </w:div>
    <w:div w:id="1931045345">
      <w:bodyDiv w:val="1"/>
      <w:marLeft w:val="0"/>
      <w:marRight w:val="0"/>
      <w:marTop w:val="0"/>
      <w:marBottom w:val="0"/>
      <w:divBdr>
        <w:top w:val="none" w:sz="0" w:space="0" w:color="auto"/>
        <w:left w:val="none" w:sz="0" w:space="0" w:color="auto"/>
        <w:bottom w:val="none" w:sz="0" w:space="0" w:color="auto"/>
        <w:right w:val="none" w:sz="0" w:space="0" w:color="auto"/>
      </w:divBdr>
    </w:div>
    <w:div w:id="199336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imnet.nl/documenten/2025/04/29/deelscooters-impact-op-de-leefomgeving" TargetMode="External"/><Relationship Id="rId2" Type="http://schemas.openxmlformats.org/officeDocument/2006/relationships/hyperlink" Target="https://www.rijksoverheid.nl/documenten/rapporten/2025/02/17/campagne-effectonderzoek-autodelen-2024-2025" TargetMode="External"/><Relationship Id="rId1" Type="http://schemas.openxmlformats.org/officeDocument/2006/relationships/hyperlink" Target="https://www.kimnet.nl/documenten/2024/04/22/effecten-van-maatregelen-op-doorstroming-en-verduurzaming-reisgedrag" TargetMode="External"/><Relationship Id="rId4" Type="http://schemas.openxmlformats.org/officeDocument/2006/relationships/hyperlink" Target="https://www.kimnet.nl/documenten/2021/07/09/op-weg-met-lev-de-rol-van-lichte-elektrische-voertuigen-in-het-mobiliteitssystee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1176</ap:Words>
  <ap:Characters>6704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Voortgangsbrief deelmobiliteit juni 2025</vt:lpstr>
    </vt:vector>
  </ap:TitlesOfParts>
  <ap:LinksUpToDate>false</ap:LinksUpToDate>
  <ap:CharactersWithSpaces>7865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2025-07-09T05:24:00.0000000Z</dcterms:created>
  <dcterms:modified xsi:type="dcterms:W3CDTF">2025-07-09T05:24:00.0000000Z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deelmobiliteit juni 2025</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 Janssen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