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1826" w:rsidR="00A80029" w:rsidRDefault="000626AB" w14:paraId="4D9BAA51" w14:textId="77777777">
      <w:pPr>
        <w:pStyle w:val="StandaardAanhef"/>
      </w:pPr>
      <w:r w:rsidRPr="00AC1826">
        <w:t>Geachte voorzitter,</w:t>
      </w:r>
    </w:p>
    <w:p w:rsidRPr="00AC1826" w:rsidR="00930D1D" w:rsidRDefault="00930D1D" w14:paraId="67E1B60C" w14:textId="77777777">
      <w:r w:rsidRPr="00AC1826">
        <w:t>Tijdens de plenaire behandeling van het Belastingplan 2025 van 12 november 2024 heeft de Minister van Financiën aan het lid Vermeer (BBB) toegezegd onderzoek te laten doen naar de zogenoemde “familievrijstelling” in de overdrachtsbelasting. Daarnaast is tijdens de behandeling van het Belastingplan 2025 door de leden Vermeer (BBB) en Van Dijk (CDA) een motie ingediend</w:t>
      </w:r>
      <w:r w:rsidRPr="00AC1826" w:rsidR="004A7F79">
        <w:t xml:space="preserve">. Deze motie verzocht </w:t>
      </w:r>
      <w:r w:rsidRPr="00AC1826">
        <w:t xml:space="preserve">het kabinet in gesprek </w:t>
      </w:r>
      <w:r w:rsidRPr="00AC1826" w:rsidR="004A7F79">
        <w:t xml:space="preserve">te gaan </w:t>
      </w:r>
      <w:r w:rsidRPr="00AC1826">
        <w:t>met de sector</w:t>
      </w:r>
      <w:r w:rsidRPr="00AC1826" w:rsidR="004A7F79">
        <w:t>. Daarnaast is verzocht</w:t>
      </w:r>
      <w:r w:rsidRPr="00AC1826">
        <w:t xml:space="preserve"> in kaart te brengen waar de voorgestelde beperking van de kavelruilvrijstelling de transitie van het landelijk gebied en het vormgeven van een toekomstbestendige agrarische sector doorkruist.</w:t>
      </w:r>
    </w:p>
    <w:p w:rsidR="00F06B17" w:rsidRDefault="00F06B17" w14:paraId="5911D548" w14:textId="77777777">
      <w:r w:rsidRPr="00AC1826">
        <w:t>Met deze brief wil ik uw Kamer informeren over de</w:t>
      </w:r>
      <w:r>
        <w:t xml:space="preserve"> voortgang en</w:t>
      </w:r>
      <w:r w:rsidRPr="00AC1826">
        <w:t xml:space="preserve"> uitkomsten van de onderzoeken omtrent deze motie en toezegging op het gebied van de overdrachtsbelasting. Met betrekking tot de kavelruilvrijstelling informeer ik u mede namens de Minister en Staatssecretaris van Landbouw, Visserij, Voedselzekerheid en Natuur.</w:t>
      </w:r>
    </w:p>
    <w:p w:rsidR="00327B63" w:rsidRDefault="00327B63" w14:paraId="1C300CB7" w14:textId="77777777"/>
    <w:p w:rsidRPr="00AC1826" w:rsidR="00930D1D" w:rsidRDefault="00F06B17" w14:paraId="7A648EFC" w14:textId="77777777">
      <w:r>
        <w:t xml:space="preserve">Ook </w:t>
      </w:r>
      <w:r w:rsidRPr="00AC1826" w:rsidR="00930D1D">
        <w:t xml:space="preserve">is tijdens het tweeminutendebat </w:t>
      </w:r>
      <w:r w:rsidRPr="00AC1826" w:rsidR="00752D87">
        <w:t>Pacht van 20 februari 2025</w:t>
      </w:r>
      <w:r w:rsidRPr="00AC1826" w:rsidR="00752D87">
        <w:rPr>
          <w:b/>
          <w:bCs/>
        </w:rPr>
        <w:t xml:space="preserve"> </w:t>
      </w:r>
      <w:r w:rsidRPr="00AC1826" w:rsidR="00930D1D">
        <w:t xml:space="preserve">door de leden Holman (NSC) en </w:t>
      </w:r>
      <w:proofErr w:type="spellStart"/>
      <w:r w:rsidRPr="00AC1826" w:rsidR="00930D1D">
        <w:t>Grinwis</w:t>
      </w:r>
      <w:proofErr w:type="spellEnd"/>
      <w:r w:rsidRPr="00AC1826" w:rsidR="00930D1D">
        <w:t xml:space="preserve"> (CU) </w:t>
      </w:r>
      <w:r w:rsidRPr="00AC1826" w:rsidR="00752D87">
        <w:t>een motie ingediend die</w:t>
      </w:r>
      <w:r w:rsidRPr="00AC1826" w:rsidR="00F42770">
        <w:t xml:space="preserve"> de regering </w:t>
      </w:r>
      <w:r w:rsidRPr="00AC1826" w:rsidR="00930D1D">
        <w:t xml:space="preserve">verzoekt te onderzoeken of er ten spoedigste een eind gemaakt kan worden aan de </w:t>
      </w:r>
      <w:proofErr w:type="gramStart"/>
      <w:r w:rsidRPr="00AC1826" w:rsidR="00930D1D">
        <w:t>vrijstelling</w:t>
      </w:r>
      <w:proofErr w:type="gramEnd"/>
      <w:r w:rsidRPr="00AC1826" w:rsidR="00930D1D">
        <w:t xml:space="preserve"> van de overdrachtsbelasting voor niet-agrariërs die grond kopen.</w:t>
      </w:r>
      <w:r w:rsidRPr="00AC1826" w:rsidR="00930D1D">
        <w:rPr>
          <w:vertAlign w:val="superscript"/>
        </w:rPr>
        <w:footnoteReference w:id="1"/>
      </w:r>
      <w:r w:rsidRPr="00AC1826" w:rsidR="00930D1D">
        <w:t xml:space="preserve"> </w:t>
      </w:r>
    </w:p>
    <w:p w:rsidRPr="00AC1826" w:rsidR="00930D1D" w:rsidRDefault="00FD0FE4" w14:paraId="7ECE56D3" w14:textId="77777777">
      <w:r>
        <w:t>Ten</w:t>
      </w:r>
      <w:r w:rsidR="005A6284">
        <w:t xml:space="preserve"> </w:t>
      </w:r>
      <w:r>
        <w:t>slotte informeer ik u m</w:t>
      </w:r>
      <w:r w:rsidRPr="00AC1826" w:rsidR="00E83EC5">
        <w:t>et betrekking tot de cultuurgrondvrijstelling</w:t>
      </w:r>
      <w:r>
        <w:t xml:space="preserve"> over de stand van zaken </w:t>
      </w:r>
      <w:r w:rsidRPr="00AC1826" w:rsidR="00E83EC5">
        <w:t xml:space="preserve">mede namens de staatssecretaris van </w:t>
      </w:r>
      <w:r w:rsidRPr="00AC1826" w:rsidR="0031696F">
        <w:t>Landbouw, Visserij, Voedselzekerheid en Natuur</w:t>
      </w:r>
      <w:r w:rsidR="005A6284">
        <w:t>.</w:t>
      </w:r>
      <w:r w:rsidR="00F06B17">
        <w:t xml:space="preserve"> </w:t>
      </w:r>
    </w:p>
    <w:p w:rsidRPr="00AC1826" w:rsidR="00752D87" w:rsidRDefault="00752D87" w14:paraId="4CE5D177" w14:textId="77777777"/>
    <w:p w:rsidRPr="00AC1826" w:rsidR="00752D87" w:rsidRDefault="00752D87" w14:paraId="27A1A2F7" w14:textId="77777777">
      <w:pPr>
        <w:rPr>
          <w:b/>
          <w:bCs/>
        </w:rPr>
      </w:pPr>
      <w:r w:rsidRPr="00AC1826">
        <w:rPr>
          <w:b/>
          <w:bCs/>
        </w:rPr>
        <w:t>Motie kavelruilvrijstelling</w:t>
      </w:r>
    </w:p>
    <w:p w:rsidRPr="00AC1826" w:rsidR="00752D87" w:rsidP="00752D87" w:rsidRDefault="00F42770" w14:paraId="7EF5A44F" w14:textId="77777777">
      <w:bookmarkStart w:name="_Hlk201069971" w:id="0"/>
      <w:r w:rsidRPr="00AC1826">
        <w:t xml:space="preserve">De motie </w:t>
      </w:r>
      <w:r w:rsidR="008A3EF6">
        <w:t xml:space="preserve">over de kavelruilvrijstelling </w:t>
      </w:r>
      <w:r w:rsidRPr="00AC1826">
        <w:t xml:space="preserve">heeft tijdens de </w:t>
      </w:r>
      <w:r w:rsidRPr="00AC1826" w:rsidR="002C3342">
        <w:t xml:space="preserve">plenaire </w:t>
      </w:r>
      <w:r w:rsidRPr="00AC1826">
        <w:t>behandeling van het Belastingplan</w:t>
      </w:r>
      <w:r w:rsidRPr="00AC1826" w:rsidR="00271006">
        <w:t> </w:t>
      </w:r>
      <w:r w:rsidRPr="00AC1826">
        <w:t>2025 ‘oordeel Kamer’ gekregen</w:t>
      </w:r>
      <w:r w:rsidRPr="00AC1826" w:rsidR="002C3342">
        <w:t xml:space="preserve">. </w:t>
      </w:r>
      <w:r w:rsidRPr="00AC1826" w:rsidR="00752D87">
        <w:t>Bij d</w:t>
      </w:r>
      <w:r w:rsidR="008A3EF6">
        <w:t>i</w:t>
      </w:r>
      <w:r w:rsidRPr="00AC1826" w:rsidR="00752D87">
        <w:t xml:space="preserve">e appreciatie is </w:t>
      </w:r>
      <w:r w:rsidRPr="00AC1826">
        <w:t xml:space="preserve">verduidelijkt </w:t>
      </w:r>
      <w:r w:rsidRPr="00AC1826" w:rsidR="00752D87">
        <w:t>dat de motie zo wordt geïnterpreteerd dat aan de hand van de gesprekken moet worden bezien of dit ook tot concrete maatregelen zal leiden.</w:t>
      </w:r>
      <w:r w:rsidRPr="00AC1826" w:rsidR="00752D87">
        <w:rPr>
          <w:vertAlign w:val="superscript"/>
        </w:rPr>
        <w:footnoteReference w:id="2"/>
      </w:r>
      <w:r w:rsidRPr="00AC1826" w:rsidR="00752D87">
        <w:t xml:space="preserve"> Tevens is in de brief van de minister aangegeven dat dit punt zal worden meegenomen in de evaluatie van de kavelruilvrijstelling</w:t>
      </w:r>
      <w:r w:rsidRPr="00AC1826" w:rsidR="006730AD">
        <w:t xml:space="preserve"> die meeloopt in het kader van een bredere evaluatie naar verschillende vrijstellingen</w:t>
      </w:r>
      <w:r w:rsidRPr="00AC1826" w:rsidR="00752D87">
        <w:t xml:space="preserve"> in de </w:t>
      </w:r>
      <w:r w:rsidRPr="00AC1826" w:rsidR="00752D87">
        <w:lastRenderedPageBreak/>
        <w:t>overdrachtsbelasting</w:t>
      </w:r>
      <w:r w:rsidRPr="00AC1826" w:rsidR="006730AD">
        <w:t xml:space="preserve">, </w:t>
      </w:r>
      <w:r w:rsidRPr="00AC1826" w:rsidR="00752D87">
        <w:t>die dit jaar wordt uitgevoerd.</w:t>
      </w:r>
      <w:r w:rsidRPr="00AC1826" w:rsidR="006730AD">
        <w:rPr>
          <w:vertAlign w:val="superscript"/>
        </w:rPr>
        <w:footnoteReference w:id="3"/>
      </w:r>
      <w:r w:rsidRPr="00AC1826" w:rsidR="00752D87">
        <w:t xml:space="preserve"> De uitkomst van de evaluatie zal naar verwachting aan het einde van het jaar met uw Kamer worden gedeeld.</w:t>
      </w:r>
    </w:p>
    <w:p w:rsidRPr="00AC1826" w:rsidR="00752D87" w:rsidP="00752D87" w:rsidRDefault="00752D87" w14:paraId="30AD6EF3" w14:textId="77777777"/>
    <w:p w:rsidRPr="00AC1826" w:rsidR="00B33633" w:rsidP="00752D87" w:rsidRDefault="00752D87" w14:paraId="08862AAF" w14:textId="77777777">
      <w:r w:rsidRPr="00AC1826">
        <w:t>Er heeft inmiddels een gesprek plaatsgevonden binnen het gremium ‘Platform Landbouw’</w:t>
      </w:r>
      <w:r w:rsidRPr="00AC1826" w:rsidR="00DA14C2">
        <w:t>.</w:t>
      </w:r>
      <w:r w:rsidRPr="00AC1826" w:rsidR="004A7F79">
        <w:rPr>
          <w:vertAlign w:val="superscript"/>
        </w:rPr>
        <w:footnoteReference w:id="4"/>
      </w:r>
      <w:r w:rsidRPr="00AC1826" w:rsidR="00DA14C2">
        <w:t xml:space="preserve"> De Belastingdienst voert periodiek overleg met de vertegenwoordigers van de (agrarische) sector in dat Platform. </w:t>
      </w:r>
      <w:r w:rsidRPr="00AC1826">
        <w:t xml:space="preserve">De aldaar aangedragen punten </w:t>
      </w:r>
      <w:r w:rsidRPr="00AC1826" w:rsidR="00567B0D">
        <w:t xml:space="preserve">zien op de </w:t>
      </w:r>
      <w:r w:rsidRPr="00AC1826" w:rsidR="00F51F1A">
        <w:t>landbouweis</w:t>
      </w:r>
      <w:r w:rsidRPr="00AC1826" w:rsidR="00F51F1A">
        <w:rPr>
          <w:rStyle w:val="Voetnootmarkering"/>
        </w:rPr>
        <w:footnoteReference w:id="5"/>
      </w:r>
      <w:r w:rsidRPr="00AC1826" w:rsidR="00F51F1A">
        <w:t xml:space="preserve"> en de </w:t>
      </w:r>
      <w:r w:rsidRPr="00AC1826" w:rsidR="00567B0D">
        <w:t>voortzettingseis</w:t>
      </w:r>
      <w:r w:rsidRPr="00AC1826" w:rsidR="00DA14C2">
        <w:rPr>
          <w:rStyle w:val="Voetnootmarkering"/>
        </w:rPr>
        <w:footnoteReference w:id="6"/>
      </w:r>
      <w:r w:rsidRPr="00AC1826" w:rsidR="00D47377">
        <w:t>.</w:t>
      </w:r>
      <w:r w:rsidRPr="00AC1826" w:rsidR="00567B0D">
        <w:t xml:space="preserve"> </w:t>
      </w:r>
      <w:r w:rsidRPr="00AC1826" w:rsidR="00D47377">
        <w:t xml:space="preserve">Deze </w:t>
      </w:r>
      <w:r w:rsidRPr="00AC1826">
        <w:t xml:space="preserve">zijn </w:t>
      </w:r>
      <w:r w:rsidRPr="00AC1826" w:rsidR="00D47377">
        <w:t xml:space="preserve">op zich </w:t>
      </w:r>
      <w:r w:rsidRPr="00AC1826">
        <w:t>begrijpelijk, maar ook niet nieuw ten opzichte van hetgeen reeds is aangegeven bij de internetconsultatie die in april 2024 heeft plaatsgevonden</w:t>
      </w:r>
      <w:r w:rsidRPr="00AC1826" w:rsidR="00D47377">
        <w:t xml:space="preserve"> ten aanzien van bijvoorbeeld mantelzorgwoningen en boerencampings</w:t>
      </w:r>
      <w:r w:rsidRPr="00AC1826">
        <w:t xml:space="preserve">. Inherent aan de systematiek van een voorwaardelijke vrijstelling en het stellen van een voortzettingseis is dat er gevallen ontstaan waarin alsnog overdrachtsbelasting verschuldigd </w:t>
      </w:r>
      <w:r w:rsidRPr="00AC1826" w:rsidR="004A7F79">
        <w:t xml:space="preserve">is </w:t>
      </w:r>
      <w:r w:rsidRPr="00AC1826">
        <w:t>als daar niet aan wordt voldaan. In de memorie van toelichting is in de paragraaf internetconsultatie aangegeven hoe het kabinet deze punten heeft gewogen</w:t>
      </w:r>
      <w:r w:rsidRPr="00AC1826" w:rsidR="00567B0D">
        <w:t>, voor het gebruik van onroerende zaken voor andere activiteiten buiten de landbouw</w:t>
      </w:r>
      <w:r w:rsidRPr="00AC1826">
        <w:t>.</w:t>
      </w:r>
      <w:r w:rsidRPr="00AC1826">
        <w:rPr>
          <w:vertAlign w:val="superscript"/>
        </w:rPr>
        <w:footnoteReference w:id="7"/>
      </w:r>
      <w:r w:rsidRPr="00AC1826">
        <w:t xml:space="preserve"> Overdrachtsbelasting is niet alsnog verschuldigd als niet aan de voortzettingseis wordt voldaan als gevolg van overheidsingrijpen. Ook bij de (verdere) vormgeving, indiening en parlementaire behandeling van de kavelruilvrijstelling in het Belastingplan 2025 is hier rekening mee gehouden. Ik verwijs daarbij ook naar de schriftelijke beantwoording van het tweede wetgevingsoverleg.</w:t>
      </w:r>
      <w:r w:rsidRPr="00AC1826">
        <w:rPr>
          <w:vertAlign w:val="superscript"/>
        </w:rPr>
        <w:footnoteReference w:id="8"/>
      </w:r>
      <w:r w:rsidRPr="00AC1826">
        <w:t xml:space="preserve"> Alles overziend is de voortzettingseis noodzakelijk en proportioneel. Daarbij is de balans </w:t>
      </w:r>
      <w:r w:rsidRPr="00AC1826" w:rsidR="00C8213D">
        <w:t xml:space="preserve">getroffen </w:t>
      </w:r>
      <w:r w:rsidRPr="00AC1826">
        <w:t xml:space="preserve">tussen de doelstelling van de aanpassing en de gevolgen voor het landelijk gebied en de agrarische </w:t>
      </w:r>
    </w:p>
    <w:p w:rsidRPr="00AC1826" w:rsidR="00752D87" w:rsidP="00752D87" w:rsidRDefault="00752D87" w14:paraId="1E203D37" w14:textId="77777777">
      <w:proofErr w:type="gramStart"/>
      <w:r w:rsidRPr="00AC1826">
        <w:t>sector</w:t>
      </w:r>
      <w:proofErr w:type="gramEnd"/>
      <w:r w:rsidRPr="00AC1826">
        <w:t>. Enerzijds de noodzaak voor uitvoerbare en handhaafbare voorwaarden waarmee de Belastingdienst in staat wordt gesteld om onwenselijke kavelruilconstructies aan te pakken. Anderzijds de transitieopgave waar deze sector en het landelijk gebied voor staat niet onnodig dwars zitten.</w:t>
      </w:r>
    </w:p>
    <w:p w:rsidRPr="00AC1826" w:rsidR="00752D87" w:rsidP="00752D87" w:rsidRDefault="00752D87" w14:paraId="55D91EF3" w14:textId="77777777"/>
    <w:p w:rsidRPr="00AC1826" w:rsidR="00752D87" w:rsidP="00752D87" w:rsidRDefault="00752D87" w14:paraId="0585446C" w14:textId="77777777">
      <w:r w:rsidRPr="00AC1826">
        <w:t xml:space="preserve">Gelet op het voorgaande ziet het kabinet vooralsnog geen redenen om de huidige, nieuwe voorwaarden van de kavelruilvrijstelling aan te passen en maatregelen voor te stellen. Mocht in de toekomst, al dan niet uit de evaluatie, blijken dat er tóch onbekende en ongewenste effecten zijn voor het landelijke gebied en de agrarische sector, dan kan opnieuw een afweging worden gemaakt. Daarbij wordt opgemerkt dat de nieuwe voorwaarden pas enkele maanden van kracht zijn. Tijdens het hierboven genoemde gesprek is afgesproken dat eventuele nieuwe inzichten zowel via de reguliere communicatiekanalen van de Belastingdienst als via dat gremium kunnen worden gedeeld met het ministerie van Financiën. Daarmee wordt een vinger aan de pols gehouden.      </w:t>
      </w:r>
    </w:p>
    <w:bookmarkEnd w:id="0"/>
    <w:p w:rsidR="00752D87" w:rsidRDefault="00752D87" w14:paraId="649E852D" w14:textId="77777777">
      <w:pPr>
        <w:rPr>
          <w:b/>
          <w:bCs/>
        </w:rPr>
      </w:pPr>
    </w:p>
    <w:p w:rsidR="00327B63" w:rsidRDefault="00327B63" w14:paraId="3067F40D" w14:textId="77777777">
      <w:pPr>
        <w:rPr>
          <w:b/>
          <w:bCs/>
        </w:rPr>
      </w:pPr>
    </w:p>
    <w:p w:rsidR="00327B63" w:rsidRDefault="00327B63" w14:paraId="1F0A755C" w14:textId="77777777">
      <w:pPr>
        <w:rPr>
          <w:b/>
          <w:bCs/>
        </w:rPr>
      </w:pPr>
    </w:p>
    <w:p w:rsidRPr="00AC1826" w:rsidR="00327B63" w:rsidRDefault="00327B63" w14:paraId="6F450DB4" w14:textId="77777777">
      <w:pPr>
        <w:rPr>
          <w:b/>
          <w:bCs/>
        </w:rPr>
      </w:pPr>
    </w:p>
    <w:p w:rsidRPr="00AC1826" w:rsidR="00B879CB" w:rsidRDefault="00B879CB" w14:paraId="472BB6F0" w14:textId="77777777">
      <w:pPr>
        <w:rPr>
          <w:b/>
          <w:bCs/>
        </w:rPr>
      </w:pPr>
      <w:r w:rsidRPr="00AC1826">
        <w:rPr>
          <w:b/>
          <w:bCs/>
        </w:rPr>
        <w:lastRenderedPageBreak/>
        <w:t>Toezegging onderzoek naar familievrijstelling in de overdrachtsbelasting</w:t>
      </w:r>
    </w:p>
    <w:p w:rsidRPr="00AC1826" w:rsidR="00A80029" w:rsidRDefault="004437DA" w14:paraId="7315FB76" w14:textId="77777777">
      <w:r w:rsidRPr="00AC1826">
        <w:t>Tijdens de plenaire behandeling van het Belastingplan 2025 van 12</w:t>
      </w:r>
      <w:r w:rsidRPr="00AC1826" w:rsidR="00EA2717">
        <w:t> </w:t>
      </w:r>
      <w:r w:rsidRPr="00AC1826">
        <w:t>november</w:t>
      </w:r>
      <w:r w:rsidRPr="00AC1826" w:rsidR="00EA2717">
        <w:t> </w:t>
      </w:r>
      <w:r w:rsidRPr="00AC1826">
        <w:t xml:space="preserve">2024 heeft de Minister van Financiën aan </w:t>
      </w:r>
      <w:r w:rsidRPr="00AC1826" w:rsidR="003B6539">
        <w:t>het lid</w:t>
      </w:r>
      <w:r w:rsidRPr="00AC1826">
        <w:t xml:space="preserve"> Vermeer </w:t>
      </w:r>
      <w:r w:rsidRPr="00AC1826" w:rsidR="003B6539">
        <w:t xml:space="preserve">(BBB) </w:t>
      </w:r>
      <w:r w:rsidRPr="00AC1826">
        <w:t>toegezegd onderzoek te laten doen naar</w:t>
      </w:r>
      <w:r w:rsidRPr="00AC1826" w:rsidR="002C3342">
        <w:t xml:space="preserve"> een uitbreiding van</w:t>
      </w:r>
      <w:r w:rsidRPr="00AC1826">
        <w:t xml:space="preserve"> de zogenoemde</w:t>
      </w:r>
      <w:r w:rsidRPr="00AC1826" w:rsidR="002C3342">
        <w:t xml:space="preserve"> vrijstelling ten behoeve van bedrijfsoverdracht in de familiesfeer (hierna:</w:t>
      </w:r>
      <w:r w:rsidRPr="00AC1826" w:rsidR="00C663AB">
        <w:t xml:space="preserve"> </w:t>
      </w:r>
      <w:r w:rsidRPr="00AC1826">
        <w:t>familievrijstellin</w:t>
      </w:r>
      <w:r w:rsidRPr="00AC1826" w:rsidR="002C3342">
        <w:t>g)</w:t>
      </w:r>
      <w:r w:rsidRPr="00AC1826">
        <w:t xml:space="preserve"> in de overdrachtsbelasting. </w:t>
      </w:r>
      <w:r w:rsidR="00016759">
        <w:t>Hierna</w:t>
      </w:r>
      <w:r w:rsidRPr="00AC1826">
        <w:t xml:space="preserve"> wil</w:t>
      </w:r>
      <w:r w:rsidRPr="00AC1826" w:rsidR="003B6539">
        <w:t xml:space="preserve"> ik </w:t>
      </w:r>
      <w:r w:rsidRPr="00AC1826" w:rsidR="007614DD">
        <w:t xml:space="preserve">uw Kamer informeren over </w:t>
      </w:r>
      <w:r w:rsidRPr="00AC1826">
        <w:t>de uitkomsten van dit onderzoek</w:t>
      </w:r>
      <w:r w:rsidRPr="00AC1826" w:rsidR="002C3342">
        <w:t>.</w:t>
      </w:r>
    </w:p>
    <w:p w:rsidRPr="00AC1826" w:rsidR="004437DA" w:rsidRDefault="004437DA" w14:paraId="2D5CDBC0" w14:textId="77777777"/>
    <w:p w:rsidRPr="00AC1826" w:rsidR="004437DA" w:rsidRDefault="00E96239" w14:paraId="5E670E38" w14:textId="77777777">
      <w:r w:rsidRPr="00AC1826">
        <w:t>Daarbij zal ik beginnen</w:t>
      </w:r>
      <w:r w:rsidRPr="00AC1826" w:rsidR="005A34BF">
        <w:t xml:space="preserve"> met</w:t>
      </w:r>
      <w:r w:rsidRPr="00AC1826" w:rsidR="004437DA">
        <w:t xml:space="preserve"> </w:t>
      </w:r>
      <w:r w:rsidRPr="00AC1826" w:rsidR="007F1902">
        <w:t xml:space="preserve">een beknopte toelichting op </w:t>
      </w:r>
      <w:r w:rsidRPr="00AC1826" w:rsidR="004437DA">
        <w:t>de historie van de</w:t>
      </w:r>
      <w:r w:rsidRPr="00AC1826" w:rsidR="003B6539">
        <w:t xml:space="preserve"> </w:t>
      </w:r>
      <w:r w:rsidRPr="00AC1826" w:rsidR="004437DA">
        <w:t>vrijstelling</w:t>
      </w:r>
      <w:r w:rsidRPr="00AC1826" w:rsidR="003B6539">
        <w:t xml:space="preserve">. Vervolgens </w:t>
      </w:r>
      <w:r w:rsidRPr="00AC1826" w:rsidR="007F1902">
        <w:t xml:space="preserve">zal ik </w:t>
      </w:r>
      <w:r w:rsidRPr="00AC1826" w:rsidR="003B6539">
        <w:t>mogelijke uitbreidingen naar directe familieleden</w:t>
      </w:r>
      <w:r w:rsidRPr="00AC1826" w:rsidR="00731F06">
        <w:t xml:space="preserve"> </w:t>
      </w:r>
      <w:r w:rsidRPr="00AC1826" w:rsidR="007F1902">
        <w:t>schetsen</w:t>
      </w:r>
      <w:r w:rsidRPr="00AC1826" w:rsidR="003B6539">
        <w:t xml:space="preserve">, </w:t>
      </w:r>
      <w:r w:rsidRPr="00AC1826" w:rsidR="00277C33">
        <w:t>in combinatie met</w:t>
      </w:r>
      <w:r w:rsidRPr="00AC1826" w:rsidR="003B6539">
        <w:t xml:space="preserve"> een inschatting van de financiële consequenties van dergelijke uitbreidingen. </w:t>
      </w:r>
      <w:r w:rsidRPr="00AC1826" w:rsidR="00320812">
        <w:t xml:space="preserve"> </w:t>
      </w:r>
    </w:p>
    <w:p w:rsidRPr="00AC1826" w:rsidR="004437DA" w:rsidRDefault="004437DA" w14:paraId="32996066" w14:textId="77777777"/>
    <w:p w:rsidRPr="00AC1826" w:rsidR="00731F06" w:rsidRDefault="00731F06" w14:paraId="4113EBAB" w14:textId="77777777">
      <w:pPr>
        <w:rPr>
          <w:i/>
          <w:iCs/>
        </w:rPr>
      </w:pPr>
      <w:r w:rsidRPr="00AC1826">
        <w:rPr>
          <w:i/>
          <w:iCs/>
        </w:rPr>
        <w:t>Historie van de familievrijstelling</w:t>
      </w:r>
    </w:p>
    <w:p w:rsidRPr="00AC1826" w:rsidR="00C05DC2" w:rsidRDefault="00C05DC2" w14:paraId="3444C4F5" w14:textId="77777777">
      <w:r w:rsidRPr="00AC1826">
        <w:t xml:space="preserve">De </w:t>
      </w:r>
      <w:r w:rsidRPr="00AC1826" w:rsidR="0002754C">
        <w:t>familievrijstelling</w:t>
      </w:r>
      <w:r w:rsidRPr="00AC1826">
        <w:t xml:space="preserve"> </w:t>
      </w:r>
      <w:r w:rsidRPr="00AC1826" w:rsidR="001C2AB3">
        <w:t>betreft</w:t>
      </w:r>
      <w:r w:rsidRPr="00AC1826">
        <w:t xml:space="preserve">, kort gezegd, een vrijstelling van overdrachtsbelasting bij de verkrijging van </w:t>
      </w:r>
      <w:r w:rsidRPr="00AC1826" w:rsidR="002F08E1">
        <w:t xml:space="preserve">(rechten </w:t>
      </w:r>
      <w:r w:rsidRPr="00AC1826" w:rsidR="00374654">
        <w:t>op</w:t>
      </w:r>
      <w:r w:rsidRPr="00AC1826" w:rsidR="002F08E1">
        <w:t>) onroerende zaken</w:t>
      </w:r>
      <w:r w:rsidRPr="00AC1826">
        <w:t xml:space="preserve"> die behoren tot en dienstbaar zijn aan de onderneming van de overdragende ondernemer, mits de verkrijgers één of meer kinderen, kleinkinderen, broers of zusters</w:t>
      </w:r>
      <w:r w:rsidRPr="00AC1826" w:rsidR="00294E69">
        <w:t xml:space="preserve"> (of dienst echtgenoot of geregistreerd partner)</w:t>
      </w:r>
      <w:r w:rsidRPr="00AC1826">
        <w:t xml:space="preserve"> van een ondernemer zijn.</w:t>
      </w:r>
      <w:r w:rsidRPr="00AC1826" w:rsidR="000170D3">
        <w:rPr>
          <w:rStyle w:val="Voetnootmarkering"/>
        </w:rPr>
        <w:footnoteReference w:id="9"/>
      </w:r>
    </w:p>
    <w:p w:rsidRPr="00AC1826" w:rsidR="00C05DC2" w:rsidRDefault="00C05DC2" w14:paraId="4D44A992" w14:textId="77777777"/>
    <w:p w:rsidRPr="00AC1826" w:rsidR="008C19BB" w:rsidRDefault="008C19BB" w14:paraId="5E2A1337" w14:textId="77777777">
      <w:r w:rsidRPr="00AC1826">
        <w:t xml:space="preserve">De familievrijstelling is in 1968 ingevoerd in </w:t>
      </w:r>
      <w:r w:rsidRPr="00AC1826" w:rsidR="00374654">
        <w:t xml:space="preserve">de </w:t>
      </w:r>
      <w:r w:rsidRPr="00AC1826">
        <w:t>vorm van een ouder-kind-vrijstelling.</w:t>
      </w:r>
      <w:r w:rsidRPr="00AC1826" w:rsidR="00BE5B79">
        <w:rPr>
          <w:rStyle w:val="Voetnootmarkering"/>
        </w:rPr>
        <w:footnoteReference w:id="10"/>
      </w:r>
      <w:r w:rsidRPr="00AC1826">
        <w:t xml:space="preserve"> </w:t>
      </w:r>
      <w:r w:rsidRPr="00AC1826" w:rsidR="00BE5B79">
        <w:t>Oorspronkelijk was deze vrijstelling alleen voorzien voor land</w:t>
      </w:r>
      <w:r w:rsidRPr="00AC1826" w:rsidR="00A2192F">
        <w:t>bouwbedrijven</w:t>
      </w:r>
      <w:r w:rsidRPr="00AC1826" w:rsidR="00BE5B79">
        <w:t>,</w:t>
      </w:r>
      <w:r w:rsidRPr="00AC1826" w:rsidR="00A2192F">
        <w:rPr>
          <w:rStyle w:val="Voetnootmarkering"/>
        </w:rPr>
        <w:footnoteReference w:id="11"/>
      </w:r>
      <w:r w:rsidRPr="00AC1826" w:rsidR="00BE5B79">
        <w:t xml:space="preserve"> maar tijdens </w:t>
      </w:r>
      <w:r w:rsidRPr="00AC1826" w:rsidR="00C663AB">
        <w:t xml:space="preserve">de parlementaire behandeling </w:t>
      </w:r>
      <w:r w:rsidRPr="00AC1826" w:rsidR="00326BF6">
        <w:t xml:space="preserve">werd de reikwijdte </w:t>
      </w:r>
      <w:r w:rsidRPr="00AC1826" w:rsidR="00BE5B79">
        <w:t>uitgebreid tot alle ondernemingen.</w:t>
      </w:r>
      <w:r w:rsidRPr="00AC1826" w:rsidR="00A2192F">
        <w:rPr>
          <w:rStyle w:val="Voetnootmarkering"/>
        </w:rPr>
        <w:footnoteReference w:id="12"/>
      </w:r>
      <w:r w:rsidRPr="00AC1826" w:rsidR="002F08E1">
        <w:t xml:space="preserve"> </w:t>
      </w:r>
    </w:p>
    <w:p w:rsidRPr="00AC1826" w:rsidR="00326BF6" w:rsidRDefault="00326BF6" w14:paraId="0F300245" w14:textId="77777777">
      <w:r w:rsidRPr="00AC1826">
        <w:t xml:space="preserve">Het doel van deze vrijstelling is </w:t>
      </w:r>
      <w:r w:rsidRPr="00AC1826" w:rsidR="001C2AB3">
        <w:t xml:space="preserve">het </w:t>
      </w:r>
      <w:r w:rsidRPr="00AC1826">
        <w:t xml:space="preserve">bevorderen dat </w:t>
      </w:r>
      <w:r w:rsidRPr="00AC1826" w:rsidR="00374654">
        <w:t xml:space="preserve">de </w:t>
      </w:r>
      <w:r w:rsidRPr="00AC1826">
        <w:t xml:space="preserve">overdracht van de onderneming plaatsvindt op het tijdstip dat een ondernemer zich in feite uit de bedrijfsuitoefening terugtrekt, teneinde versnippering van de onderneming na het overlijden van de </w:t>
      </w:r>
      <w:r w:rsidRPr="00AC1826" w:rsidR="00374654">
        <w:t>ondernemer</w:t>
      </w:r>
      <w:r w:rsidRPr="00AC1826">
        <w:t xml:space="preserve"> te voorkomen.</w:t>
      </w:r>
      <w:r w:rsidRPr="00AC1826">
        <w:rPr>
          <w:rStyle w:val="Voetnootmarkering"/>
        </w:rPr>
        <w:footnoteReference w:id="13"/>
      </w:r>
    </w:p>
    <w:p w:rsidRPr="00AC1826" w:rsidR="00801035" w:rsidP="00EE41F6" w:rsidRDefault="00801035" w14:paraId="3FD3CA03" w14:textId="77777777"/>
    <w:p w:rsidRPr="00AC1826" w:rsidR="0048434A" w:rsidP="00EE41F6" w:rsidRDefault="00EE41F6" w14:paraId="3AF9B0BA" w14:textId="77777777">
      <w:r w:rsidRPr="00AC1826">
        <w:t>Met ingang van 1</w:t>
      </w:r>
      <w:r w:rsidRPr="00AC1826" w:rsidR="00271006">
        <w:t> </w:t>
      </w:r>
      <w:r w:rsidRPr="00AC1826">
        <w:t>januari</w:t>
      </w:r>
      <w:r w:rsidRPr="00AC1826" w:rsidR="00271006">
        <w:t> </w:t>
      </w:r>
      <w:r w:rsidRPr="00AC1826">
        <w:t>2006 is de familiekring van gerechtigde</w:t>
      </w:r>
      <w:r w:rsidRPr="00AC1826" w:rsidR="00B70CBA">
        <w:t xml:space="preserve"> verkrijgers</w:t>
      </w:r>
      <w:r w:rsidRPr="00AC1826">
        <w:t xml:space="preserve"> uitgebreid met </w:t>
      </w:r>
      <w:r w:rsidRPr="00AC1826" w:rsidR="008120BF">
        <w:t>(</w:t>
      </w:r>
      <w:r w:rsidRPr="00AC1826" w:rsidR="001C2AB3">
        <w:t xml:space="preserve">half- en </w:t>
      </w:r>
      <w:r w:rsidRPr="00AC1826" w:rsidR="008120BF">
        <w:t>pleeg-)broers en (</w:t>
      </w:r>
      <w:r w:rsidRPr="00AC1826" w:rsidR="001C2AB3">
        <w:t xml:space="preserve">half- en </w:t>
      </w:r>
      <w:r w:rsidRPr="00AC1826" w:rsidR="008120BF">
        <w:t>pleeg-)zusters</w:t>
      </w:r>
      <w:r w:rsidRPr="00AC1826">
        <w:t>.</w:t>
      </w:r>
      <w:r w:rsidRPr="00AC1826">
        <w:rPr>
          <w:rStyle w:val="Voetnootmarkering"/>
        </w:rPr>
        <w:footnoteReference w:id="14"/>
      </w:r>
      <w:r w:rsidRPr="00AC1826" w:rsidR="00B70CBA">
        <w:t xml:space="preserve"> Deze verruiming volgde </w:t>
      </w:r>
      <w:r w:rsidRPr="00AC1826" w:rsidR="008120BF">
        <w:t>op</w:t>
      </w:r>
      <w:r w:rsidRPr="00AC1826" w:rsidR="00B70CBA">
        <w:t xml:space="preserve"> een </w:t>
      </w:r>
      <w:bookmarkStart w:name="_Hlk194934118" w:id="1"/>
      <w:r w:rsidRPr="00AC1826" w:rsidR="00B70CBA">
        <w:t xml:space="preserve">onderzoek naar knelpunten bij </w:t>
      </w:r>
      <w:r w:rsidRPr="00AC1826" w:rsidR="008120BF">
        <w:t xml:space="preserve">de </w:t>
      </w:r>
      <w:r w:rsidRPr="00AC1826" w:rsidR="00BB277C">
        <w:t>bedrijfsopvolging in de landbouwpraktijk</w:t>
      </w:r>
      <w:r w:rsidRPr="00AC1826" w:rsidR="00B70CBA">
        <w:t>.</w:t>
      </w:r>
      <w:r w:rsidRPr="00AC1826" w:rsidR="00BB277C">
        <w:rPr>
          <w:rStyle w:val="Voetnootmarkering"/>
        </w:rPr>
        <w:footnoteReference w:id="15"/>
      </w:r>
      <w:r w:rsidRPr="00AC1826" w:rsidR="0021645C">
        <w:t xml:space="preserve"> </w:t>
      </w:r>
      <w:bookmarkStart w:name="_Hlk194916383" w:id="2"/>
      <w:bookmarkEnd w:id="1"/>
      <w:r w:rsidRPr="00AC1826" w:rsidR="0021645C">
        <w:t>Mijn ambtsvoorganger heeft destijds bij de aankondiging van de maatregel opgemerkt dat de doelgroep van deze vrijstelling bewust is beperkt tot potentiële erfgenamen, omdat bij vererving ook geen overdrachtsbelasting verschuldigd zou zijn</w:t>
      </w:r>
      <w:r w:rsidRPr="00AC1826" w:rsidR="0088625F">
        <w:t xml:space="preserve">, maar </w:t>
      </w:r>
      <w:r w:rsidRPr="00AC1826" w:rsidR="008E141C">
        <w:t>erfbelasting</w:t>
      </w:r>
      <w:r w:rsidRPr="00AC1826" w:rsidR="0088625F">
        <w:t>.</w:t>
      </w:r>
      <w:r w:rsidRPr="00AC1826" w:rsidR="0088625F">
        <w:rPr>
          <w:rStyle w:val="Voetnootmarkering"/>
        </w:rPr>
        <w:footnoteReference w:id="16"/>
      </w:r>
      <w:r w:rsidRPr="00AC1826" w:rsidR="00597D1A">
        <w:t xml:space="preserve"> </w:t>
      </w:r>
      <w:bookmarkEnd w:id="2"/>
      <w:r w:rsidRPr="00AC1826" w:rsidR="00597D1A">
        <w:t>Hetzelfde argument was toen ook mede reden om af te zien van een uitbreiding naar werknemers en medeondernemers.</w:t>
      </w:r>
    </w:p>
    <w:p w:rsidRPr="00AC1826" w:rsidR="008F3A27" w:rsidRDefault="008F3A27" w14:paraId="17FDAF08" w14:textId="77777777"/>
    <w:p w:rsidRPr="00AC1826" w:rsidR="004437DA" w:rsidRDefault="005F5F11" w14:paraId="7A30891D" w14:textId="77777777">
      <w:pPr>
        <w:rPr>
          <w:i/>
          <w:iCs/>
        </w:rPr>
      </w:pPr>
      <w:r w:rsidRPr="00AC1826">
        <w:rPr>
          <w:i/>
          <w:iCs/>
        </w:rPr>
        <w:t xml:space="preserve">Denkbare </w:t>
      </w:r>
      <w:r w:rsidRPr="00AC1826" w:rsidR="004437DA">
        <w:rPr>
          <w:i/>
          <w:iCs/>
        </w:rPr>
        <w:t>uitbreidingen binnen directe familiekring</w:t>
      </w:r>
    </w:p>
    <w:p w:rsidRPr="00AC1826" w:rsidR="001A2C1A" w:rsidRDefault="00745650" w14:paraId="33091B1E" w14:textId="77777777">
      <w:bookmarkStart w:name="_Hlk194918126" w:id="3"/>
      <w:r w:rsidRPr="00AC1826">
        <w:t xml:space="preserve">De </w:t>
      </w:r>
      <w:r w:rsidRPr="00AC1826" w:rsidR="00B94C39">
        <w:t xml:space="preserve">vorig jaar gedane </w:t>
      </w:r>
      <w:r w:rsidRPr="00AC1826">
        <w:t xml:space="preserve">toezegging </w:t>
      </w:r>
      <w:r w:rsidRPr="00AC1826" w:rsidR="00B94C39">
        <w:t xml:space="preserve">geeft aan </w:t>
      </w:r>
      <w:r w:rsidRPr="00AC1826" w:rsidR="00374654">
        <w:t xml:space="preserve">onderzoek te doen naar mogelijke uitbreidingen </w:t>
      </w:r>
      <w:r w:rsidRPr="00AC1826" w:rsidR="00F17920">
        <w:t xml:space="preserve">van de familievrijstelling </w:t>
      </w:r>
      <w:r w:rsidRPr="00AC1826" w:rsidR="00374654">
        <w:t>binnen de directe familiekring</w:t>
      </w:r>
      <w:r w:rsidRPr="00AC1826" w:rsidR="00320812">
        <w:t xml:space="preserve"> en naar </w:t>
      </w:r>
      <w:r w:rsidRPr="00AC1826" w:rsidR="008F3A27">
        <w:t xml:space="preserve">de </w:t>
      </w:r>
      <w:r w:rsidRPr="00AC1826" w:rsidR="00320812">
        <w:t>partner</w:t>
      </w:r>
      <w:r w:rsidRPr="00AC1826" w:rsidR="008F3A27">
        <w:t xml:space="preserve"> van de ondernemer</w:t>
      </w:r>
      <w:r w:rsidRPr="00AC1826" w:rsidR="00374654">
        <w:t xml:space="preserve">. </w:t>
      </w:r>
      <w:r w:rsidRPr="00AC1826" w:rsidR="001A2C1A">
        <w:t xml:space="preserve">Onder de directe familiekring moet worden verstaan de rechte lijn, dat wil zeggen (klein)kinderen en (groot)ouders. Daarnaast is gekeken naar een uitbreiding naar neven en nichten van de ondernemer. </w:t>
      </w:r>
    </w:p>
    <w:p w:rsidRPr="00AC1826" w:rsidR="00801035" w:rsidRDefault="00801035" w14:paraId="7F6211DB" w14:textId="77777777"/>
    <w:p w:rsidRPr="00AC1826" w:rsidR="00F17920" w:rsidRDefault="001A2C1A" w14:paraId="7053F518" w14:textId="77777777">
      <w:r w:rsidRPr="00AC1826">
        <w:lastRenderedPageBreak/>
        <w:t>Voor dit onderzoek</w:t>
      </w:r>
      <w:r w:rsidRPr="00AC1826" w:rsidR="00F17920">
        <w:t xml:space="preserve"> is </w:t>
      </w:r>
      <w:r w:rsidRPr="00AC1826">
        <w:t xml:space="preserve">met name </w:t>
      </w:r>
      <w:r w:rsidRPr="00AC1826" w:rsidR="00F17920">
        <w:t xml:space="preserve">gekeken naar de ratio van de vrijstelling en </w:t>
      </w:r>
      <w:r w:rsidRPr="00AC1826" w:rsidR="00B94C39">
        <w:t xml:space="preserve">het </w:t>
      </w:r>
      <w:r w:rsidRPr="00AC1826" w:rsidR="00F17920">
        <w:t xml:space="preserve">kabinetsbeleid </w:t>
      </w:r>
      <w:r w:rsidRPr="00AC1826">
        <w:t>dat van toepassing is op fiscale vrijstellingen</w:t>
      </w:r>
      <w:r w:rsidRPr="00AC1826" w:rsidR="00F17920">
        <w:t xml:space="preserve">. </w:t>
      </w:r>
      <w:r w:rsidRPr="00AC1826">
        <w:t>Zo geldt dat elke uitbreiding van een vrijstelling een fiscale regeling is die het belastingstelsel complexer maakt. De noodzaak daarvan moet goed onderbouwd zijn</w:t>
      </w:r>
      <w:r w:rsidRPr="00AC1826" w:rsidR="00975158">
        <w:t xml:space="preserve"> en </w:t>
      </w:r>
      <w:r w:rsidRPr="00AC1826" w:rsidR="00E44D6D">
        <w:t xml:space="preserve">tevens </w:t>
      </w:r>
      <w:r w:rsidRPr="00AC1826" w:rsidR="00975158">
        <w:t>dient het in het Rijksbegrotingsvoorschriften opgenomen toetsingskader fiscale regelingen doorlopen te worden.</w:t>
      </w:r>
      <w:r w:rsidRPr="00AC1826" w:rsidR="00975158">
        <w:rPr>
          <w:rStyle w:val="Voetnootmarkering"/>
        </w:rPr>
        <w:footnoteReference w:id="17"/>
      </w:r>
      <w:r w:rsidRPr="00AC1826">
        <w:t xml:space="preserve"> </w:t>
      </w:r>
      <w:r w:rsidRPr="00AC1826" w:rsidR="00F17920">
        <w:t>Om de problematiek en noodzaak van mogelijke uitbreidingen beter in kaart te brengen, zijn daar</w:t>
      </w:r>
      <w:r w:rsidRPr="00AC1826">
        <w:t>om ook</w:t>
      </w:r>
      <w:r w:rsidRPr="00AC1826" w:rsidR="00F17920">
        <w:t xml:space="preserve"> gesprekken gevoerd met de Belastingdienst en </w:t>
      </w:r>
      <w:r w:rsidRPr="00AC1826" w:rsidR="004A7F79">
        <w:t xml:space="preserve">in </w:t>
      </w:r>
      <w:r w:rsidRPr="00AC1826" w:rsidR="00F17920">
        <w:t xml:space="preserve">het </w:t>
      </w:r>
      <w:r w:rsidRPr="00AC1826" w:rsidR="004A7F79">
        <w:t xml:space="preserve">eerdergenoemde </w:t>
      </w:r>
      <w:r w:rsidRPr="00AC1826" w:rsidR="00E44D6D">
        <w:t>P</w:t>
      </w:r>
      <w:r w:rsidRPr="00AC1826" w:rsidR="00F17920">
        <w:t xml:space="preserve">latform Landbouw. </w:t>
      </w:r>
      <w:r w:rsidRPr="00AC1826">
        <w:t>Hieronder delen we de resultaten per personengroep.</w:t>
      </w:r>
    </w:p>
    <w:p w:rsidRPr="00AC1826" w:rsidR="001A2C1A" w:rsidRDefault="001A2C1A" w14:paraId="5FEE8158" w14:textId="77777777"/>
    <w:p w:rsidRPr="00AC1826" w:rsidR="00147FDE" w:rsidP="005F5F11" w:rsidRDefault="005F5F11" w14:paraId="5BE4EEE6" w14:textId="77777777">
      <w:r w:rsidRPr="00AC1826">
        <w:rPr>
          <w:rFonts w:eastAsia="Times New Roman" w:cstheme="minorHAnsi"/>
          <w:color w:val="212529"/>
        </w:rPr>
        <w:t>Het doel van de familievrijstelling is</w:t>
      </w:r>
      <w:r w:rsidRPr="00AC1826" w:rsidR="00D3413A">
        <w:rPr>
          <w:rFonts w:eastAsia="Times New Roman" w:cstheme="minorHAnsi"/>
          <w:color w:val="212529"/>
        </w:rPr>
        <w:t xml:space="preserve">, zoals hiervoor genoemd, </w:t>
      </w:r>
      <w:r w:rsidRPr="00AC1826">
        <w:rPr>
          <w:rFonts w:eastAsia="Times New Roman" w:cstheme="minorHAnsi"/>
          <w:i/>
          <w:iCs/>
          <w:color w:val="212529"/>
        </w:rPr>
        <w:t xml:space="preserve">het bevorderen dat overdracht van de onderneming plaatsvindt </w:t>
      </w:r>
      <w:r w:rsidRPr="00AC1826">
        <w:rPr>
          <w:rFonts w:eastAsia="Times New Roman" w:cstheme="minorHAnsi"/>
          <w:i/>
          <w:iCs/>
          <w:color w:val="212529"/>
          <w:u w:val="single"/>
        </w:rPr>
        <w:t>op het tijdstip dat een ondernemer zich in feite uit de bedrijfsuitoefening terugtrekt</w:t>
      </w:r>
      <w:r w:rsidRPr="00AC1826">
        <w:rPr>
          <w:rFonts w:eastAsia="Times New Roman" w:cstheme="minorHAnsi"/>
          <w:i/>
          <w:iCs/>
          <w:color w:val="212529"/>
        </w:rPr>
        <w:t>, teneinde versnippering van de onderneming na het overlijden van de eigenaar te voorkomen</w:t>
      </w:r>
      <w:r w:rsidRPr="00AC1826">
        <w:rPr>
          <w:rFonts w:eastAsia="Times New Roman" w:cstheme="minorHAnsi"/>
          <w:color w:val="212529"/>
        </w:rPr>
        <w:t>.</w:t>
      </w:r>
      <w:r w:rsidRPr="00AC1826">
        <w:rPr>
          <w:rStyle w:val="Voetnootmarkering"/>
          <w:rFonts w:eastAsia="Times New Roman" w:cstheme="minorHAnsi"/>
          <w:color w:val="212529"/>
        </w:rPr>
        <w:footnoteReference w:id="18"/>
      </w:r>
      <w:r w:rsidRPr="00AC1826">
        <w:rPr>
          <w:rFonts w:eastAsia="Times New Roman" w:cstheme="minorHAnsi"/>
          <w:color w:val="212529"/>
        </w:rPr>
        <w:t xml:space="preserve"> </w:t>
      </w:r>
      <w:bookmarkStart w:name="_Hlk200635168" w:id="4"/>
      <w:r w:rsidRPr="00AC1826">
        <w:t>De huidige reikwijdte faciliteert de mogelijkheid om de onderneming over te dragen aan de volgende generaties</w:t>
      </w:r>
      <w:r w:rsidRPr="00AC1826" w:rsidR="00147FDE">
        <w:t>, de (partners van) kinderen en kleinkinderen van de ondernemer.</w:t>
      </w:r>
      <w:r w:rsidRPr="00AC1826" w:rsidR="00294E69">
        <w:t xml:space="preserve"> Het overdragen naar de volgende generatie</w:t>
      </w:r>
      <w:r w:rsidRPr="00AC1826">
        <w:t xml:space="preserve"> is in de meeste gevallen het doel van de ondernemer.</w:t>
      </w:r>
      <w:bookmarkEnd w:id="4"/>
      <w:r w:rsidRPr="00AC1826">
        <w:t xml:space="preserve"> </w:t>
      </w:r>
    </w:p>
    <w:p w:rsidRPr="00AC1826" w:rsidR="00147FDE" w:rsidP="005F5F11" w:rsidRDefault="00147FDE" w14:paraId="78ADD6E7" w14:textId="77777777"/>
    <w:p w:rsidRPr="00AC1826" w:rsidR="004437DA" w:rsidRDefault="005F5F11" w14:paraId="401A4498" w14:textId="77777777">
      <w:r w:rsidRPr="00AC1826">
        <w:rPr>
          <w:rFonts w:eastAsia="Times New Roman" w:cstheme="minorHAnsi"/>
          <w:color w:val="212529"/>
        </w:rPr>
        <w:t xml:space="preserve">Vanuit </w:t>
      </w:r>
      <w:r w:rsidRPr="00AC1826" w:rsidR="00294E69">
        <w:rPr>
          <w:rFonts w:eastAsia="Times New Roman" w:cstheme="minorHAnsi"/>
          <w:color w:val="212529"/>
        </w:rPr>
        <w:t>de gedachte</w:t>
      </w:r>
      <w:r w:rsidRPr="00AC1826">
        <w:rPr>
          <w:rFonts w:eastAsia="Times New Roman" w:cstheme="minorHAnsi"/>
          <w:color w:val="212529"/>
        </w:rPr>
        <w:t xml:space="preserve"> </w:t>
      </w:r>
      <w:r w:rsidRPr="00AC1826" w:rsidR="00147FDE">
        <w:rPr>
          <w:rFonts w:eastAsia="Times New Roman" w:cstheme="minorHAnsi"/>
          <w:color w:val="212529"/>
        </w:rPr>
        <w:t xml:space="preserve">van bedrijfsoverdracht zonder versnippering aan de volgende generatie </w:t>
      </w:r>
      <w:r w:rsidRPr="00AC1826">
        <w:rPr>
          <w:rFonts w:eastAsia="Times New Roman" w:cstheme="minorHAnsi"/>
          <w:color w:val="212529"/>
        </w:rPr>
        <w:t>is een vrijgestelde verkrijging door een (groot)ouder niet logisch.</w:t>
      </w:r>
      <w:r w:rsidRPr="00AC1826" w:rsidR="00147FDE">
        <w:t xml:space="preserve"> </w:t>
      </w:r>
      <w:bookmarkEnd w:id="3"/>
      <w:r w:rsidRPr="00AC1826" w:rsidR="00835081">
        <w:t>In de regel zal een onderneming niet door een kind aan zijn ouders worden overgedragen</w:t>
      </w:r>
      <w:r w:rsidRPr="00AC1826" w:rsidR="00634573">
        <w:t>,</w:t>
      </w:r>
      <w:r w:rsidRPr="00AC1826" w:rsidR="00835081">
        <w:t xml:space="preserve"> maar die situatie </w:t>
      </w:r>
      <w:r w:rsidRPr="00AC1826" w:rsidR="00CE4174">
        <w:t>is</w:t>
      </w:r>
      <w:r w:rsidRPr="00AC1826" w:rsidR="00835081">
        <w:t xml:space="preserve"> wel denkbaar. </w:t>
      </w:r>
      <w:r w:rsidRPr="00AC1826" w:rsidR="00147FDE">
        <w:t xml:space="preserve">Momenteel zijn geen concrete gevallen bekend waar dit aan de orde is. </w:t>
      </w:r>
      <w:r w:rsidRPr="00AC1826" w:rsidR="00DD66D7">
        <w:t xml:space="preserve"> </w:t>
      </w:r>
    </w:p>
    <w:p w:rsidRPr="00AC1826" w:rsidR="00835081" w:rsidRDefault="00835081" w14:paraId="4AC64B9E" w14:textId="77777777"/>
    <w:p w:rsidRPr="00AC1826" w:rsidR="00835081" w:rsidRDefault="00147FDE" w14:paraId="344FC26B" w14:textId="77777777">
      <w:r w:rsidRPr="00AC1826">
        <w:t xml:space="preserve">Verder </w:t>
      </w:r>
      <w:r w:rsidRPr="00AC1826" w:rsidR="00835081">
        <w:t xml:space="preserve">kan gedacht worden aan een uitbreiding van de vrijstelling zodat ook de partner van de ondernemer de onderneming kan </w:t>
      </w:r>
      <w:r w:rsidRPr="00AC1826" w:rsidR="00634573">
        <w:t>over</w:t>
      </w:r>
      <w:r w:rsidRPr="00AC1826" w:rsidR="00835081">
        <w:t xml:space="preserve">nemen met gebruikmaking van de vrijstelling. </w:t>
      </w:r>
      <w:r w:rsidRPr="00AC1826">
        <w:t>Deze optie sluit het meest aan bij het doel van de vrijstelling</w:t>
      </w:r>
      <w:r w:rsidRPr="00AC1826" w:rsidR="00294E69">
        <w:t xml:space="preserve"> om versnippering ingeval van vererving te voorkomen</w:t>
      </w:r>
      <w:r w:rsidRPr="00AC1826">
        <w:t xml:space="preserve">, aangezien partners, naast kinderen, tot de kring van directe erfgenamen behoren. </w:t>
      </w:r>
      <w:r w:rsidRPr="00AC1826" w:rsidR="00F17920">
        <w:t>Bij een eventuele uitbreiding</w:t>
      </w:r>
      <w:r w:rsidRPr="00AC1826">
        <w:t xml:space="preserve"> naar partners ligt het in de rede om aan te sluiten bij het partnerbegrip van de </w:t>
      </w:r>
      <w:r w:rsidRPr="00AC1826" w:rsidR="001C2AB3">
        <w:t>Algemene wet inzake rijksbelastingen (</w:t>
      </w:r>
      <w:r w:rsidRPr="00AC1826">
        <w:t>AWR</w:t>
      </w:r>
      <w:r w:rsidRPr="00AC1826" w:rsidR="001C2AB3">
        <w:t>)</w:t>
      </w:r>
      <w:r w:rsidRPr="00AC1826">
        <w:rPr>
          <w:rStyle w:val="Voetnootmarkering"/>
        </w:rPr>
        <w:footnoteReference w:id="19"/>
      </w:r>
      <w:r w:rsidRPr="00AC1826">
        <w:t xml:space="preserve">. </w:t>
      </w:r>
      <w:r w:rsidRPr="00AC1826" w:rsidR="00B21EC2">
        <w:t xml:space="preserve">Voor partners </w:t>
      </w:r>
      <w:r w:rsidRPr="00AC1826" w:rsidR="00DD13FA">
        <w:t>kan</w:t>
      </w:r>
      <w:r w:rsidRPr="00AC1826" w:rsidR="00B21EC2">
        <w:t xml:space="preserve"> </w:t>
      </w:r>
      <w:r w:rsidRPr="00AC1826" w:rsidR="00E44D6D">
        <w:t>naast een uitbreiding van de familievrijstelling ook de bestaande mogelijkheid van</w:t>
      </w:r>
      <w:r w:rsidRPr="00AC1826">
        <w:t xml:space="preserve"> </w:t>
      </w:r>
      <w:r w:rsidRPr="00AC1826" w:rsidR="00B21EC2">
        <w:t xml:space="preserve">boedelmenging </w:t>
      </w:r>
      <w:r w:rsidRPr="00AC1826" w:rsidR="00DD13FA">
        <w:t>een uitkomst bieden</w:t>
      </w:r>
      <w:r w:rsidRPr="00AC1826" w:rsidR="00B21EC2">
        <w:t xml:space="preserve"> om de onderneming zonder heffing van overdrachtsbelasting over te </w:t>
      </w:r>
      <w:r w:rsidRPr="00AC1826" w:rsidR="00294E69">
        <w:t>laten gaan</w:t>
      </w:r>
      <w:r w:rsidRPr="00AC1826" w:rsidR="00B21EC2">
        <w:t>.</w:t>
      </w:r>
      <w:r w:rsidRPr="00AC1826" w:rsidR="00DD13FA">
        <w:t xml:space="preserve"> Boedelmenging biedt echter geen </w:t>
      </w:r>
      <w:r w:rsidRPr="00AC1826" w:rsidR="00975158">
        <w:t>optie</w:t>
      </w:r>
      <w:r w:rsidRPr="00AC1826" w:rsidR="00DD13FA">
        <w:t xml:space="preserve"> wanneer het ondernemingsvermogen is verkregen met een uitsluitingsclausule omdat het dan niet in de gemeenschap kan worden ingebracht.</w:t>
      </w:r>
      <w:r w:rsidRPr="00AC1826" w:rsidR="00B21EC2">
        <w:t xml:space="preserve"> </w:t>
      </w:r>
    </w:p>
    <w:p w:rsidRPr="00AC1826" w:rsidR="008F3A27" w:rsidRDefault="008F3A27" w14:paraId="72E24A6D" w14:textId="77777777"/>
    <w:p w:rsidRPr="00AC1826" w:rsidR="00F17920" w:rsidRDefault="00294E69" w14:paraId="6E4E2358" w14:textId="77777777">
      <w:r w:rsidRPr="00AC1826">
        <w:t>Daarnaast geeft d</w:t>
      </w:r>
      <w:r w:rsidRPr="00AC1826" w:rsidR="00C13545">
        <w:t xml:space="preserve">e landbouwsector aan het wenselijk te vinden om de vrijstelling uit te breiden naar </w:t>
      </w:r>
      <w:r w:rsidRPr="00AC1826" w:rsidR="00F17920">
        <w:t xml:space="preserve">(partners van) </w:t>
      </w:r>
      <w:r w:rsidRPr="00AC1826" w:rsidR="00C13545">
        <w:t>neven en nichten</w:t>
      </w:r>
      <w:r w:rsidRPr="00AC1826" w:rsidR="00F17920">
        <w:t>,</w:t>
      </w:r>
      <w:r w:rsidRPr="00AC1826" w:rsidR="00C13545">
        <w:t xml:space="preserve"> zodat zij makkelijker de onderneming kunnen overnemen. </w:t>
      </w:r>
      <w:r w:rsidRPr="00AC1826" w:rsidR="00147FDE">
        <w:t xml:space="preserve">Neven en nichten behoren niet tot de kring van directe erfgenamen waardoor een dergelijke uitbreiding niet aansluit bij het doel van de vrijstelling. </w:t>
      </w:r>
    </w:p>
    <w:p w:rsidR="00DD66D7" w:rsidRDefault="00DD66D7" w14:paraId="46AEC89A" w14:textId="77777777">
      <w:pPr>
        <w:rPr>
          <w:i/>
          <w:iCs/>
        </w:rPr>
      </w:pPr>
    </w:p>
    <w:p w:rsidR="00327B63" w:rsidRDefault="00327B63" w14:paraId="3A52897F" w14:textId="77777777">
      <w:pPr>
        <w:rPr>
          <w:i/>
          <w:iCs/>
        </w:rPr>
      </w:pPr>
    </w:p>
    <w:p w:rsidRPr="00AC1826" w:rsidR="00327B63" w:rsidRDefault="00327B63" w14:paraId="0B71A6E8" w14:textId="77777777">
      <w:pPr>
        <w:rPr>
          <w:i/>
          <w:iCs/>
        </w:rPr>
      </w:pPr>
    </w:p>
    <w:p w:rsidRPr="00AC1826" w:rsidR="00C13545" w:rsidRDefault="00C13545" w14:paraId="221CB6A0" w14:textId="77777777">
      <w:pPr>
        <w:rPr>
          <w:i/>
          <w:iCs/>
        </w:rPr>
      </w:pPr>
      <w:r w:rsidRPr="00AC1826">
        <w:rPr>
          <w:i/>
          <w:iCs/>
        </w:rPr>
        <w:lastRenderedPageBreak/>
        <w:t>Budgettair</w:t>
      </w:r>
      <w:r w:rsidRPr="00AC1826" w:rsidR="00DD66D7">
        <w:rPr>
          <w:i/>
          <w:iCs/>
        </w:rPr>
        <w:t>e gevolgen</w:t>
      </w:r>
    </w:p>
    <w:p w:rsidRPr="00AC1826" w:rsidR="007F3FAC" w:rsidP="007F3FAC" w:rsidRDefault="007F3FAC" w14:paraId="4296CF46" w14:textId="77777777">
      <w:r w:rsidRPr="00AC1826">
        <w:t>In beginsel zorgt een uitbreiding van de familievrijstelling in de overdrachtsbelasting voor een kleinere grondslag. Dit zorgt voor een budgettaire derving. De grootte van de derving hangt af van het aantal toepassingen van de vrijstelling.</w:t>
      </w:r>
    </w:p>
    <w:p w:rsidRPr="00AC1826" w:rsidR="00487B71" w:rsidP="007F3FAC" w:rsidRDefault="00487B71" w14:paraId="2E9A7E48" w14:textId="77777777"/>
    <w:p w:rsidRPr="00AC1826" w:rsidR="007F3FAC" w:rsidP="007F3FAC" w:rsidRDefault="007F3FAC" w14:paraId="77EB5F6D" w14:textId="77777777">
      <w:r w:rsidRPr="00AC1826">
        <w:t xml:space="preserve">Voor het uitbreiden van de vrijstelling naar (groot)ouders, partners en neven en nichten zijn de budgettaire effecten in kaart gebracht. Naar verwachting is het budgettair effect voor elk van de opties minder dan 0,5 miljoen euro. Uitbreiding van de vrijstelling zal daarmee naar verwachting </w:t>
      </w:r>
      <w:r w:rsidRPr="00AC1826" w:rsidR="00487B71">
        <w:t>in zeer beperkte mate</w:t>
      </w:r>
      <w:r w:rsidRPr="00AC1826">
        <w:t xml:space="preserve"> leiden tot een dekkingsvraagstuk.</w:t>
      </w:r>
    </w:p>
    <w:p w:rsidRPr="00AC1826" w:rsidR="00752D87" w:rsidRDefault="00752D87" w14:paraId="1BB8DF8C" w14:textId="77777777">
      <w:pPr>
        <w:pStyle w:val="StandaardSlotzin"/>
        <w:rPr>
          <w:b/>
          <w:bCs/>
        </w:rPr>
      </w:pPr>
      <w:r w:rsidRPr="00AC1826">
        <w:rPr>
          <w:b/>
          <w:bCs/>
        </w:rPr>
        <w:t>Motie cultuurgrondvrijstelling</w:t>
      </w:r>
    </w:p>
    <w:p w:rsidRPr="00AC1826" w:rsidR="00146018" w:rsidP="00146018" w:rsidRDefault="00146018" w14:paraId="1E64B695" w14:textId="77777777">
      <w:r w:rsidRPr="00AC1826">
        <w:t xml:space="preserve">De motie </w:t>
      </w:r>
      <w:r w:rsidRPr="00AC1826" w:rsidR="00751AA3">
        <w:t xml:space="preserve">van de leden Holman en </w:t>
      </w:r>
      <w:proofErr w:type="spellStart"/>
      <w:r w:rsidRPr="00AC1826" w:rsidR="00751AA3">
        <w:t>Grinwis</w:t>
      </w:r>
      <w:proofErr w:type="spellEnd"/>
      <w:r w:rsidRPr="00AC1826" w:rsidR="00751AA3">
        <w:t xml:space="preserve"> </w:t>
      </w:r>
      <w:r w:rsidRPr="00AC1826">
        <w:t>over de zogenoemde cultuurgrondvrijstelling in de overdrachtsbelasting, verzoekt te onderzoeken of deze vrijstelling beperkt kan worden tot alleen agrariërs. Deze vrijstelling werkt als volgt. Bij de verkrijging van landbouwgrond hoeft geen overdrachtsbelasting te worden betaald, zolang die grond bedrijfsmatig wordt gebruikt voor agrarische activiteiten zoals veeteelt, akkerbouw, weidebouw, tuinbouw en bosbouw. De vrijstelling geldt alleen als de bedrijfsmatige exploitatie van de grond voor landbouwdoeleinden gedurende minstens tien jaar</w:t>
      </w:r>
      <w:r w:rsidRPr="00AC1826" w:rsidR="00751AA3">
        <w:t xml:space="preserve"> na de verkrijging</w:t>
      </w:r>
      <w:r w:rsidRPr="00AC1826">
        <w:t xml:space="preserve"> wordt voortgezet. Dit geldt voor elke </w:t>
      </w:r>
      <w:r w:rsidRPr="00AC1826" w:rsidR="004A7F79">
        <w:t xml:space="preserve">verkrijging </w:t>
      </w:r>
      <w:r w:rsidRPr="00AC1826">
        <w:t xml:space="preserve">afzonderlijk. </w:t>
      </w:r>
    </w:p>
    <w:p w:rsidRPr="00AC1826" w:rsidR="00EA2717" w:rsidP="00146018" w:rsidRDefault="00EA2717" w14:paraId="18BD38DD" w14:textId="77777777"/>
    <w:p w:rsidR="00146018" w:rsidP="00146018" w:rsidRDefault="00146018" w14:paraId="2E3B3BBF" w14:textId="77777777">
      <w:r w:rsidRPr="00AC1826">
        <w:t xml:space="preserve">De regeling is niet alleen van toepassing op agrariërs die de grond zelf kopen en gebruiken. Zoals is opgenomen in de toelichting bij het wetsvoorstel </w:t>
      </w:r>
      <w:r w:rsidRPr="00AC1826" w:rsidR="004A7F79">
        <w:t xml:space="preserve">waarmee de cultuurgrondvrijstelling werd geïntroduceerd </w:t>
      </w:r>
      <w:r w:rsidRPr="00AC1826">
        <w:t>is het niet noodzakelijk dat de verkrijger zelf de cultuurgrond als zodanig exploiteert. Ook de verkrijging van cultuurgrond die ter beschikking wordt gesteld aan een derde, kan delen in de vrijstelling, mits de derde de grond als zodanig bedrijfsmatig binnen zijn landbouwbedrijf exploiteert.</w:t>
      </w:r>
      <w:r w:rsidRPr="00AC1826">
        <w:rPr>
          <w:vertAlign w:val="superscript"/>
        </w:rPr>
        <w:footnoteReference w:id="20"/>
      </w:r>
      <w:r w:rsidRPr="00AC1826">
        <w:t xml:space="preserve"> Dat houdt in dat wanneer een andere partij – bijvoorbeeld een particuliere investeerder, pensioenfonds of familielid – de landbouwgrond koopt en deze bijvoorbeeld verpacht of in bruikleen of </w:t>
      </w:r>
      <w:r w:rsidRPr="00AC1826" w:rsidR="003D6698">
        <w:t xml:space="preserve">het recht van </w:t>
      </w:r>
      <w:r w:rsidRPr="00AC1826">
        <w:t>erfpacht geeft aan een agrariër die de grond bedrijfsmatig gebruikt voor landbouw, de vrijstelling van toepassing is. De kern van de vrijstelling is dus het daadwerkelijke gebruik van de grond en niet de hoedanigheid van de koper. Vanwege de eenvoud is er ten behoeve van de landbouwsector gekozen voor één vrijstelling voor alle cultuurgrond.</w:t>
      </w:r>
    </w:p>
    <w:p w:rsidR="003A64AC" w:rsidP="00146018" w:rsidRDefault="003A64AC" w14:paraId="316FD07A" w14:textId="77777777"/>
    <w:p w:rsidRPr="00AC1826" w:rsidR="00146018" w:rsidP="00146018" w:rsidRDefault="00F06B17" w14:paraId="299D93BD" w14:textId="77777777">
      <w:r>
        <w:t>D</w:t>
      </w:r>
      <w:r w:rsidRPr="00AC1826">
        <w:t>e motie vraagt te onderzoeken of de werking van de vrijstelling kan worden aangepast door deze uit te sluiten voor niet-agrariërs.</w:t>
      </w:r>
      <w:r>
        <w:t xml:space="preserve"> Deze kwestie zal besproken worden binnen het gremium P</w:t>
      </w:r>
      <w:r w:rsidRPr="00F06B17">
        <w:t>latform Landbouw</w:t>
      </w:r>
      <w:r>
        <w:t xml:space="preserve"> zoals hiervoor genoemd. </w:t>
      </w:r>
      <w:bookmarkStart w:name="_Hlk200466992" w:id="5"/>
      <w:r>
        <w:t xml:space="preserve">Daarnaast loopt er op dit moment </w:t>
      </w:r>
      <w:bookmarkEnd w:id="5"/>
      <w:r>
        <w:t>z</w:t>
      </w:r>
      <w:r w:rsidRPr="00AC1826" w:rsidR="00146018">
        <w:t>oals eerder in deze brief genoemd een bredere evaluatie naar verschillende vrijstellingen in de overdrachtsbelasting, waaronder ook de cultuurgrondvrijstelling. In die evaluatie wordt gekeken naar het doelbereik, de effectiviteit en de doeltreffendheid van de regeling.</w:t>
      </w:r>
      <w:r w:rsidRPr="00AC1826" w:rsidR="00146018">
        <w:rPr>
          <w:vertAlign w:val="superscript"/>
        </w:rPr>
        <w:t xml:space="preserve"> </w:t>
      </w:r>
      <w:r w:rsidRPr="00AC1826" w:rsidR="00146018">
        <w:t xml:space="preserve">Er is van de gelegenheid gebruikgemaakt om tevens de inhoud van deze motie te onderzoeken, met de vraag wat de consequentie is als de vrijstelling beperkt wordt tot alleen agrariërs die de grond kopen en zelf gaan gebruiken voor landbouwdoeleinden en daarmee niet alleen meer aan te sluiten bij het gebruik van de grond, maar ook bij de koper van de grond. De resultaten van deze evaluatie worden eind 2025 verwacht. </w:t>
      </w:r>
    </w:p>
    <w:p w:rsidR="00EA2717" w:rsidP="00146018" w:rsidRDefault="00EA2717" w14:paraId="1D399513" w14:textId="77777777"/>
    <w:p w:rsidRPr="00AC1826" w:rsidR="00146018" w:rsidP="00146018" w:rsidRDefault="00A23440" w14:paraId="4518C475" w14:textId="77777777">
      <w:r>
        <w:t xml:space="preserve">Na het gesprek </w:t>
      </w:r>
      <w:r w:rsidR="00F06B17">
        <w:t xml:space="preserve">in het Platform Landbouw </w:t>
      </w:r>
      <w:r>
        <w:t xml:space="preserve">en bovenstaande evaluatie zal worden bezien of er aanleiding is tot beleidsaanpassingen. </w:t>
      </w:r>
      <w:r w:rsidR="00E960C0">
        <w:t xml:space="preserve">Ik zal de Kamer daar te zijner tijd over informeren. </w:t>
      </w:r>
    </w:p>
    <w:p w:rsidRPr="00AC1826" w:rsidR="00A80029" w:rsidRDefault="000626AB" w14:paraId="62358C13" w14:textId="77777777">
      <w:pPr>
        <w:pStyle w:val="StandaardSlotzin"/>
      </w:pPr>
      <w:r w:rsidRPr="00AC1826">
        <w:t>Hoogachtend,</w:t>
      </w:r>
    </w:p>
    <w:p w:rsidRPr="00AC1826" w:rsidR="00A80029" w:rsidRDefault="00A80029" w14:paraId="3B4BB15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AC1826" w:rsidR="00A80029" w14:paraId="087E32FE" w14:textId="77777777">
        <w:tc>
          <w:tcPr>
            <w:tcW w:w="3592" w:type="dxa"/>
          </w:tcPr>
          <w:p w:rsidRPr="00AC1826" w:rsidR="00A80029" w:rsidRDefault="000626AB" w14:paraId="61DFE4F2" w14:textId="77777777">
            <w:proofErr w:type="gramStart"/>
            <w:r w:rsidRPr="00AC1826">
              <w:t>de</w:t>
            </w:r>
            <w:proofErr w:type="gramEnd"/>
            <w:r w:rsidRPr="00AC1826">
              <w:t xml:space="preserve"> staatssecretaris van Financiën -  Fiscaliteit, Belastingdienst en Douane,</w:t>
            </w:r>
            <w:r w:rsidRPr="00AC1826">
              <w:br/>
            </w:r>
            <w:r w:rsidRPr="00AC1826">
              <w:br/>
            </w:r>
            <w:r w:rsidRPr="00AC1826">
              <w:br/>
            </w:r>
            <w:r w:rsidRPr="00AC1826">
              <w:br/>
            </w:r>
            <w:r w:rsidRPr="00AC1826">
              <w:br/>
            </w:r>
            <w:r w:rsidRPr="00AC1826">
              <w:br/>
              <w:t>T. van Oostenbruggen</w:t>
            </w:r>
          </w:p>
        </w:tc>
        <w:tc>
          <w:tcPr>
            <w:tcW w:w="3892" w:type="dxa"/>
          </w:tcPr>
          <w:p w:rsidRPr="00AC1826" w:rsidR="00A80029" w:rsidRDefault="00A80029" w14:paraId="655EFF8A" w14:textId="77777777"/>
        </w:tc>
      </w:tr>
      <w:tr w:rsidRPr="00AC1826" w:rsidR="00A80029" w14:paraId="0A57202A" w14:textId="77777777">
        <w:tc>
          <w:tcPr>
            <w:tcW w:w="3592" w:type="dxa"/>
          </w:tcPr>
          <w:p w:rsidRPr="00AC1826" w:rsidR="00A80029" w:rsidRDefault="00A80029" w14:paraId="6C76F64A" w14:textId="77777777"/>
        </w:tc>
        <w:tc>
          <w:tcPr>
            <w:tcW w:w="3892" w:type="dxa"/>
          </w:tcPr>
          <w:p w:rsidRPr="00AC1826" w:rsidR="00A80029" w:rsidRDefault="00A80029" w14:paraId="2AD361AE" w14:textId="77777777"/>
        </w:tc>
      </w:tr>
      <w:tr w:rsidRPr="00AC1826" w:rsidR="00A80029" w14:paraId="3418DB17" w14:textId="77777777">
        <w:tc>
          <w:tcPr>
            <w:tcW w:w="3592" w:type="dxa"/>
          </w:tcPr>
          <w:p w:rsidRPr="00AC1826" w:rsidR="00A80029" w:rsidRDefault="00A80029" w14:paraId="4B799777" w14:textId="77777777"/>
        </w:tc>
        <w:tc>
          <w:tcPr>
            <w:tcW w:w="3892" w:type="dxa"/>
          </w:tcPr>
          <w:p w:rsidRPr="00AC1826" w:rsidR="00A80029" w:rsidRDefault="00A80029" w14:paraId="12B49084" w14:textId="77777777"/>
        </w:tc>
      </w:tr>
      <w:tr w:rsidRPr="00AC1826" w:rsidR="00A80029" w14:paraId="3E8E9F21" w14:textId="77777777">
        <w:tc>
          <w:tcPr>
            <w:tcW w:w="3592" w:type="dxa"/>
          </w:tcPr>
          <w:p w:rsidRPr="00AC1826" w:rsidR="00A80029" w:rsidRDefault="00A80029" w14:paraId="3899D19B" w14:textId="77777777"/>
        </w:tc>
        <w:tc>
          <w:tcPr>
            <w:tcW w:w="3892" w:type="dxa"/>
          </w:tcPr>
          <w:p w:rsidRPr="00AC1826" w:rsidR="00A80029" w:rsidRDefault="00A80029" w14:paraId="000AEF65" w14:textId="77777777"/>
        </w:tc>
      </w:tr>
      <w:tr w:rsidRPr="00AC1826" w:rsidR="00A80029" w14:paraId="3DAA4EBC" w14:textId="77777777">
        <w:tc>
          <w:tcPr>
            <w:tcW w:w="3592" w:type="dxa"/>
          </w:tcPr>
          <w:p w:rsidRPr="00AC1826" w:rsidR="00A80029" w:rsidRDefault="00A80029" w14:paraId="007B79A1" w14:textId="77777777"/>
        </w:tc>
        <w:tc>
          <w:tcPr>
            <w:tcW w:w="3892" w:type="dxa"/>
          </w:tcPr>
          <w:p w:rsidRPr="00AC1826" w:rsidR="00A80029" w:rsidRDefault="00A80029" w14:paraId="1BF5BEED" w14:textId="77777777"/>
        </w:tc>
      </w:tr>
    </w:tbl>
    <w:p w:rsidRPr="00AC1826" w:rsidR="00A80029" w:rsidRDefault="00A80029" w14:paraId="499B4FF6" w14:textId="77777777">
      <w:pPr>
        <w:pStyle w:val="WitregelW1bodytekst"/>
      </w:pPr>
    </w:p>
    <w:p w:rsidR="00A80029" w:rsidRDefault="00A80029" w14:paraId="66576170" w14:textId="77777777">
      <w:pPr>
        <w:pStyle w:val="Verdana7"/>
      </w:pPr>
    </w:p>
    <w:sectPr w:rsidR="00A80029">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92DC" w14:textId="77777777" w:rsidR="00036B5E" w:rsidRDefault="00036B5E">
      <w:pPr>
        <w:spacing w:line="240" w:lineRule="auto"/>
      </w:pPr>
      <w:r>
        <w:separator/>
      </w:r>
    </w:p>
  </w:endnote>
  <w:endnote w:type="continuationSeparator" w:id="0">
    <w:p w14:paraId="0D133C3B" w14:textId="77777777" w:rsidR="00036B5E" w:rsidRDefault="00036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3204" w14:textId="77777777" w:rsidR="00F3206D" w:rsidRDefault="00D37516">
    <w:pPr>
      <w:pStyle w:val="Voettekst"/>
    </w:pPr>
    <w:r>
      <w:rPr>
        <w:noProof/>
      </w:rPr>
      <mc:AlternateContent>
        <mc:Choice Requires="wps">
          <w:drawing>
            <wp:anchor distT="0" distB="0" distL="0" distR="0" simplePos="0" relativeHeight="251665408" behindDoc="0" locked="0" layoutInCell="1" allowOverlap="1" wp14:anchorId="47804FF7" wp14:editId="20889C30">
              <wp:simplePos x="635" y="635"/>
              <wp:positionH relativeFrom="page">
                <wp:align>left</wp:align>
              </wp:positionH>
              <wp:positionV relativeFrom="page">
                <wp:align>bottom</wp:align>
              </wp:positionV>
              <wp:extent cx="986155" cy="345440"/>
              <wp:effectExtent l="0" t="0" r="4445" b="0"/>
              <wp:wrapNone/>
              <wp:docPr id="107518302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98CE378" w14:textId="77777777" w:rsidR="00D37516" w:rsidRPr="00D37516" w:rsidRDefault="00D37516" w:rsidP="00D37516">
                          <w:pPr>
                            <w:rPr>
                              <w:rFonts w:ascii="Calibri" w:eastAsia="Calibri" w:hAnsi="Calibri" w:cs="Calibri"/>
                              <w:noProof/>
                              <w:sz w:val="20"/>
                              <w:szCs w:val="20"/>
                            </w:rPr>
                          </w:pPr>
                          <w:r w:rsidRPr="00D37516">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804FF7" id="_x0000_t202" coordsize="21600,21600" o:spt="202" path="m,l,21600r21600,l21600,xe">
              <v:stroke joinstyle="miter"/>
              <v:path gradientshapeok="t" o:connecttype="rect"/>
            </v:shapetype>
            <v:shape id="Tekstvak 2" o:spid="_x0000_s1029"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9YEw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" filled="f" stroked="f">
              <v:textbox style="mso-fit-shape-to-text:t" inset="20pt,0,0,15pt">
                <w:txbxContent>
                  <w:p w14:paraId="398CE378" w14:textId="77777777" w:rsidR="00D37516" w:rsidRPr="00D37516" w:rsidRDefault="00D37516" w:rsidP="00D37516">
                    <w:pPr>
                      <w:rPr>
                        <w:rFonts w:ascii="Calibri" w:eastAsia="Calibri" w:hAnsi="Calibri" w:cs="Calibri"/>
                        <w:noProof/>
                        <w:sz w:val="20"/>
                        <w:szCs w:val="20"/>
                      </w:rPr>
                    </w:pPr>
                    <w:r w:rsidRPr="00D37516">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A4E7" w14:textId="77777777" w:rsidR="00F3206D" w:rsidRDefault="00D37516">
    <w:pPr>
      <w:pStyle w:val="Voettekst"/>
    </w:pPr>
    <w:r>
      <w:rPr>
        <w:noProof/>
      </w:rPr>
      <mc:AlternateContent>
        <mc:Choice Requires="wps">
          <w:drawing>
            <wp:anchor distT="0" distB="0" distL="0" distR="0" simplePos="0" relativeHeight="251666432" behindDoc="0" locked="0" layoutInCell="1" allowOverlap="1" wp14:anchorId="33DC8EAB" wp14:editId="2F59F690">
              <wp:simplePos x="1009540" y="10555242"/>
              <wp:positionH relativeFrom="page">
                <wp:align>left</wp:align>
              </wp:positionH>
              <wp:positionV relativeFrom="page">
                <wp:align>bottom</wp:align>
              </wp:positionV>
              <wp:extent cx="986155" cy="345440"/>
              <wp:effectExtent l="0" t="0" r="4445" b="0"/>
              <wp:wrapNone/>
              <wp:docPr id="192019497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6892E01" w14:textId="77777777" w:rsidR="00D37516" w:rsidRPr="00D37516" w:rsidRDefault="00D37516" w:rsidP="00D37516">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C8EAB" id="_x0000_t202" coordsize="21600,21600" o:spt="202" path="m,l,21600r21600,l21600,xe">
              <v:stroke joinstyle="miter"/>
              <v:path gradientshapeok="t" o:connecttype="rect"/>
            </v:shapetype>
            <v:shape id="Tekstvak 3" o:spid="_x0000_s1030"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16892E01" w14:textId="77777777" w:rsidR="00D37516" w:rsidRPr="00D37516" w:rsidRDefault="00D37516" w:rsidP="00D37516">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2A1" w14:textId="77777777" w:rsidR="00F3206D" w:rsidRDefault="00D37516">
    <w:pPr>
      <w:pStyle w:val="Voettekst"/>
    </w:pPr>
    <w:r>
      <w:rPr>
        <w:noProof/>
      </w:rPr>
      <mc:AlternateContent>
        <mc:Choice Requires="wps">
          <w:drawing>
            <wp:anchor distT="0" distB="0" distL="0" distR="0" simplePos="0" relativeHeight="251664384" behindDoc="0" locked="0" layoutInCell="1" allowOverlap="1" wp14:anchorId="5BC3EF5D" wp14:editId="06C2A120">
              <wp:simplePos x="635" y="635"/>
              <wp:positionH relativeFrom="page">
                <wp:align>left</wp:align>
              </wp:positionH>
              <wp:positionV relativeFrom="page">
                <wp:align>bottom</wp:align>
              </wp:positionV>
              <wp:extent cx="986155" cy="345440"/>
              <wp:effectExtent l="0" t="0" r="4445" b="0"/>
              <wp:wrapNone/>
              <wp:docPr id="154753491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9B341DE" w14:textId="77777777" w:rsidR="00D37516" w:rsidRPr="00D37516" w:rsidRDefault="00D37516" w:rsidP="00D37516">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C3EF5D"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39B341DE" w14:textId="77777777" w:rsidR="00D37516" w:rsidRPr="00D37516" w:rsidRDefault="00D37516" w:rsidP="00D37516">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A559" w14:textId="77777777" w:rsidR="00036B5E" w:rsidRDefault="00036B5E">
      <w:pPr>
        <w:spacing w:line="240" w:lineRule="auto"/>
      </w:pPr>
      <w:r>
        <w:separator/>
      </w:r>
    </w:p>
  </w:footnote>
  <w:footnote w:type="continuationSeparator" w:id="0">
    <w:p w14:paraId="41994169" w14:textId="77777777" w:rsidR="00036B5E" w:rsidRDefault="00036B5E">
      <w:pPr>
        <w:spacing w:line="240" w:lineRule="auto"/>
      </w:pPr>
      <w:r>
        <w:continuationSeparator/>
      </w:r>
    </w:p>
  </w:footnote>
  <w:footnote w:id="1">
    <w:p w14:paraId="73ABF009" w14:textId="77777777" w:rsidR="00930D1D" w:rsidRDefault="00930D1D" w:rsidP="00930D1D">
      <w:pPr>
        <w:pStyle w:val="Geenafstand"/>
      </w:pPr>
      <w:r>
        <w:rPr>
          <w:rStyle w:val="Voetnootmarkering"/>
        </w:rPr>
        <w:footnoteRef/>
      </w:r>
      <w:r>
        <w:t xml:space="preserve"> </w:t>
      </w:r>
      <w:r w:rsidRPr="007F775A">
        <w:rPr>
          <w:rFonts w:ascii="Verdana" w:eastAsia="DejaVu Sans" w:hAnsi="Verdana" w:cs="Lohit Hindi"/>
          <w:i/>
          <w:iCs/>
          <w:color w:val="000000"/>
          <w:kern w:val="0"/>
          <w:sz w:val="16"/>
          <w:szCs w:val="16"/>
          <w:lang w:eastAsia="nl-NL"/>
          <w14:ligatures w14:val="none"/>
        </w:rPr>
        <w:t>Kamerstukken II</w:t>
      </w:r>
      <w:r w:rsidRPr="007F775A">
        <w:rPr>
          <w:rFonts w:ascii="Verdana" w:eastAsia="DejaVu Sans" w:hAnsi="Verdana" w:cs="Lohit Hindi"/>
          <w:color w:val="000000"/>
          <w:kern w:val="0"/>
          <w:sz w:val="16"/>
          <w:szCs w:val="16"/>
          <w:lang w:eastAsia="nl-NL"/>
          <w14:ligatures w14:val="none"/>
        </w:rPr>
        <w:t xml:space="preserve"> 2024/25, 27924 nr. 91.</w:t>
      </w:r>
    </w:p>
  </w:footnote>
  <w:footnote w:id="2">
    <w:p w14:paraId="262477F1" w14:textId="77777777" w:rsidR="00752D87" w:rsidRPr="006473AC" w:rsidRDefault="00752D87" w:rsidP="00752D87">
      <w:pPr>
        <w:pStyle w:val="Voetnoottekst"/>
        <w:rPr>
          <w:sz w:val="16"/>
          <w:szCs w:val="16"/>
        </w:rPr>
      </w:pPr>
      <w:r w:rsidRPr="006473AC">
        <w:rPr>
          <w:rStyle w:val="Voetnootmarkering"/>
          <w:sz w:val="16"/>
          <w:szCs w:val="16"/>
        </w:rPr>
        <w:footnoteRef/>
      </w:r>
      <w:r w:rsidRPr="006473AC">
        <w:rPr>
          <w:sz w:val="16"/>
          <w:szCs w:val="16"/>
        </w:rPr>
        <w:t xml:space="preserve"> </w:t>
      </w:r>
      <w:r w:rsidRPr="007F775A">
        <w:rPr>
          <w:i/>
          <w:iCs/>
          <w:sz w:val="16"/>
          <w:szCs w:val="16"/>
        </w:rPr>
        <w:t>Kamerstukken II</w:t>
      </w:r>
      <w:r w:rsidRPr="006473AC">
        <w:rPr>
          <w:sz w:val="16"/>
          <w:szCs w:val="16"/>
        </w:rPr>
        <w:t xml:space="preserve"> 2024/25, 36602, nr. 144.</w:t>
      </w:r>
    </w:p>
  </w:footnote>
  <w:footnote w:id="3">
    <w:p w14:paraId="601A16F7" w14:textId="77777777" w:rsidR="006730AD" w:rsidRDefault="006730AD" w:rsidP="006730AD">
      <w:pPr>
        <w:pStyle w:val="Voetnoottekst"/>
      </w:pPr>
      <w:r>
        <w:rPr>
          <w:rStyle w:val="Voetnootmarkering"/>
        </w:rPr>
        <w:footnoteRef/>
      </w:r>
      <w:r>
        <w:t xml:space="preserve"> </w:t>
      </w:r>
      <w:r w:rsidRPr="005E3CBC">
        <w:rPr>
          <w:sz w:val="16"/>
          <w:szCs w:val="16"/>
        </w:rPr>
        <w:t>Zie tabel 10.6.2 bij de Miljoenennota 2025</w:t>
      </w:r>
    </w:p>
  </w:footnote>
  <w:footnote w:id="4">
    <w:p w14:paraId="63EFE755" w14:textId="77777777" w:rsidR="004A7F79" w:rsidRDefault="004A7F79" w:rsidP="004A7F79">
      <w:pPr>
        <w:pStyle w:val="Voetnoottekst"/>
      </w:pPr>
      <w:r>
        <w:rPr>
          <w:rStyle w:val="Voetnootmarkering"/>
        </w:rPr>
        <w:footnoteRef/>
      </w:r>
      <w:r>
        <w:t xml:space="preserve"> </w:t>
      </w:r>
      <w:r w:rsidRPr="00A9785D">
        <w:rPr>
          <w:sz w:val="16"/>
          <w:szCs w:val="16"/>
        </w:rPr>
        <w:t xml:space="preserve">Het platform Landbouw </w:t>
      </w:r>
      <w:r>
        <w:rPr>
          <w:sz w:val="16"/>
          <w:szCs w:val="16"/>
        </w:rPr>
        <w:t xml:space="preserve">is een gremium waarin </w:t>
      </w:r>
      <w:r w:rsidRPr="001C2AB3">
        <w:rPr>
          <w:sz w:val="16"/>
          <w:szCs w:val="16"/>
        </w:rPr>
        <w:t xml:space="preserve">Land- en Tuinbouw Organisatie Nederland </w:t>
      </w:r>
      <w:r>
        <w:rPr>
          <w:sz w:val="16"/>
          <w:szCs w:val="16"/>
        </w:rPr>
        <w:t>(LTO) met de Belastingdienst in gesprek gaat over, onder andere, mogelijke (fiscale) knelpunten.</w:t>
      </w:r>
    </w:p>
  </w:footnote>
  <w:footnote w:id="5">
    <w:p w14:paraId="058A8D69" w14:textId="77777777" w:rsidR="00F51F1A" w:rsidRPr="002005E7" w:rsidRDefault="00F51F1A">
      <w:pPr>
        <w:pStyle w:val="Voetnoottekst"/>
        <w:rPr>
          <w:sz w:val="16"/>
          <w:szCs w:val="16"/>
        </w:rPr>
      </w:pPr>
      <w:r w:rsidRPr="002005E7">
        <w:rPr>
          <w:rStyle w:val="Voetnootmarkering"/>
          <w:sz w:val="16"/>
          <w:szCs w:val="16"/>
        </w:rPr>
        <w:footnoteRef/>
      </w:r>
      <w:r w:rsidRPr="002005E7">
        <w:rPr>
          <w:sz w:val="16"/>
          <w:szCs w:val="16"/>
        </w:rPr>
        <w:t xml:space="preserve"> De vrijstelling geldt </w:t>
      </w:r>
      <w:r w:rsidRPr="00D47377">
        <w:rPr>
          <w:sz w:val="16"/>
          <w:szCs w:val="16"/>
        </w:rPr>
        <w:t>alleen voor een zgn. “agrarische bedrijfswoning</w:t>
      </w:r>
      <w:r w:rsidR="00D47377">
        <w:rPr>
          <w:sz w:val="16"/>
          <w:szCs w:val="16"/>
        </w:rPr>
        <w:t>en</w:t>
      </w:r>
      <w:r w:rsidRPr="00D47377">
        <w:rPr>
          <w:sz w:val="16"/>
          <w:szCs w:val="16"/>
        </w:rPr>
        <w:t xml:space="preserve">” </w:t>
      </w:r>
      <w:r w:rsidR="00D47377">
        <w:rPr>
          <w:sz w:val="16"/>
          <w:szCs w:val="16"/>
        </w:rPr>
        <w:t xml:space="preserve">en voor </w:t>
      </w:r>
      <w:r w:rsidRPr="00D47377">
        <w:rPr>
          <w:sz w:val="16"/>
          <w:szCs w:val="16"/>
        </w:rPr>
        <w:t>opstal</w:t>
      </w:r>
      <w:r w:rsidR="00D47377">
        <w:rPr>
          <w:sz w:val="16"/>
          <w:szCs w:val="16"/>
        </w:rPr>
        <w:t>len die</w:t>
      </w:r>
      <w:r w:rsidRPr="00D47377">
        <w:rPr>
          <w:sz w:val="16"/>
          <w:szCs w:val="16"/>
        </w:rPr>
        <w:t xml:space="preserve"> geheel of nagenoeg geheel ten behoeve van de landbouw bedrijfsmatig wor</w:t>
      </w:r>
      <w:r w:rsidR="00D47377">
        <w:rPr>
          <w:sz w:val="16"/>
          <w:szCs w:val="16"/>
        </w:rPr>
        <w:t>den</w:t>
      </w:r>
      <w:r w:rsidRPr="00D47377">
        <w:rPr>
          <w:sz w:val="16"/>
          <w:szCs w:val="16"/>
        </w:rPr>
        <w:t xml:space="preserve"> geëxploiteerd</w:t>
      </w:r>
      <w:r w:rsidR="00DA14C2" w:rsidRPr="00D47377">
        <w:rPr>
          <w:sz w:val="16"/>
          <w:szCs w:val="16"/>
        </w:rPr>
        <w:t>.</w:t>
      </w:r>
    </w:p>
  </w:footnote>
  <w:footnote w:id="6">
    <w:p w14:paraId="2F5FAD58" w14:textId="77777777" w:rsidR="00DA14C2" w:rsidRDefault="00DA14C2">
      <w:pPr>
        <w:pStyle w:val="Voetnoottekst"/>
      </w:pPr>
      <w:r w:rsidRPr="002005E7">
        <w:rPr>
          <w:rStyle w:val="Voetnootmarkering"/>
          <w:sz w:val="16"/>
          <w:szCs w:val="16"/>
        </w:rPr>
        <w:footnoteRef/>
      </w:r>
      <w:r w:rsidRPr="002005E7">
        <w:rPr>
          <w:sz w:val="16"/>
          <w:szCs w:val="16"/>
        </w:rPr>
        <w:t xml:space="preserve"> </w:t>
      </w:r>
      <w:r w:rsidR="00D47377">
        <w:rPr>
          <w:sz w:val="16"/>
          <w:szCs w:val="16"/>
        </w:rPr>
        <w:t>Ook moet</w:t>
      </w:r>
      <w:r w:rsidRPr="00D47377">
        <w:rPr>
          <w:sz w:val="16"/>
          <w:szCs w:val="16"/>
        </w:rPr>
        <w:t xml:space="preserve"> de agrarische bedrijfswoning gedurende ten minste tien jaren als zodanig kwalifice</w:t>
      </w:r>
      <w:r w:rsidR="00D47377">
        <w:rPr>
          <w:sz w:val="16"/>
          <w:szCs w:val="16"/>
        </w:rPr>
        <w:t>ren</w:t>
      </w:r>
      <w:r w:rsidRPr="00D47377">
        <w:rPr>
          <w:sz w:val="16"/>
          <w:szCs w:val="16"/>
        </w:rPr>
        <w:t xml:space="preserve"> en de agrarische opstal voor diezelfde termijn </w:t>
      </w:r>
      <w:r w:rsidRPr="002005E7">
        <w:rPr>
          <w:sz w:val="16"/>
          <w:szCs w:val="16"/>
        </w:rPr>
        <w:t xml:space="preserve">bedrijfsmatig </w:t>
      </w:r>
      <w:r w:rsidR="00D47377" w:rsidRPr="002005E7">
        <w:rPr>
          <w:sz w:val="16"/>
          <w:szCs w:val="16"/>
        </w:rPr>
        <w:t xml:space="preserve">geëxploiteerd </w:t>
      </w:r>
      <w:r w:rsidR="00D47377">
        <w:rPr>
          <w:sz w:val="16"/>
          <w:szCs w:val="16"/>
        </w:rPr>
        <w:t xml:space="preserve">worden </w:t>
      </w:r>
      <w:r w:rsidR="00D47377" w:rsidRPr="002005E7">
        <w:rPr>
          <w:sz w:val="16"/>
          <w:szCs w:val="16"/>
        </w:rPr>
        <w:t xml:space="preserve">ten </w:t>
      </w:r>
      <w:r w:rsidRPr="002005E7">
        <w:rPr>
          <w:sz w:val="16"/>
          <w:szCs w:val="16"/>
        </w:rPr>
        <w:t>behoeve van de landbouw</w:t>
      </w:r>
      <w:r w:rsidR="00D47377" w:rsidRPr="002005E7">
        <w:rPr>
          <w:sz w:val="16"/>
          <w:szCs w:val="16"/>
        </w:rPr>
        <w:t>.</w:t>
      </w:r>
    </w:p>
  </w:footnote>
  <w:footnote w:id="7">
    <w:p w14:paraId="0489C54A" w14:textId="77777777" w:rsidR="00752D87" w:rsidRPr="006473AC" w:rsidRDefault="00752D87" w:rsidP="00752D87">
      <w:pPr>
        <w:pStyle w:val="Voetnoottekst"/>
        <w:rPr>
          <w:sz w:val="16"/>
          <w:szCs w:val="16"/>
        </w:rPr>
      </w:pPr>
      <w:r w:rsidRPr="006473AC">
        <w:rPr>
          <w:rStyle w:val="Voetnootmarkering"/>
          <w:sz w:val="16"/>
          <w:szCs w:val="16"/>
        </w:rPr>
        <w:footnoteRef/>
      </w:r>
      <w:r w:rsidRPr="006473AC">
        <w:rPr>
          <w:sz w:val="16"/>
          <w:szCs w:val="16"/>
        </w:rPr>
        <w:t xml:space="preserve"> </w:t>
      </w:r>
      <w:r w:rsidRPr="007F775A">
        <w:rPr>
          <w:i/>
          <w:iCs/>
          <w:sz w:val="16"/>
          <w:szCs w:val="16"/>
        </w:rPr>
        <w:t>Kamerstukken II</w:t>
      </w:r>
      <w:r w:rsidRPr="006473AC">
        <w:rPr>
          <w:sz w:val="16"/>
          <w:szCs w:val="16"/>
        </w:rPr>
        <w:t xml:space="preserve"> 2024/25, 36602, nr. 3.</w:t>
      </w:r>
    </w:p>
  </w:footnote>
  <w:footnote w:id="8">
    <w:p w14:paraId="346263D4" w14:textId="77777777" w:rsidR="00752D87" w:rsidRPr="00185E5F" w:rsidRDefault="00752D87" w:rsidP="00752D87">
      <w:pPr>
        <w:pStyle w:val="Voetnoottekst"/>
      </w:pPr>
      <w:r w:rsidRPr="006473AC">
        <w:rPr>
          <w:rStyle w:val="Voetnootmarkering"/>
          <w:sz w:val="16"/>
          <w:szCs w:val="16"/>
        </w:rPr>
        <w:footnoteRef/>
      </w:r>
      <w:r w:rsidRPr="006473AC">
        <w:rPr>
          <w:sz w:val="16"/>
          <w:szCs w:val="16"/>
        </w:rPr>
        <w:t xml:space="preserve"> </w:t>
      </w:r>
      <w:r w:rsidRPr="007F775A">
        <w:rPr>
          <w:i/>
          <w:iCs/>
          <w:sz w:val="16"/>
          <w:szCs w:val="16"/>
        </w:rPr>
        <w:t>Kamerstukken II</w:t>
      </w:r>
      <w:r w:rsidRPr="006473AC">
        <w:rPr>
          <w:sz w:val="16"/>
          <w:szCs w:val="16"/>
        </w:rPr>
        <w:t xml:space="preserve"> 2024/25, 36602, nr. 86.</w:t>
      </w:r>
    </w:p>
  </w:footnote>
  <w:footnote w:id="9">
    <w:p w14:paraId="3D9C7B7B" w14:textId="77777777" w:rsidR="000170D3" w:rsidRPr="000170D3" w:rsidRDefault="000170D3">
      <w:pPr>
        <w:pStyle w:val="Voetnoottekst"/>
        <w:rPr>
          <w:sz w:val="16"/>
          <w:szCs w:val="16"/>
        </w:rPr>
      </w:pPr>
      <w:r w:rsidRPr="000170D3">
        <w:rPr>
          <w:rStyle w:val="Voetnootmarkering"/>
          <w:sz w:val="16"/>
          <w:szCs w:val="16"/>
        </w:rPr>
        <w:footnoteRef/>
      </w:r>
      <w:r w:rsidRPr="000170D3">
        <w:rPr>
          <w:sz w:val="16"/>
          <w:szCs w:val="16"/>
        </w:rPr>
        <w:t xml:space="preserve"> Artikel 15, eerste lid, onderdeel b, van de Wet </w:t>
      </w:r>
      <w:r w:rsidR="008120BF">
        <w:rPr>
          <w:sz w:val="16"/>
          <w:szCs w:val="16"/>
        </w:rPr>
        <w:t xml:space="preserve">op </w:t>
      </w:r>
      <w:r w:rsidRPr="000170D3">
        <w:rPr>
          <w:sz w:val="16"/>
          <w:szCs w:val="16"/>
        </w:rPr>
        <w:t>belast</w:t>
      </w:r>
      <w:r w:rsidR="008120BF">
        <w:rPr>
          <w:sz w:val="16"/>
          <w:szCs w:val="16"/>
        </w:rPr>
        <w:t>ingen</w:t>
      </w:r>
      <w:r w:rsidRPr="000170D3">
        <w:rPr>
          <w:sz w:val="16"/>
          <w:szCs w:val="16"/>
        </w:rPr>
        <w:t xml:space="preserve"> van rechtsverkeer (WBR).</w:t>
      </w:r>
    </w:p>
  </w:footnote>
  <w:footnote w:id="10">
    <w:p w14:paraId="3739F1C1" w14:textId="77777777" w:rsidR="00BE5B79" w:rsidRPr="00A2192F" w:rsidRDefault="00BE5B79">
      <w:pPr>
        <w:pStyle w:val="Voetnoottekst"/>
        <w:rPr>
          <w:sz w:val="16"/>
          <w:szCs w:val="16"/>
        </w:rPr>
      </w:pPr>
      <w:r w:rsidRPr="00A2192F">
        <w:rPr>
          <w:rStyle w:val="Voetnootmarkering"/>
          <w:sz w:val="16"/>
          <w:szCs w:val="16"/>
        </w:rPr>
        <w:footnoteRef/>
      </w:r>
      <w:r w:rsidRPr="00A2192F">
        <w:rPr>
          <w:sz w:val="16"/>
          <w:szCs w:val="16"/>
        </w:rPr>
        <w:t xml:space="preserve"> Zie het toenmalige artikel 101, eerste lid, onderdeel b, van de Registratiewet 1917.</w:t>
      </w:r>
    </w:p>
  </w:footnote>
  <w:footnote w:id="11">
    <w:p w14:paraId="44FC4B4F" w14:textId="77777777" w:rsidR="00A2192F" w:rsidRPr="00A2192F" w:rsidRDefault="00A2192F">
      <w:pPr>
        <w:pStyle w:val="Voetnoottekst"/>
        <w:rPr>
          <w:sz w:val="16"/>
          <w:szCs w:val="16"/>
        </w:rPr>
      </w:pPr>
      <w:r w:rsidRPr="00A2192F">
        <w:rPr>
          <w:rStyle w:val="Voetnootmarkering"/>
          <w:sz w:val="16"/>
          <w:szCs w:val="16"/>
        </w:rPr>
        <w:footnoteRef/>
      </w:r>
      <w:r w:rsidRPr="00A2192F">
        <w:rPr>
          <w:sz w:val="16"/>
          <w:szCs w:val="16"/>
        </w:rPr>
        <w:t xml:space="preserve"> </w:t>
      </w:r>
      <w:r w:rsidRPr="00BB277C">
        <w:rPr>
          <w:i/>
          <w:iCs/>
          <w:sz w:val="16"/>
          <w:szCs w:val="16"/>
        </w:rPr>
        <w:t>Kamerstukken II</w:t>
      </w:r>
      <w:r w:rsidRPr="00A2192F">
        <w:rPr>
          <w:sz w:val="16"/>
          <w:szCs w:val="16"/>
        </w:rPr>
        <w:t xml:space="preserve"> 1967/1968, 9324, nr. 3, p. 39.</w:t>
      </w:r>
    </w:p>
  </w:footnote>
  <w:footnote w:id="12">
    <w:p w14:paraId="1DE1F982" w14:textId="77777777" w:rsidR="00A2192F" w:rsidRPr="00326BF6" w:rsidRDefault="00A2192F">
      <w:pPr>
        <w:pStyle w:val="Voetnoottekst"/>
        <w:rPr>
          <w:sz w:val="16"/>
          <w:szCs w:val="16"/>
        </w:rPr>
      </w:pPr>
      <w:r w:rsidRPr="00326BF6">
        <w:rPr>
          <w:rStyle w:val="Voetnootmarkering"/>
          <w:sz w:val="16"/>
          <w:szCs w:val="16"/>
        </w:rPr>
        <w:footnoteRef/>
      </w:r>
      <w:r w:rsidRPr="00326BF6">
        <w:rPr>
          <w:sz w:val="16"/>
          <w:szCs w:val="16"/>
        </w:rPr>
        <w:t xml:space="preserve"> </w:t>
      </w:r>
      <w:r w:rsidRPr="00BB277C">
        <w:rPr>
          <w:i/>
          <w:iCs/>
          <w:sz w:val="16"/>
          <w:szCs w:val="16"/>
        </w:rPr>
        <w:t>Kamerstukken II</w:t>
      </w:r>
      <w:r w:rsidRPr="00326BF6">
        <w:rPr>
          <w:sz w:val="16"/>
          <w:szCs w:val="16"/>
        </w:rPr>
        <w:t xml:space="preserve"> 1967/1968, 9324, nr. 83.</w:t>
      </w:r>
    </w:p>
  </w:footnote>
  <w:footnote w:id="13">
    <w:p w14:paraId="012DA19C" w14:textId="77777777" w:rsidR="00326BF6" w:rsidRPr="00EE41F6" w:rsidRDefault="00326BF6">
      <w:pPr>
        <w:pStyle w:val="Voetnoottekst"/>
        <w:rPr>
          <w:sz w:val="16"/>
          <w:szCs w:val="16"/>
        </w:rPr>
      </w:pPr>
      <w:r w:rsidRPr="00EE41F6">
        <w:rPr>
          <w:rStyle w:val="Voetnootmarkering"/>
          <w:sz w:val="16"/>
          <w:szCs w:val="16"/>
        </w:rPr>
        <w:footnoteRef/>
      </w:r>
      <w:r w:rsidRPr="00EE41F6">
        <w:rPr>
          <w:sz w:val="16"/>
          <w:szCs w:val="16"/>
        </w:rPr>
        <w:t xml:space="preserve"> Hof Den Bosch 6 december 2004, ECLI:</w:t>
      </w:r>
      <w:proofErr w:type="gramStart"/>
      <w:r w:rsidRPr="00EE41F6">
        <w:rPr>
          <w:sz w:val="16"/>
          <w:szCs w:val="16"/>
        </w:rPr>
        <w:t>NL:GHSHE</w:t>
      </w:r>
      <w:proofErr w:type="gramEnd"/>
      <w:r w:rsidRPr="00EE41F6">
        <w:rPr>
          <w:sz w:val="16"/>
          <w:szCs w:val="16"/>
        </w:rPr>
        <w:t>:2004:AS5538, NTFR 2005/262.</w:t>
      </w:r>
    </w:p>
  </w:footnote>
  <w:footnote w:id="14">
    <w:p w14:paraId="4E9D85AF" w14:textId="77777777" w:rsidR="00EE41F6" w:rsidRPr="0088625F" w:rsidRDefault="00EE41F6">
      <w:pPr>
        <w:pStyle w:val="Voetnoottekst"/>
        <w:rPr>
          <w:sz w:val="16"/>
          <w:szCs w:val="16"/>
        </w:rPr>
      </w:pPr>
      <w:r w:rsidRPr="0088625F">
        <w:rPr>
          <w:rStyle w:val="Voetnootmarkering"/>
          <w:sz w:val="16"/>
          <w:szCs w:val="16"/>
        </w:rPr>
        <w:footnoteRef/>
      </w:r>
      <w:r w:rsidRPr="0088625F">
        <w:rPr>
          <w:sz w:val="16"/>
          <w:szCs w:val="16"/>
        </w:rPr>
        <w:t xml:space="preserve"> </w:t>
      </w:r>
      <w:r w:rsidR="0021645C" w:rsidRPr="0088625F">
        <w:rPr>
          <w:i/>
          <w:iCs/>
          <w:sz w:val="16"/>
          <w:szCs w:val="16"/>
        </w:rPr>
        <w:t xml:space="preserve">Kamerstukken II </w:t>
      </w:r>
      <w:r w:rsidR="0021645C" w:rsidRPr="0088625F">
        <w:rPr>
          <w:sz w:val="16"/>
          <w:szCs w:val="16"/>
        </w:rPr>
        <w:t>2005/2006, 30306, nr. 3, p. 11.</w:t>
      </w:r>
    </w:p>
  </w:footnote>
  <w:footnote w:id="15">
    <w:p w14:paraId="0C1E6445" w14:textId="77777777" w:rsidR="00BB277C" w:rsidRPr="0088625F" w:rsidRDefault="00BB277C">
      <w:pPr>
        <w:pStyle w:val="Voetnoottekst"/>
        <w:rPr>
          <w:sz w:val="16"/>
          <w:szCs w:val="16"/>
        </w:rPr>
      </w:pPr>
      <w:r w:rsidRPr="0088625F">
        <w:rPr>
          <w:rStyle w:val="Voetnootmarkering"/>
          <w:sz w:val="16"/>
          <w:szCs w:val="16"/>
        </w:rPr>
        <w:footnoteRef/>
      </w:r>
      <w:r w:rsidRPr="0088625F">
        <w:rPr>
          <w:sz w:val="16"/>
          <w:szCs w:val="16"/>
        </w:rPr>
        <w:t xml:space="preserve"> </w:t>
      </w:r>
      <w:r w:rsidRPr="0088625F">
        <w:rPr>
          <w:i/>
          <w:iCs/>
          <w:sz w:val="16"/>
          <w:szCs w:val="16"/>
        </w:rPr>
        <w:t>Kamerstukken II</w:t>
      </w:r>
      <w:r w:rsidRPr="0088625F">
        <w:rPr>
          <w:sz w:val="16"/>
          <w:szCs w:val="16"/>
        </w:rPr>
        <w:t xml:space="preserve"> 2004/2005, 28207, nr. 10.</w:t>
      </w:r>
    </w:p>
  </w:footnote>
  <w:footnote w:id="16">
    <w:p w14:paraId="04F953E8" w14:textId="77777777" w:rsidR="0088625F" w:rsidRPr="0088625F" w:rsidRDefault="0088625F">
      <w:pPr>
        <w:pStyle w:val="Voetnoottekst"/>
        <w:rPr>
          <w:sz w:val="16"/>
          <w:szCs w:val="16"/>
        </w:rPr>
      </w:pPr>
      <w:r w:rsidRPr="0088625F">
        <w:rPr>
          <w:rStyle w:val="Voetnootmarkering"/>
          <w:sz w:val="16"/>
          <w:szCs w:val="16"/>
        </w:rPr>
        <w:footnoteRef/>
      </w:r>
      <w:r w:rsidRPr="0088625F">
        <w:rPr>
          <w:sz w:val="16"/>
          <w:szCs w:val="16"/>
        </w:rPr>
        <w:t xml:space="preserve"> </w:t>
      </w:r>
      <w:r w:rsidRPr="0088625F">
        <w:rPr>
          <w:i/>
          <w:iCs/>
          <w:sz w:val="16"/>
          <w:szCs w:val="16"/>
        </w:rPr>
        <w:t xml:space="preserve">Kamerstukken II </w:t>
      </w:r>
      <w:r w:rsidRPr="0088625F">
        <w:rPr>
          <w:sz w:val="16"/>
          <w:szCs w:val="16"/>
        </w:rPr>
        <w:t xml:space="preserve">2005/2006, 30306, nr. </w:t>
      </w:r>
      <w:r>
        <w:rPr>
          <w:sz w:val="16"/>
          <w:szCs w:val="16"/>
        </w:rPr>
        <w:t>11</w:t>
      </w:r>
      <w:r w:rsidRPr="0088625F">
        <w:rPr>
          <w:sz w:val="16"/>
          <w:szCs w:val="16"/>
        </w:rPr>
        <w:t xml:space="preserve">, p. </w:t>
      </w:r>
      <w:r>
        <w:rPr>
          <w:sz w:val="16"/>
          <w:szCs w:val="16"/>
        </w:rPr>
        <w:t>9</w:t>
      </w:r>
      <w:r w:rsidRPr="0088625F">
        <w:rPr>
          <w:sz w:val="16"/>
          <w:szCs w:val="16"/>
        </w:rPr>
        <w:t>.</w:t>
      </w:r>
    </w:p>
  </w:footnote>
  <w:footnote w:id="17">
    <w:p w14:paraId="6C149E88" w14:textId="77777777" w:rsidR="00975158" w:rsidRPr="00487B71" w:rsidRDefault="00975158" w:rsidP="00975158">
      <w:pPr>
        <w:pStyle w:val="Voetnoottekst"/>
        <w:rPr>
          <w:sz w:val="16"/>
          <w:szCs w:val="16"/>
        </w:rPr>
      </w:pPr>
      <w:r w:rsidRPr="00487B71">
        <w:rPr>
          <w:rStyle w:val="Voetnootmarkering"/>
          <w:sz w:val="16"/>
          <w:szCs w:val="16"/>
        </w:rPr>
        <w:footnoteRef/>
      </w:r>
      <w:r w:rsidRPr="00487B71">
        <w:rPr>
          <w:sz w:val="16"/>
          <w:szCs w:val="16"/>
        </w:rPr>
        <w:t xml:space="preserve"> </w:t>
      </w:r>
      <w:proofErr w:type="gramStart"/>
      <w:r w:rsidR="002005E7" w:rsidRPr="002005E7">
        <w:rPr>
          <w:sz w:val="16"/>
          <w:szCs w:val="16"/>
        </w:rPr>
        <w:t>https://rbv.rijksfinancien.nl/modellen/2025/overig/4.55</w:t>
      </w:r>
      <w:proofErr w:type="gramEnd"/>
      <w:r w:rsidR="002005E7">
        <w:rPr>
          <w:sz w:val="16"/>
          <w:szCs w:val="16"/>
        </w:rPr>
        <w:t xml:space="preserve"> (</w:t>
      </w:r>
      <w:r w:rsidRPr="002005E7">
        <w:rPr>
          <w:sz w:val="16"/>
          <w:szCs w:val="16"/>
        </w:rPr>
        <w:t>Model 4.55 - Toetsingskader fiscale regelingen | Rijksbegrotingsvoorschriften</w:t>
      </w:r>
      <w:r w:rsidR="002005E7">
        <w:rPr>
          <w:sz w:val="16"/>
          <w:szCs w:val="16"/>
        </w:rPr>
        <w:t>)</w:t>
      </w:r>
    </w:p>
  </w:footnote>
  <w:footnote w:id="18">
    <w:p w14:paraId="6E12AA89" w14:textId="77777777" w:rsidR="005F5F11" w:rsidRPr="008973F1" w:rsidRDefault="005F5F11" w:rsidP="005F5F11">
      <w:pPr>
        <w:pStyle w:val="Voetnoottekst"/>
        <w:rPr>
          <w:sz w:val="16"/>
          <w:szCs w:val="16"/>
        </w:rPr>
      </w:pPr>
      <w:r w:rsidRPr="008973F1">
        <w:rPr>
          <w:rStyle w:val="Voetnootmarkering"/>
          <w:sz w:val="16"/>
          <w:szCs w:val="16"/>
        </w:rPr>
        <w:footnoteRef/>
      </w:r>
      <w:r w:rsidRPr="008973F1">
        <w:rPr>
          <w:sz w:val="16"/>
          <w:szCs w:val="16"/>
        </w:rPr>
        <w:t xml:space="preserve"> Hof Den Bosch 6 december 2004, </w:t>
      </w:r>
      <w:r w:rsidRPr="002005E7">
        <w:rPr>
          <w:sz w:val="16"/>
          <w:szCs w:val="16"/>
        </w:rPr>
        <w:t>ECLI:</w:t>
      </w:r>
      <w:proofErr w:type="gramStart"/>
      <w:r w:rsidRPr="002005E7">
        <w:rPr>
          <w:sz w:val="16"/>
          <w:szCs w:val="16"/>
        </w:rPr>
        <w:t>NL:GHSHE</w:t>
      </w:r>
      <w:proofErr w:type="gramEnd"/>
      <w:r w:rsidRPr="002005E7">
        <w:rPr>
          <w:sz w:val="16"/>
          <w:szCs w:val="16"/>
        </w:rPr>
        <w:t>:2004:AS5538</w:t>
      </w:r>
      <w:r w:rsidRPr="008973F1">
        <w:rPr>
          <w:sz w:val="16"/>
          <w:szCs w:val="16"/>
        </w:rPr>
        <w:t>, NTFR 2005/262.</w:t>
      </w:r>
    </w:p>
  </w:footnote>
  <w:footnote w:id="19">
    <w:p w14:paraId="5D252F98" w14:textId="77777777" w:rsidR="00147FDE" w:rsidRPr="00CE4174" w:rsidRDefault="00147FDE" w:rsidP="00147FDE">
      <w:pPr>
        <w:pStyle w:val="Voetnoottekst"/>
        <w:rPr>
          <w:sz w:val="16"/>
          <w:szCs w:val="16"/>
        </w:rPr>
      </w:pPr>
      <w:r w:rsidRPr="00CE4174">
        <w:rPr>
          <w:rStyle w:val="Voetnootmarkering"/>
          <w:sz w:val="16"/>
          <w:szCs w:val="16"/>
        </w:rPr>
        <w:footnoteRef/>
      </w:r>
      <w:r w:rsidRPr="00CE4174">
        <w:rPr>
          <w:sz w:val="16"/>
          <w:szCs w:val="16"/>
        </w:rPr>
        <w:t xml:space="preserve"> </w:t>
      </w:r>
      <w:r>
        <w:rPr>
          <w:sz w:val="16"/>
          <w:szCs w:val="16"/>
        </w:rPr>
        <w:t>Artikel 5a AWR: de echtgenoot en de ongehuwd meerderjarige waarmee de belastingplichtige een notarieel samenlevingscontract heeft en ingeschreven staat op hetzelfde woonadres in de BRP.</w:t>
      </w:r>
    </w:p>
  </w:footnote>
  <w:footnote w:id="20">
    <w:p w14:paraId="769FD4B9" w14:textId="77777777" w:rsidR="00146018" w:rsidRDefault="00146018" w:rsidP="00146018">
      <w:pPr>
        <w:pStyle w:val="Voetnoottekst"/>
      </w:pPr>
      <w:r>
        <w:rPr>
          <w:rStyle w:val="Voetnootmarkering"/>
        </w:rPr>
        <w:footnoteRef/>
      </w:r>
      <w:r>
        <w:t xml:space="preserve"> </w:t>
      </w:r>
      <w:r w:rsidRPr="005E3CBC">
        <w:rPr>
          <w:sz w:val="16"/>
          <w:szCs w:val="16"/>
        </w:rPr>
        <w:t>Kamerstukken II 2005/06, 30572, nr.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1F80" w14:textId="77777777" w:rsidR="00A80029" w:rsidRDefault="000626AB">
    <w:r>
      <w:rPr>
        <w:noProof/>
      </w:rPr>
      <mc:AlternateContent>
        <mc:Choice Requires="wps">
          <w:drawing>
            <wp:anchor distT="0" distB="0" distL="0" distR="0" simplePos="0" relativeHeight="251652096" behindDoc="0" locked="1" layoutInCell="1" allowOverlap="1" wp14:anchorId="53747E56" wp14:editId="371F7EA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3455821" w14:textId="77777777" w:rsidR="00A80029" w:rsidRDefault="000626AB">
                          <w:pPr>
                            <w:pStyle w:val="StandaardReferentiegegevensKop"/>
                          </w:pPr>
                          <w:r>
                            <w:t>Directie Verbruiksbelastingen, Douane en Internationale aangelegenheden</w:t>
                          </w:r>
                        </w:p>
                        <w:p w14:paraId="2652D01E" w14:textId="77777777" w:rsidR="00A80029" w:rsidRDefault="00A80029">
                          <w:pPr>
                            <w:pStyle w:val="WitregelW1"/>
                          </w:pPr>
                        </w:p>
                        <w:p w14:paraId="5206D87A" w14:textId="77777777" w:rsidR="00A80029" w:rsidRDefault="000626AB">
                          <w:pPr>
                            <w:pStyle w:val="StandaardReferentiegegevensKop"/>
                          </w:pPr>
                          <w:r>
                            <w:t>Ons kenmerk</w:t>
                          </w:r>
                        </w:p>
                        <w:p w14:paraId="6BABA865" w14:textId="3A8E4B20" w:rsidR="002F15D4" w:rsidRDefault="00370D03">
                          <w:pPr>
                            <w:pStyle w:val="StandaardReferentiegegevens"/>
                          </w:pPr>
                          <w:r>
                            <w:fldChar w:fldCharType="begin"/>
                          </w:r>
                          <w:r>
                            <w:instrText xml:space="preserve"> DOCPROPERTY  "Kenmerk"  \* MERGEFORMAT </w:instrText>
                          </w:r>
                          <w:r>
                            <w:fldChar w:fldCharType="separate"/>
                          </w:r>
                          <w:r>
                            <w:t>2025-0000194220</w:t>
                          </w:r>
                          <w:r>
                            <w:fldChar w:fldCharType="end"/>
                          </w:r>
                        </w:p>
                      </w:txbxContent>
                    </wps:txbx>
                    <wps:bodyPr vert="horz" wrap="square" lIns="0" tIns="0" rIns="0" bIns="0" anchor="t" anchorCtr="0"/>
                  </wps:wsp>
                </a:graphicData>
              </a:graphic>
            </wp:anchor>
          </w:drawing>
        </mc:Choice>
        <mc:Fallback>
          <w:pict>
            <v:shapetype w14:anchorId="53747E5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3455821" w14:textId="77777777" w:rsidR="00A80029" w:rsidRDefault="000626AB">
                    <w:pPr>
                      <w:pStyle w:val="StandaardReferentiegegevensKop"/>
                    </w:pPr>
                    <w:r>
                      <w:t>Directie Verbruiksbelastingen, Douane en Internationale aangelegenheden</w:t>
                    </w:r>
                  </w:p>
                  <w:p w14:paraId="2652D01E" w14:textId="77777777" w:rsidR="00A80029" w:rsidRDefault="00A80029">
                    <w:pPr>
                      <w:pStyle w:val="WitregelW1"/>
                    </w:pPr>
                  </w:p>
                  <w:p w14:paraId="5206D87A" w14:textId="77777777" w:rsidR="00A80029" w:rsidRDefault="000626AB">
                    <w:pPr>
                      <w:pStyle w:val="StandaardReferentiegegevensKop"/>
                    </w:pPr>
                    <w:r>
                      <w:t>Ons kenmerk</w:t>
                    </w:r>
                  </w:p>
                  <w:p w14:paraId="6BABA865" w14:textId="3A8E4B20" w:rsidR="002F15D4" w:rsidRDefault="00370D03">
                    <w:pPr>
                      <w:pStyle w:val="StandaardReferentiegegevens"/>
                    </w:pPr>
                    <w:r>
                      <w:fldChar w:fldCharType="begin"/>
                    </w:r>
                    <w:r>
                      <w:instrText xml:space="preserve"> DOCPROPERTY  "Kenmerk"  \* MERGEFORMAT </w:instrText>
                    </w:r>
                    <w:r>
                      <w:fldChar w:fldCharType="separate"/>
                    </w:r>
                    <w:r>
                      <w:t>2025-0000194220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4AF5EE" wp14:editId="2CC991D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3A734B" w14:textId="77777777" w:rsidR="002F15D4" w:rsidRDefault="00370D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4AF5EE"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A3A734B" w14:textId="77777777" w:rsidR="002F15D4" w:rsidRDefault="00370D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EBB70C" wp14:editId="2CDA231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F738148" w14:textId="079F8320" w:rsidR="002F15D4" w:rsidRDefault="00370D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BEBB70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F738148" w14:textId="079F8320" w:rsidR="002F15D4" w:rsidRDefault="00370D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3DE" w14:textId="77777777" w:rsidR="00A80029" w:rsidRDefault="000626AB">
    <w:pPr>
      <w:spacing w:after="7029" w:line="14" w:lineRule="exact"/>
    </w:pPr>
    <w:r>
      <w:rPr>
        <w:noProof/>
      </w:rPr>
      <mc:AlternateContent>
        <mc:Choice Requires="wps">
          <w:drawing>
            <wp:anchor distT="0" distB="0" distL="0" distR="0" simplePos="0" relativeHeight="251655168" behindDoc="0" locked="1" layoutInCell="1" allowOverlap="1" wp14:anchorId="2954ADE2" wp14:editId="309F7A1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13A8278" w14:textId="77777777" w:rsidR="00A80029" w:rsidRDefault="000626AB">
                          <w:pPr>
                            <w:spacing w:line="240" w:lineRule="auto"/>
                          </w:pPr>
                          <w:r>
                            <w:rPr>
                              <w:noProof/>
                            </w:rPr>
                            <w:drawing>
                              <wp:inline distT="0" distB="0" distL="0" distR="0" wp14:anchorId="657BEF22" wp14:editId="5E91E7C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54ADE2" id="_x0000_t202" coordsize="21600,21600" o:spt="202" path="m,l,21600r21600,l21600,xe">
              <v:stroke joinstyle="miter"/>
              <v:path gradientshapeok="t" o:connecttype="rect"/>
            </v:shapetype>
            <v:shape id="bd4a8ef7-03a6-11ee-8f29-0242ac130005" o:spid="_x0000_s1031"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HqHSG6VAQAAFQMAAA4A&#10;AAAAAAAAAAAAAAAALgIAAGRycy9lMm9Eb2MueG1sUEsBAi0AFAAGAAgAAAAhAEehzSjdAAAACQEA&#10;AA8AAAAAAAAAAAAAAAAA7wMAAGRycy9kb3ducmV2LnhtbFBLBQYAAAAABAAEAPMAAAD5BAAAAAA=&#10;" filled="f" stroked="f">
              <v:textbox inset="0,0,0,0">
                <w:txbxContent>
                  <w:p w14:paraId="213A8278" w14:textId="77777777" w:rsidR="00A80029" w:rsidRDefault="000626AB">
                    <w:pPr>
                      <w:spacing w:line="240" w:lineRule="auto"/>
                    </w:pPr>
                    <w:r>
                      <w:rPr>
                        <w:noProof/>
                      </w:rPr>
                      <w:drawing>
                        <wp:inline distT="0" distB="0" distL="0" distR="0" wp14:anchorId="657BEF22" wp14:editId="5E91E7CE">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11B86AA" wp14:editId="480A1E7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E3539E1" w14:textId="77777777" w:rsidR="000626AB" w:rsidRDefault="000626AB"/>
                      </w:txbxContent>
                    </wps:txbx>
                    <wps:bodyPr vert="horz" wrap="square" lIns="0" tIns="0" rIns="0" bIns="0" anchor="t" anchorCtr="0"/>
                  </wps:wsp>
                </a:graphicData>
              </a:graphic>
            </wp:anchor>
          </w:drawing>
        </mc:Choice>
        <mc:Fallback>
          <w:pict>
            <v:shape w14:anchorId="711B86AA" id="bd5d5767-03a6-11ee-8f29-0242ac130005" o:spid="_x0000_s1032"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CvulImlQEAABQDAAAO&#10;AAAAAAAAAAAAAAAAAC4CAABkcnMvZTJvRG9jLnhtbFBLAQItABQABgAIAAAAIQAu6ZuM3gAAAAgB&#10;AAAPAAAAAAAAAAAAAAAAAO8DAABkcnMvZG93bnJldi54bWxQSwUGAAAAAAQABADzAAAA+gQAAAAA&#10;" filled="f" stroked="f">
              <v:textbox inset="0,0,0,0">
                <w:txbxContent>
                  <w:p w14:paraId="4E3539E1" w14:textId="77777777" w:rsidR="000626AB" w:rsidRDefault="000626A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3ECA77" wp14:editId="4EEA02E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C8F832B" w14:textId="77777777" w:rsidR="00A80029" w:rsidRDefault="000626AB">
                          <w:pPr>
                            <w:pStyle w:val="StandaardReferentiegegevensKop"/>
                          </w:pPr>
                          <w:r>
                            <w:t>Directie Verbruiksbelastingen, Douane en Internationale aangelegenheden</w:t>
                          </w:r>
                        </w:p>
                        <w:p w14:paraId="48A7BD98" w14:textId="77777777" w:rsidR="00A80029" w:rsidRDefault="00A80029">
                          <w:pPr>
                            <w:pStyle w:val="WitregelW1"/>
                          </w:pPr>
                        </w:p>
                        <w:p w14:paraId="66215A2A" w14:textId="77777777" w:rsidR="00A80029" w:rsidRDefault="000626AB">
                          <w:pPr>
                            <w:pStyle w:val="StandaardReferentiegegevens"/>
                          </w:pPr>
                          <w:r>
                            <w:t>Korte Voorhout 7</w:t>
                          </w:r>
                        </w:p>
                        <w:p w14:paraId="288CF751" w14:textId="77777777" w:rsidR="00A80029" w:rsidRDefault="000626AB">
                          <w:pPr>
                            <w:pStyle w:val="StandaardReferentiegegevens"/>
                          </w:pPr>
                          <w:r>
                            <w:t>2511 CW  's-Gravenhage</w:t>
                          </w:r>
                        </w:p>
                        <w:p w14:paraId="42F8B425" w14:textId="77777777" w:rsidR="00A80029" w:rsidRDefault="000626AB">
                          <w:pPr>
                            <w:pStyle w:val="StandaardReferentiegegevens"/>
                          </w:pPr>
                          <w:r>
                            <w:t>POSTBUS 20201</w:t>
                          </w:r>
                        </w:p>
                        <w:p w14:paraId="5A23C17D" w14:textId="77777777" w:rsidR="00A80029" w:rsidRPr="00374654" w:rsidRDefault="000626AB">
                          <w:pPr>
                            <w:pStyle w:val="StandaardReferentiegegevens"/>
                            <w:rPr>
                              <w:lang w:val="es-ES"/>
                            </w:rPr>
                          </w:pPr>
                          <w:r w:rsidRPr="00374654">
                            <w:rPr>
                              <w:lang w:val="es-ES"/>
                            </w:rPr>
                            <w:t xml:space="preserve">2500 </w:t>
                          </w:r>
                          <w:proofErr w:type="gramStart"/>
                          <w:r w:rsidRPr="00374654">
                            <w:rPr>
                              <w:lang w:val="es-ES"/>
                            </w:rPr>
                            <w:t>EE  '</w:t>
                          </w:r>
                          <w:proofErr w:type="gramEnd"/>
                          <w:r w:rsidRPr="00374654">
                            <w:rPr>
                              <w:lang w:val="es-ES"/>
                            </w:rPr>
                            <w:t>s-</w:t>
                          </w:r>
                          <w:proofErr w:type="spellStart"/>
                          <w:r w:rsidRPr="00374654">
                            <w:rPr>
                              <w:lang w:val="es-ES"/>
                            </w:rPr>
                            <w:t>Gravenhage</w:t>
                          </w:r>
                          <w:proofErr w:type="spellEnd"/>
                        </w:p>
                        <w:p w14:paraId="28C2AE48" w14:textId="77777777" w:rsidR="00A80029" w:rsidRPr="00374654" w:rsidRDefault="000626AB">
                          <w:pPr>
                            <w:pStyle w:val="StandaardReferentiegegevens"/>
                            <w:rPr>
                              <w:lang w:val="es-ES"/>
                            </w:rPr>
                          </w:pPr>
                          <w:r w:rsidRPr="00374654">
                            <w:rPr>
                              <w:lang w:val="es-ES"/>
                            </w:rPr>
                            <w:t>www.rijksoverheid.nl/fin</w:t>
                          </w:r>
                        </w:p>
                        <w:p w14:paraId="4FA4B9C7" w14:textId="77777777" w:rsidR="00A80029" w:rsidRPr="00374654" w:rsidRDefault="00A80029">
                          <w:pPr>
                            <w:pStyle w:val="WitregelW2"/>
                            <w:rPr>
                              <w:lang w:val="es-ES"/>
                            </w:rPr>
                          </w:pPr>
                        </w:p>
                        <w:p w14:paraId="7D77D4EA" w14:textId="77777777" w:rsidR="00A80029" w:rsidRDefault="000626AB">
                          <w:pPr>
                            <w:pStyle w:val="StandaardReferentiegegevensKop"/>
                          </w:pPr>
                          <w:r>
                            <w:t>Ons kenmerk</w:t>
                          </w:r>
                        </w:p>
                        <w:p w14:paraId="79301C1A" w14:textId="08851ABD" w:rsidR="002F15D4" w:rsidRDefault="00370D03">
                          <w:pPr>
                            <w:pStyle w:val="StandaardReferentiegegevens"/>
                          </w:pPr>
                          <w:r>
                            <w:fldChar w:fldCharType="begin"/>
                          </w:r>
                          <w:r>
                            <w:instrText xml:space="preserve"> DOCPROPERTY  "Kenmerk"  \* MERGEFORMAT </w:instrText>
                          </w:r>
                          <w:r>
                            <w:fldChar w:fldCharType="separate"/>
                          </w:r>
                          <w:r>
                            <w:t>2025-0000194220</w:t>
                          </w:r>
                          <w:r>
                            <w:fldChar w:fldCharType="end"/>
                          </w:r>
                        </w:p>
                        <w:p w14:paraId="45B2FE77" w14:textId="77777777" w:rsidR="00A80029" w:rsidRDefault="00A80029">
                          <w:pPr>
                            <w:pStyle w:val="WitregelW1"/>
                          </w:pPr>
                        </w:p>
                        <w:p w14:paraId="7ED90028" w14:textId="77777777" w:rsidR="00A80029" w:rsidRDefault="000626AB">
                          <w:pPr>
                            <w:pStyle w:val="StandaardReferentiegegevensKop"/>
                          </w:pPr>
                          <w:r>
                            <w:t>Uw brief (kenmerk)</w:t>
                          </w:r>
                        </w:p>
                        <w:p w14:paraId="65E7F212" w14:textId="6AFDE378" w:rsidR="002F15D4" w:rsidRDefault="00370D03">
                          <w:pPr>
                            <w:pStyle w:val="StandaardReferentiegegevens"/>
                          </w:pPr>
                          <w:r>
                            <w:fldChar w:fldCharType="begin"/>
                          </w:r>
                          <w:r>
                            <w:instrText xml:space="preserve"> DOCPROPERTY  "UwKenmerk"  \* MERGEFORMAT </w:instrText>
                          </w:r>
                          <w:r>
                            <w:fldChar w:fldCharType="end"/>
                          </w:r>
                        </w:p>
                        <w:p w14:paraId="0E3E79FA" w14:textId="77777777" w:rsidR="00A80029" w:rsidRDefault="00A80029">
                          <w:pPr>
                            <w:pStyle w:val="WitregelW1"/>
                          </w:pPr>
                        </w:p>
                        <w:p w14:paraId="0DDA32B5" w14:textId="77777777" w:rsidR="00A80029" w:rsidRDefault="000626AB">
                          <w:pPr>
                            <w:pStyle w:val="StandaardReferentiegegevensKop"/>
                          </w:pPr>
                          <w:r>
                            <w:t>Bijlagen</w:t>
                          </w:r>
                        </w:p>
                        <w:p w14:paraId="06D7F6CA" w14:textId="77777777" w:rsidR="00A80029" w:rsidRDefault="000626AB">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73ECA77" id="bd4a91e7-03a6-11ee-8f29-0242ac130005" o:spid="_x0000_s1033"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" filled="f" stroked="f">
              <v:textbox inset="0,0,0,0">
                <w:txbxContent>
                  <w:p w14:paraId="1C8F832B" w14:textId="77777777" w:rsidR="00A80029" w:rsidRDefault="000626AB">
                    <w:pPr>
                      <w:pStyle w:val="StandaardReferentiegegevensKop"/>
                    </w:pPr>
                    <w:r>
                      <w:t>Directie Verbruiksbelastingen, Douane en Internationale aangelegenheden</w:t>
                    </w:r>
                  </w:p>
                  <w:p w14:paraId="48A7BD98" w14:textId="77777777" w:rsidR="00A80029" w:rsidRDefault="00A80029">
                    <w:pPr>
                      <w:pStyle w:val="WitregelW1"/>
                    </w:pPr>
                  </w:p>
                  <w:p w14:paraId="66215A2A" w14:textId="77777777" w:rsidR="00A80029" w:rsidRDefault="000626AB">
                    <w:pPr>
                      <w:pStyle w:val="StandaardReferentiegegevens"/>
                    </w:pPr>
                    <w:r>
                      <w:t>Korte Voorhout 7</w:t>
                    </w:r>
                  </w:p>
                  <w:p w14:paraId="288CF751" w14:textId="77777777" w:rsidR="00A80029" w:rsidRDefault="000626AB">
                    <w:pPr>
                      <w:pStyle w:val="StandaardReferentiegegevens"/>
                    </w:pPr>
                    <w:r>
                      <w:t>2511 CW  's-Gravenhage</w:t>
                    </w:r>
                  </w:p>
                  <w:p w14:paraId="42F8B425" w14:textId="77777777" w:rsidR="00A80029" w:rsidRDefault="000626AB">
                    <w:pPr>
                      <w:pStyle w:val="StandaardReferentiegegevens"/>
                    </w:pPr>
                    <w:r>
                      <w:t>POSTBUS 20201</w:t>
                    </w:r>
                  </w:p>
                  <w:p w14:paraId="5A23C17D" w14:textId="77777777" w:rsidR="00A80029" w:rsidRPr="00374654" w:rsidRDefault="000626AB">
                    <w:pPr>
                      <w:pStyle w:val="StandaardReferentiegegevens"/>
                      <w:rPr>
                        <w:lang w:val="es-ES"/>
                      </w:rPr>
                    </w:pPr>
                    <w:r w:rsidRPr="00374654">
                      <w:rPr>
                        <w:lang w:val="es-ES"/>
                      </w:rPr>
                      <w:t xml:space="preserve">2500 </w:t>
                    </w:r>
                    <w:proofErr w:type="gramStart"/>
                    <w:r w:rsidRPr="00374654">
                      <w:rPr>
                        <w:lang w:val="es-ES"/>
                      </w:rPr>
                      <w:t>EE  '</w:t>
                    </w:r>
                    <w:proofErr w:type="gramEnd"/>
                    <w:r w:rsidRPr="00374654">
                      <w:rPr>
                        <w:lang w:val="es-ES"/>
                      </w:rPr>
                      <w:t>s-</w:t>
                    </w:r>
                    <w:proofErr w:type="spellStart"/>
                    <w:r w:rsidRPr="00374654">
                      <w:rPr>
                        <w:lang w:val="es-ES"/>
                      </w:rPr>
                      <w:t>Gravenhage</w:t>
                    </w:r>
                    <w:proofErr w:type="spellEnd"/>
                  </w:p>
                  <w:p w14:paraId="28C2AE48" w14:textId="77777777" w:rsidR="00A80029" w:rsidRPr="00374654" w:rsidRDefault="000626AB">
                    <w:pPr>
                      <w:pStyle w:val="StandaardReferentiegegevens"/>
                      <w:rPr>
                        <w:lang w:val="es-ES"/>
                      </w:rPr>
                    </w:pPr>
                    <w:r w:rsidRPr="00374654">
                      <w:rPr>
                        <w:lang w:val="es-ES"/>
                      </w:rPr>
                      <w:t>www.rijksoverheid.nl/fin</w:t>
                    </w:r>
                  </w:p>
                  <w:p w14:paraId="4FA4B9C7" w14:textId="77777777" w:rsidR="00A80029" w:rsidRPr="00374654" w:rsidRDefault="00A80029">
                    <w:pPr>
                      <w:pStyle w:val="WitregelW2"/>
                      <w:rPr>
                        <w:lang w:val="es-ES"/>
                      </w:rPr>
                    </w:pPr>
                  </w:p>
                  <w:p w14:paraId="7D77D4EA" w14:textId="77777777" w:rsidR="00A80029" w:rsidRDefault="000626AB">
                    <w:pPr>
                      <w:pStyle w:val="StandaardReferentiegegevensKop"/>
                    </w:pPr>
                    <w:r>
                      <w:t>Ons kenmerk</w:t>
                    </w:r>
                  </w:p>
                  <w:p w14:paraId="79301C1A" w14:textId="08851ABD" w:rsidR="002F15D4" w:rsidRDefault="00370D03">
                    <w:pPr>
                      <w:pStyle w:val="StandaardReferentiegegevens"/>
                    </w:pPr>
                    <w:r>
                      <w:fldChar w:fldCharType="begin"/>
                    </w:r>
                    <w:r>
                      <w:instrText xml:space="preserve"> DOCPROPERTY  "Kenmerk"  \* MERGEFORMAT </w:instrText>
                    </w:r>
                    <w:r>
                      <w:fldChar w:fldCharType="separate"/>
                    </w:r>
                    <w:r>
                      <w:t>2025-0000194220</w:t>
                    </w:r>
                    <w:r>
                      <w:fldChar w:fldCharType="end"/>
                    </w:r>
                  </w:p>
                  <w:p w14:paraId="45B2FE77" w14:textId="77777777" w:rsidR="00A80029" w:rsidRDefault="00A80029">
                    <w:pPr>
                      <w:pStyle w:val="WitregelW1"/>
                    </w:pPr>
                  </w:p>
                  <w:p w14:paraId="7ED90028" w14:textId="77777777" w:rsidR="00A80029" w:rsidRDefault="000626AB">
                    <w:pPr>
                      <w:pStyle w:val="StandaardReferentiegegevensKop"/>
                    </w:pPr>
                    <w:r>
                      <w:t>Uw brief (kenmerk)</w:t>
                    </w:r>
                  </w:p>
                  <w:p w14:paraId="65E7F212" w14:textId="6AFDE378" w:rsidR="002F15D4" w:rsidRDefault="00370D03">
                    <w:pPr>
                      <w:pStyle w:val="StandaardReferentiegegevens"/>
                    </w:pPr>
                    <w:r>
                      <w:fldChar w:fldCharType="begin"/>
                    </w:r>
                    <w:r>
                      <w:instrText xml:space="preserve"> DOCPROPERTY  "UwKenmerk"  \* MERGEFORMAT </w:instrText>
                    </w:r>
                    <w:r>
                      <w:fldChar w:fldCharType="end"/>
                    </w:r>
                  </w:p>
                  <w:p w14:paraId="0E3E79FA" w14:textId="77777777" w:rsidR="00A80029" w:rsidRDefault="00A80029">
                    <w:pPr>
                      <w:pStyle w:val="WitregelW1"/>
                    </w:pPr>
                  </w:p>
                  <w:p w14:paraId="0DDA32B5" w14:textId="77777777" w:rsidR="00A80029" w:rsidRDefault="000626AB">
                    <w:pPr>
                      <w:pStyle w:val="StandaardReferentiegegevensKop"/>
                    </w:pPr>
                    <w:r>
                      <w:t>Bijlagen</w:t>
                    </w:r>
                  </w:p>
                  <w:p w14:paraId="06D7F6CA" w14:textId="77777777" w:rsidR="00A80029" w:rsidRDefault="000626AB">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7E69A8" wp14:editId="46A810A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5BC5C9A" w14:textId="77777777" w:rsidR="00A80029" w:rsidRDefault="000626AB">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27E69A8" id="bd4a901e-03a6-11ee-8f29-0242ac130005" o:spid="_x0000_s1034"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rmFOKZQBAAAUAwAA&#10;DgAAAAAAAAAAAAAAAAAuAgAAZHJzL2Uyb0RvYy54bWxQSwECLQAUAAYACAAAACEAprh/WuAAAAAL&#10;AQAADwAAAAAAAAAAAAAAAADuAwAAZHJzL2Rvd25yZXYueG1sUEsFBgAAAAAEAAQA8wAAAPsEAAAA&#10;AA==&#10;" filled="f" stroked="f">
              <v:textbox inset="0,0,0,0">
                <w:txbxContent>
                  <w:p w14:paraId="35BC5C9A" w14:textId="77777777" w:rsidR="00A80029" w:rsidRDefault="000626AB">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946AA2" wp14:editId="30CB92A8">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0646F22" w14:textId="5D12D410" w:rsidR="002F15D4" w:rsidRDefault="00370D03">
                          <w:pPr>
                            <w:pStyle w:val="Rubricering"/>
                          </w:pPr>
                          <w:r>
                            <w:fldChar w:fldCharType="begin"/>
                          </w:r>
                          <w:r>
                            <w:instrText xml:space="preserve"> DOCPROPERTY  "Rubricering"  \* MERGEFORMAT </w:instrText>
                          </w:r>
                          <w:r>
                            <w:fldChar w:fldCharType="end"/>
                          </w:r>
                        </w:p>
                        <w:p w14:paraId="18083EAD" w14:textId="77777777" w:rsidR="00A80029" w:rsidRDefault="000626AB">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38946AA2" id="bd4a90ba-03a6-11ee-8f29-0242ac130005" o:spid="_x0000_s1035"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J8PHj5QBAAAVAwAA&#10;DgAAAAAAAAAAAAAAAAAuAgAAZHJzL2Uyb0RvYy54bWxQSwECLQAUAAYACAAAACEA7CvJyOAAAAAL&#10;AQAADwAAAAAAAAAAAAAAAADuAwAAZHJzL2Rvd25yZXYueG1sUEsFBgAAAAAEAAQA8wAAAPsEAAAA&#10;AA==&#10;" filled="f" stroked="f">
              <v:textbox inset="0,0,0,0">
                <w:txbxContent>
                  <w:p w14:paraId="30646F22" w14:textId="5D12D410" w:rsidR="002F15D4" w:rsidRDefault="00370D03">
                    <w:pPr>
                      <w:pStyle w:val="Rubricering"/>
                    </w:pPr>
                    <w:r>
                      <w:fldChar w:fldCharType="begin"/>
                    </w:r>
                    <w:r>
                      <w:instrText xml:space="preserve"> DOCPROPERTY  "Rubricering"  \* MERGEFORMAT </w:instrText>
                    </w:r>
                    <w:r>
                      <w:fldChar w:fldCharType="end"/>
                    </w:r>
                  </w:p>
                  <w:p w14:paraId="18083EAD" w14:textId="77777777" w:rsidR="00A80029" w:rsidRDefault="000626AB">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C60DA7" wp14:editId="2506723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0910DB" w14:textId="77777777" w:rsidR="002F15D4" w:rsidRDefault="00370D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CC60DA7" id="bd4a9275-03a6-11ee-8f29-0242ac130005" o:spid="_x0000_s1036"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" filled="f" stroked="f">
              <v:textbox inset="0,0,0,0">
                <w:txbxContent>
                  <w:p w14:paraId="6A0910DB" w14:textId="77777777" w:rsidR="002F15D4" w:rsidRDefault="00370D0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59A5AB" wp14:editId="21354F3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80029" w14:paraId="67414C97" w14:textId="77777777">
                            <w:trPr>
                              <w:trHeight w:val="200"/>
                            </w:trPr>
                            <w:tc>
                              <w:tcPr>
                                <w:tcW w:w="1140" w:type="dxa"/>
                              </w:tcPr>
                              <w:p w14:paraId="28E2519A" w14:textId="77777777" w:rsidR="00A80029" w:rsidRDefault="00A80029"/>
                            </w:tc>
                            <w:tc>
                              <w:tcPr>
                                <w:tcW w:w="5400" w:type="dxa"/>
                              </w:tcPr>
                              <w:p w14:paraId="0D614283" w14:textId="77777777" w:rsidR="00A80029" w:rsidRDefault="00A80029"/>
                            </w:tc>
                          </w:tr>
                          <w:tr w:rsidR="00A80029" w14:paraId="6A65B83D" w14:textId="77777777">
                            <w:trPr>
                              <w:trHeight w:val="240"/>
                            </w:trPr>
                            <w:tc>
                              <w:tcPr>
                                <w:tcW w:w="1140" w:type="dxa"/>
                              </w:tcPr>
                              <w:p w14:paraId="4F24351D" w14:textId="77777777" w:rsidR="00A80029" w:rsidRDefault="000626AB">
                                <w:r>
                                  <w:t>Datum</w:t>
                                </w:r>
                              </w:p>
                            </w:tc>
                            <w:tc>
                              <w:tcPr>
                                <w:tcW w:w="5400" w:type="dxa"/>
                              </w:tcPr>
                              <w:p w14:paraId="3B1687D5" w14:textId="6CB0A213" w:rsidR="00A80029" w:rsidRDefault="003E5EA7">
                                <w:r>
                                  <w:t>10 juli 2025</w:t>
                                </w:r>
                              </w:p>
                            </w:tc>
                          </w:tr>
                          <w:tr w:rsidR="00A80029" w14:paraId="1399CBD0" w14:textId="77777777">
                            <w:trPr>
                              <w:trHeight w:val="240"/>
                            </w:trPr>
                            <w:tc>
                              <w:tcPr>
                                <w:tcW w:w="1140" w:type="dxa"/>
                              </w:tcPr>
                              <w:p w14:paraId="5B59EF66" w14:textId="77777777" w:rsidR="00A80029" w:rsidRDefault="000626AB">
                                <w:r>
                                  <w:t>Betreft</w:t>
                                </w:r>
                              </w:p>
                            </w:tc>
                            <w:tc>
                              <w:tcPr>
                                <w:tcW w:w="5400" w:type="dxa"/>
                              </w:tcPr>
                              <w:p w14:paraId="244203D5" w14:textId="5B3639BE" w:rsidR="002F15D4" w:rsidRDefault="00370D03">
                                <w:r>
                                  <w:fldChar w:fldCharType="begin"/>
                                </w:r>
                                <w:r>
                                  <w:instrText xml:space="preserve"> DOCPROPERTY  "Onderwerp"  \* MERGEFORMAT </w:instrText>
                                </w:r>
                                <w:r>
                                  <w:fldChar w:fldCharType="separate"/>
                                </w:r>
                                <w:r>
                                  <w:t>Moties en toezegging overdrachtsbelasting</w:t>
                                </w:r>
                                <w:r>
                                  <w:fldChar w:fldCharType="end"/>
                                </w:r>
                              </w:p>
                            </w:tc>
                          </w:tr>
                          <w:tr w:rsidR="00A80029" w14:paraId="3C19AC4A" w14:textId="77777777">
                            <w:trPr>
                              <w:trHeight w:val="200"/>
                            </w:trPr>
                            <w:tc>
                              <w:tcPr>
                                <w:tcW w:w="1140" w:type="dxa"/>
                              </w:tcPr>
                              <w:p w14:paraId="0E2C9E57" w14:textId="77777777" w:rsidR="00A80029" w:rsidRDefault="00A80029"/>
                            </w:tc>
                            <w:tc>
                              <w:tcPr>
                                <w:tcW w:w="4738" w:type="dxa"/>
                              </w:tcPr>
                              <w:p w14:paraId="60C336C9" w14:textId="77777777" w:rsidR="00A80029" w:rsidRDefault="00A80029"/>
                            </w:tc>
                          </w:tr>
                        </w:tbl>
                        <w:p w14:paraId="3FF3629B" w14:textId="77777777" w:rsidR="000626AB" w:rsidRDefault="000626AB"/>
                      </w:txbxContent>
                    </wps:txbx>
                    <wps:bodyPr vert="horz" wrap="square" lIns="0" tIns="0" rIns="0" bIns="0" anchor="t" anchorCtr="0"/>
                  </wps:wsp>
                </a:graphicData>
              </a:graphic>
            </wp:anchor>
          </w:drawing>
        </mc:Choice>
        <mc:Fallback>
          <w:pict>
            <v:shape w14:anchorId="0359A5AB" id="bd4aaf7a-03a6-11ee-8f29-0242ac130005" o:spid="_x0000_s1037"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A80029" w14:paraId="67414C97" w14:textId="77777777">
                      <w:trPr>
                        <w:trHeight w:val="200"/>
                      </w:trPr>
                      <w:tc>
                        <w:tcPr>
                          <w:tcW w:w="1140" w:type="dxa"/>
                        </w:tcPr>
                        <w:p w14:paraId="28E2519A" w14:textId="77777777" w:rsidR="00A80029" w:rsidRDefault="00A80029"/>
                      </w:tc>
                      <w:tc>
                        <w:tcPr>
                          <w:tcW w:w="5400" w:type="dxa"/>
                        </w:tcPr>
                        <w:p w14:paraId="0D614283" w14:textId="77777777" w:rsidR="00A80029" w:rsidRDefault="00A80029"/>
                      </w:tc>
                    </w:tr>
                    <w:tr w:rsidR="00A80029" w14:paraId="6A65B83D" w14:textId="77777777">
                      <w:trPr>
                        <w:trHeight w:val="240"/>
                      </w:trPr>
                      <w:tc>
                        <w:tcPr>
                          <w:tcW w:w="1140" w:type="dxa"/>
                        </w:tcPr>
                        <w:p w14:paraId="4F24351D" w14:textId="77777777" w:rsidR="00A80029" w:rsidRDefault="000626AB">
                          <w:r>
                            <w:t>Datum</w:t>
                          </w:r>
                        </w:p>
                      </w:tc>
                      <w:tc>
                        <w:tcPr>
                          <w:tcW w:w="5400" w:type="dxa"/>
                        </w:tcPr>
                        <w:p w14:paraId="3B1687D5" w14:textId="6CB0A213" w:rsidR="00A80029" w:rsidRDefault="003E5EA7">
                          <w:r>
                            <w:t>10 juli 2025</w:t>
                          </w:r>
                        </w:p>
                      </w:tc>
                    </w:tr>
                    <w:tr w:rsidR="00A80029" w14:paraId="1399CBD0" w14:textId="77777777">
                      <w:trPr>
                        <w:trHeight w:val="240"/>
                      </w:trPr>
                      <w:tc>
                        <w:tcPr>
                          <w:tcW w:w="1140" w:type="dxa"/>
                        </w:tcPr>
                        <w:p w14:paraId="5B59EF66" w14:textId="77777777" w:rsidR="00A80029" w:rsidRDefault="000626AB">
                          <w:r>
                            <w:t>Betreft</w:t>
                          </w:r>
                        </w:p>
                      </w:tc>
                      <w:tc>
                        <w:tcPr>
                          <w:tcW w:w="5400" w:type="dxa"/>
                        </w:tcPr>
                        <w:p w14:paraId="244203D5" w14:textId="5B3639BE" w:rsidR="002F15D4" w:rsidRDefault="00370D03">
                          <w:r>
                            <w:fldChar w:fldCharType="begin"/>
                          </w:r>
                          <w:r>
                            <w:instrText xml:space="preserve"> DOCPROPERTY  "Onderwerp"  \* MERGEFORMAT </w:instrText>
                          </w:r>
                          <w:r>
                            <w:fldChar w:fldCharType="separate"/>
                          </w:r>
                          <w:r>
                            <w:t>Moties en toezegging overdrachtsbelasting</w:t>
                          </w:r>
                          <w:r>
                            <w:fldChar w:fldCharType="end"/>
                          </w:r>
                        </w:p>
                      </w:tc>
                    </w:tr>
                    <w:tr w:rsidR="00A80029" w14:paraId="3C19AC4A" w14:textId="77777777">
                      <w:trPr>
                        <w:trHeight w:val="200"/>
                      </w:trPr>
                      <w:tc>
                        <w:tcPr>
                          <w:tcW w:w="1140" w:type="dxa"/>
                        </w:tcPr>
                        <w:p w14:paraId="0E2C9E57" w14:textId="77777777" w:rsidR="00A80029" w:rsidRDefault="00A80029"/>
                      </w:tc>
                      <w:tc>
                        <w:tcPr>
                          <w:tcW w:w="4738" w:type="dxa"/>
                        </w:tcPr>
                        <w:p w14:paraId="60C336C9" w14:textId="77777777" w:rsidR="00A80029" w:rsidRDefault="00A80029"/>
                      </w:tc>
                    </w:tr>
                  </w:tbl>
                  <w:p w14:paraId="3FF3629B" w14:textId="77777777" w:rsidR="000626AB" w:rsidRDefault="000626A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2DA0E4" wp14:editId="12821A7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71EA7E3" w14:textId="484C57B9" w:rsidR="002F15D4" w:rsidRDefault="00370D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2DA0E4" id="bd5d814d-03a6-11ee-8f29-0242ac130005" o:spid="_x0000_s1038"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ARL1xmTAQAAFQMA&#10;AA4AAAAAAAAAAAAAAAAALgIAAGRycy9lMm9Eb2MueG1sUEsBAi0AFAAGAAgAAAAhAPVV9H3iAAAA&#10;DQEAAA8AAAAAAAAAAAAAAAAA7QMAAGRycy9kb3ducmV2LnhtbFBLBQYAAAAABAAEAPMAAAD8BAAA&#10;AAA=&#10;" filled="f" stroked="f">
              <v:textbox inset="0,0,0,0">
                <w:txbxContent>
                  <w:p w14:paraId="571EA7E3" w14:textId="484C57B9" w:rsidR="002F15D4" w:rsidRDefault="00370D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43E9762" wp14:editId="10425502">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3A2ADAA" w14:textId="77777777" w:rsidR="000626AB" w:rsidRDefault="000626AB"/>
                      </w:txbxContent>
                    </wps:txbx>
                    <wps:bodyPr vert="horz" wrap="square" lIns="0" tIns="0" rIns="0" bIns="0" anchor="t" anchorCtr="0"/>
                  </wps:wsp>
                </a:graphicData>
              </a:graphic>
            </wp:anchor>
          </w:drawing>
        </mc:Choice>
        <mc:Fallback>
          <w:pict>
            <v:shape w14:anchorId="243E9762" id="bd5a43b8-03a6-11ee-8f29-0242ac130005" o:spid="_x0000_s1039"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" filled="f" stroked="f">
              <v:textbox inset="0,0,0,0">
                <w:txbxContent>
                  <w:p w14:paraId="13A2ADAA" w14:textId="77777777" w:rsidR="000626AB" w:rsidRDefault="000626A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077880"/>
    <w:multiLevelType w:val="multilevel"/>
    <w:tmpl w:val="1FA8C1C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57BBA62"/>
    <w:multiLevelType w:val="multilevel"/>
    <w:tmpl w:val="58AEB2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D665EF8"/>
    <w:multiLevelType w:val="multilevel"/>
    <w:tmpl w:val="3087EE9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4DBEC"/>
    <w:multiLevelType w:val="multilevel"/>
    <w:tmpl w:val="5DD4220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1725B"/>
    <w:multiLevelType w:val="hybridMultilevel"/>
    <w:tmpl w:val="A112D236"/>
    <w:lvl w:ilvl="0" w:tplc="DFBE1898">
      <w:start w:val="1"/>
      <w:numFmt w:val="decimal"/>
      <w:lvlText w:val="%1)"/>
      <w:lvlJc w:val="left"/>
      <w:pPr>
        <w:ind w:left="1020" w:hanging="360"/>
      </w:pPr>
    </w:lvl>
    <w:lvl w:ilvl="1" w:tplc="DA4AC240">
      <w:start w:val="1"/>
      <w:numFmt w:val="decimal"/>
      <w:lvlText w:val="%2)"/>
      <w:lvlJc w:val="left"/>
      <w:pPr>
        <w:ind w:left="1020" w:hanging="360"/>
      </w:pPr>
    </w:lvl>
    <w:lvl w:ilvl="2" w:tplc="B5CC0A5E">
      <w:start w:val="1"/>
      <w:numFmt w:val="decimal"/>
      <w:lvlText w:val="%3)"/>
      <w:lvlJc w:val="left"/>
      <w:pPr>
        <w:ind w:left="1020" w:hanging="360"/>
      </w:pPr>
    </w:lvl>
    <w:lvl w:ilvl="3" w:tplc="2C840810">
      <w:start w:val="1"/>
      <w:numFmt w:val="decimal"/>
      <w:lvlText w:val="%4)"/>
      <w:lvlJc w:val="left"/>
      <w:pPr>
        <w:ind w:left="1020" w:hanging="360"/>
      </w:pPr>
    </w:lvl>
    <w:lvl w:ilvl="4" w:tplc="9FEA6234">
      <w:start w:val="1"/>
      <w:numFmt w:val="decimal"/>
      <w:lvlText w:val="%5)"/>
      <w:lvlJc w:val="left"/>
      <w:pPr>
        <w:ind w:left="1020" w:hanging="360"/>
      </w:pPr>
    </w:lvl>
    <w:lvl w:ilvl="5" w:tplc="CDEA47D2">
      <w:start w:val="1"/>
      <w:numFmt w:val="decimal"/>
      <w:lvlText w:val="%6)"/>
      <w:lvlJc w:val="left"/>
      <w:pPr>
        <w:ind w:left="1020" w:hanging="360"/>
      </w:pPr>
    </w:lvl>
    <w:lvl w:ilvl="6" w:tplc="DB003A46">
      <w:start w:val="1"/>
      <w:numFmt w:val="decimal"/>
      <w:lvlText w:val="%7)"/>
      <w:lvlJc w:val="left"/>
      <w:pPr>
        <w:ind w:left="1020" w:hanging="360"/>
      </w:pPr>
    </w:lvl>
    <w:lvl w:ilvl="7" w:tplc="09EC103C">
      <w:start w:val="1"/>
      <w:numFmt w:val="decimal"/>
      <w:lvlText w:val="%8)"/>
      <w:lvlJc w:val="left"/>
      <w:pPr>
        <w:ind w:left="1020" w:hanging="360"/>
      </w:pPr>
    </w:lvl>
    <w:lvl w:ilvl="8" w:tplc="50E49538">
      <w:start w:val="1"/>
      <w:numFmt w:val="decimal"/>
      <w:lvlText w:val="%9)"/>
      <w:lvlJc w:val="left"/>
      <w:pPr>
        <w:ind w:left="1020" w:hanging="360"/>
      </w:pPr>
    </w:lvl>
  </w:abstractNum>
  <w:abstractNum w:abstractNumId="5" w15:restartNumberingAfterBreak="0">
    <w:nsid w:val="45342F2B"/>
    <w:multiLevelType w:val="hybridMultilevel"/>
    <w:tmpl w:val="E9FE5334"/>
    <w:lvl w:ilvl="0" w:tplc="F71698D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622791"/>
    <w:multiLevelType w:val="multilevel"/>
    <w:tmpl w:val="76A00F4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8901AA"/>
    <w:multiLevelType w:val="hybridMultilevel"/>
    <w:tmpl w:val="F672FC6E"/>
    <w:lvl w:ilvl="0" w:tplc="DDA82E3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CB01C0"/>
    <w:multiLevelType w:val="multilevel"/>
    <w:tmpl w:val="30FC68C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42459223">
    <w:abstractNumId w:val="2"/>
  </w:num>
  <w:num w:numId="2" w16cid:durableId="1784956238">
    <w:abstractNumId w:val="6"/>
  </w:num>
  <w:num w:numId="3" w16cid:durableId="925110157">
    <w:abstractNumId w:val="1"/>
  </w:num>
  <w:num w:numId="4" w16cid:durableId="135102189">
    <w:abstractNumId w:val="8"/>
  </w:num>
  <w:num w:numId="5" w16cid:durableId="683632581">
    <w:abstractNumId w:val="3"/>
  </w:num>
  <w:num w:numId="6" w16cid:durableId="1351026096">
    <w:abstractNumId w:val="0"/>
  </w:num>
  <w:num w:numId="7" w16cid:durableId="1762140684">
    <w:abstractNumId w:val="7"/>
  </w:num>
  <w:num w:numId="8" w16cid:durableId="126507924">
    <w:abstractNumId w:val="5"/>
  </w:num>
  <w:num w:numId="9" w16cid:durableId="2127500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9"/>
    <w:rsid w:val="00004316"/>
    <w:rsid w:val="00016759"/>
    <w:rsid w:val="000170D3"/>
    <w:rsid w:val="0002754C"/>
    <w:rsid w:val="000319AF"/>
    <w:rsid w:val="0003468B"/>
    <w:rsid w:val="00036B5E"/>
    <w:rsid w:val="000462CF"/>
    <w:rsid w:val="000538EF"/>
    <w:rsid w:val="000547DC"/>
    <w:rsid w:val="000626AB"/>
    <w:rsid w:val="000644AC"/>
    <w:rsid w:val="0009200D"/>
    <w:rsid w:val="00093BB5"/>
    <w:rsid w:val="000A0E8E"/>
    <w:rsid w:val="000B1DF5"/>
    <w:rsid w:val="000B2177"/>
    <w:rsid w:val="000B3562"/>
    <w:rsid w:val="000C0AC7"/>
    <w:rsid w:val="000C31F9"/>
    <w:rsid w:val="000C5F7E"/>
    <w:rsid w:val="000D0AA5"/>
    <w:rsid w:val="000D4D3F"/>
    <w:rsid w:val="0010299B"/>
    <w:rsid w:val="001031EC"/>
    <w:rsid w:val="00124C29"/>
    <w:rsid w:val="00126FE1"/>
    <w:rsid w:val="00146018"/>
    <w:rsid w:val="00147FDE"/>
    <w:rsid w:val="0015322E"/>
    <w:rsid w:val="00155B28"/>
    <w:rsid w:val="00166D31"/>
    <w:rsid w:val="00167458"/>
    <w:rsid w:val="001707EB"/>
    <w:rsid w:val="001A2C1A"/>
    <w:rsid w:val="001A36CB"/>
    <w:rsid w:val="001B2E3D"/>
    <w:rsid w:val="001C2AB3"/>
    <w:rsid w:val="001C4706"/>
    <w:rsid w:val="001D4AB3"/>
    <w:rsid w:val="001F0B19"/>
    <w:rsid w:val="001F4BD8"/>
    <w:rsid w:val="002005E7"/>
    <w:rsid w:val="0021645C"/>
    <w:rsid w:val="00221204"/>
    <w:rsid w:val="00230954"/>
    <w:rsid w:val="002315E6"/>
    <w:rsid w:val="00232A51"/>
    <w:rsid w:val="00271006"/>
    <w:rsid w:val="00277C33"/>
    <w:rsid w:val="00294E69"/>
    <w:rsid w:val="002A75B9"/>
    <w:rsid w:val="002C30EC"/>
    <w:rsid w:val="002C3342"/>
    <w:rsid w:val="002C4E38"/>
    <w:rsid w:val="002C5C78"/>
    <w:rsid w:val="002C7A36"/>
    <w:rsid w:val="002C7C4C"/>
    <w:rsid w:val="002D1F87"/>
    <w:rsid w:val="002F08E1"/>
    <w:rsid w:val="002F15D4"/>
    <w:rsid w:val="0031696F"/>
    <w:rsid w:val="00317AC8"/>
    <w:rsid w:val="00320812"/>
    <w:rsid w:val="003214B4"/>
    <w:rsid w:val="00324F34"/>
    <w:rsid w:val="00326BF6"/>
    <w:rsid w:val="00327B63"/>
    <w:rsid w:val="00362622"/>
    <w:rsid w:val="00370D03"/>
    <w:rsid w:val="003718AC"/>
    <w:rsid w:val="00374654"/>
    <w:rsid w:val="00380137"/>
    <w:rsid w:val="003A0C5A"/>
    <w:rsid w:val="003A64AC"/>
    <w:rsid w:val="003A75AF"/>
    <w:rsid w:val="003B6539"/>
    <w:rsid w:val="003C2ED8"/>
    <w:rsid w:val="003D6698"/>
    <w:rsid w:val="003E5EA7"/>
    <w:rsid w:val="003E7676"/>
    <w:rsid w:val="003F066D"/>
    <w:rsid w:val="00400CB6"/>
    <w:rsid w:val="00403A2A"/>
    <w:rsid w:val="00440D91"/>
    <w:rsid w:val="004437DA"/>
    <w:rsid w:val="0048434A"/>
    <w:rsid w:val="00487B71"/>
    <w:rsid w:val="004936C3"/>
    <w:rsid w:val="004A02F3"/>
    <w:rsid w:val="004A7F79"/>
    <w:rsid w:val="004D1250"/>
    <w:rsid w:val="004D1FCE"/>
    <w:rsid w:val="005130C6"/>
    <w:rsid w:val="005138CF"/>
    <w:rsid w:val="00525B48"/>
    <w:rsid w:val="00543A7D"/>
    <w:rsid w:val="00552D5A"/>
    <w:rsid w:val="00562383"/>
    <w:rsid w:val="00567B0D"/>
    <w:rsid w:val="00582E9A"/>
    <w:rsid w:val="0059495C"/>
    <w:rsid w:val="0059519F"/>
    <w:rsid w:val="00597D1A"/>
    <w:rsid w:val="005A34BF"/>
    <w:rsid w:val="005A57D2"/>
    <w:rsid w:val="005A6284"/>
    <w:rsid w:val="005A6AF1"/>
    <w:rsid w:val="005C37E2"/>
    <w:rsid w:val="005C605C"/>
    <w:rsid w:val="005D04F7"/>
    <w:rsid w:val="005D44AF"/>
    <w:rsid w:val="005E3CBC"/>
    <w:rsid w:val="005F5F11"/>
    <w:rsid w:val="00634573"/>
    <w:rsid w:val="00635324"/>
    <w:rsid w:val="00636823"/>
    <w:rsid w:val="00642AB0"/>
    <w:rsid w:val="00650AF0"/>
    <w:rsid w:val="006512FD"/>
    <w:rsid w:val="006639F7"/>
    <w:rsid w:val="006730AD"/>
    <w:rsid w:val="00680893"/>
    <w:rsid w:val="006A23AC"/>
    <w:rsid w:val="006B272C"/>
    <w:rsid w:val="006B6818"/>
    <w:rsid w:val="006B6E4C"/>
    <w:rsid w:val="006C6F73"/>
    <w:rsid w:val="006D3018"/>
    <w:rsid w:val="006D6BC3"/>
    <w:rsid w:val="006E6FD1"/>
    <w:rsid w:val="007066F4"/>
    <w:rsid w:val="007143B9"/>
    <w:rsid w:val="00715C43"/>
    <w:rsid w:val="00731F06"/>
    <w:rsid w:val="00734054"/>
    <w:rsid w:val="00737863"/>
    <w:rsid w:val="00744C87"/>
    <w:rsid w:val="00745650"/>
    <w:rsid w:val="00751640"/>
    <w:rsid w:val="00751AA3"/>
    <w:rsid w:val="00752D87"/>
    <w:rsid w:val="007614DD"/>
    <w:rsid w:val="00764686"/>
    <w:rsid w:val="00773CEF"/>
    <w:rsid w:val="0079164B"/>
    <w:rsid w:val="00796566"/>
    <w:rsid w:val="007A0DDD"/>
    <w:rsid w:val="007A2C04"/>
    <w:rsid w:val="007A46C3"/>
    <w:rsid w:val="007B5F06"/>
    <w:rsid w:val="007E7C0B"/>
    <w:rsid w:val="007F1902"/>
    <w:rsid w:val="007F3FAC"/>
    <w:rsid w:val="007F5CEF"/>
    <w:rsid w:val="007F775A"/>
    <w:rsid w:val="00801035"/>
    <w:rsid w:val="008026EA"/>
    <w:rsid w:val="008120BF"/>
    <w:rsid w:val="00835081"/>
    <w:rsid w:val="00835085"/>
    <w:rsid w:val="00837579"/>
    <w:rsid w:val="00851B4A"/>
    <w:rsid w:val="008708F9"/>
    <w:rsid w:val="0088625F"/>
    <w:rsid w:val="0089405D"/>
    <w:rsid w:val="008A1F6F"/>
    <w:rsid w:val="008A3EF6"/>
    <w:rsid w:val="008A7587"/>
    <w:rsid w:val="008B0A50"/>
    <w:rsid w:val="008C19BB"/>
    <w:rsid w:val="008D6BF6"/>
    <w:rsid w:val="008E141C"/>
    <w:rsid w:val="008F1618"/>
    <w:rsid w:val="008F3A27"/>
    <w:rsid w:val="008F6427"/>
    <w:rsid w:val="009068C0"/>
    <w:rsid w:val="00926772"/>
    <w:rsid w:val="00930D1D"/>
    <w:rsid w:val="00945012"/>
    <w:rsid w:val="00960EBD"/>
    <w:rsid w:val="00966BC1"/>
    <w:rsid w:val="00975158"/>
    <w:rsid w:val="00981C77"/>
    <w:rsid w:val="009852D6"/>
    <w:rsid w:val="009911C2"/>
    <w:rsid w:val="00995440"/>
    <w:rsid w:val="00997F85"/>
    <w:rsid w:val="009B466D"/>
    <w:rsid w:val="009C0065"/>
    <w:rsid w:val="009C3641"/>
    <w:rsid w:val="00A055B7"/>
    <w:rsid w:val="00A113A8"/>
    <w:rsid w:val="00A2112A"/>
    <w:rsid w:val="00A2192F"/>
    <w:rsid w:val="00A23440"/>
    <w:rsid w:val="00A235D4"/>
    <w:rsid w:val="00A27A52"/>
    <w:rsid w:val="00A61F30"/>
    <w:rsid w:val="00A80029"/>
    <w:rsid w:val="00A8376A"/>
    <w:rsid w:val="00A915A3"/>
    <w:rsid w:val="00AB01D3"/>
    <w:rsid w:val="00AB49CF"/>
    <w:rsid w:val="00AB563D"/>
    <w:rsid w:val="00AB78B0"/>
    <w:rsid w:val="00AC1826"/>
    <w:rsid w:val="00AD6C17"/>
    <w:rsid w:val="00AF2E9D"/>
    <w:rsid w:val="00B00872"/>
    <w:rsid w:val="00B1312A"/>
    <w:rsid w:val="00B16463"/>
    <w:rsid w:val="00B21EC2"/>
    <w:rsid w:val="00B33633"/>
    <w:rsid w:val="00B35C5E"/>
    <w:rsid w:val="00B367A6"/>
    <w:rsid w:val="00B4547B"/>
    <w:rsid w:val="00B510C1"/>
    <w:rsid w:val="00B520B2"/>
    <w:rsid w:val="00B70CBA"/>
    <w:rsid w:val="00B879CB"/>
    <w:rsid w:val="00B92729"/>
    <w:rsid w:val="00B94C39"/>
    <w:rsid w:val="00BB277C"/>
    <w:rsid w:val="00BC1A3B"/>
    <w:rsid w:val="00BC2AD3"/>
    <w:rsid w:val="00BC69D4"/>
    <w:rsid w:val="00BD4C99"/>
    <w:rsid w:val="00BE5B79"/>
    <w:rsid w:val="00BE6957"/>
    <w:rsid w:val="00BE700D"/>
    <w:rsid w:val="00C01C07"/>
    <w:rsid w:val="00C0504B"/>
    <w:rsid w:val="00C05DC2"/>
    <w:rsid w:val="00C13545"/>
    <w:rsid w:val="00C234B8"/>
    <w:rsid w:val="00C30DCB"/>
    <w:rsid w:val="00C359E2"/>
    <w:rsid w:val="00C5168B"/>
    <w:rsid w:val="00C663AB"/>
    <w:rsid w:val="00C669EC"/>
    <w:rsid w:val="00C8213D"/>
    <w:rsid w:val="00CA453B"/>
    <w:rsid w:val="00CA7190"/>
    <w:rsid w:val="00CD1551"/>
    <w:rsid w:val="00CD4250"/>
    <w:rsid w:val="00CD7708"/>
    <w:rsid w:val="00CE4174"/>
    <w:rsid w:val="00D141C2"/>
    <w:rsid w:val="00D225CC"/>
    <w:rsid w:val="00D3413A"/>
    <w:rsid w:val="00D36870"/>
    <w:rsid w:val="00D37516"/>
    <w:rsid w:val="00D47377"/>
    <w:rsid w:val="00D529BE"/>
    <w:rsid w:val="00D8260D"/>
    <w:rsid w:val="00D925CE"/>
    <w:rsid w:val="00DA14C2"/>
    <w:rsid w:val="00DC60AD"/>
    <w:rsid w:val="00DD13FA"/>
    <w:rsid w:val="00DD66D7"/>
    <w:rsid w:val="00DD7F41"/>
    <w:rsid w:val="00E13AE2"/>
    <w:rsid w:val="00E1635E"/>
    <w:rsid w:val="00E16C1A"/>
    <w:rsid w:val="00E3304E"/>
    <w:rsid w:val="00E33C5B"/>
    <w:rsid w:val="00E36C59"/>
    <w:rsid w:val="00E41485"/>
    <w:rsid w:val="00E4497E"/>
    <w:rsid w:val="00E44D6D"/>
    <w:rsid w:val="00E70BEA"/>
    <w:rsid w:val="00E71B00"/>
    <w:rsid w:val="00E83DA8"/>
    <w:rsid w:val="00E83EC5"/>
    <w:rsid w:val="00E960C0"/>
    <w:rsid w:val="00E96239"/>
    <w:rsid w:val="00E97178"/>
    <w:rsid w:val="00EA2717"/>
    <w:rsid w:val="00EA55A6"/>
    <w:rsid w:val="00EB1D1B"/>
    <w:rsid w:val="00EB2B6D"/>
    <w:rsid w:val="00EB3CEA"/>
    <w:rsid w:val="00EC651B"/>
    <w:rsid w:val="00EE38A2"/>
    <w:rsid w:val="00EE41F6"/>
    <w:rsid w:val="00EE56DC"/>
    <w:rsid w:val="00EF1742"/>
    <w:rsid w:val="00EF4DE6"/>
    <w:rsid w:val="00F030FB"/>
    <w:rsid w:val="00F06B17"/>
    <w:rsid w:val="00F17920"/>
    <w:rsid w:val="00F24576"/>
    <w:rsid w:val="00F31C89"/>
    <w:rsid w:val="00F3206D"/>
    <w:rsid w:val="00F42770"/>
    <w:rsid w:val="00F4483B"/>
    <w:rsid w:val="00F51F1A"/>
    <w:rsid w:val="00F66F08"/>
    <w:rsid w:val="00F766CE"/>
    <w:rsid w:val="00F92BD8"/>
    <w:rsid w:val="00FC6159"/>
    <w:rsid w:val="00FD0FE4"/>
    <w:rsid w:val="00FE3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1B3C"/>
  <w15:docId w15:val="{DB7B2BA1-C98F-44BD-BB25-C9E93008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437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37DA"/>
    <w:rPr>
      <w:rFonts w:ascii="Verdana" w:hAnsi="Verdana"/>
      <w:color w:val="000000"/>
      <w:sz w:val="18"/>
      <w:szCs w:val="18"/>
    </w:rPr>
  </w:style>
  <w:style w:type="paragraph" w:styleId="Voettekst">
    <w:name w:val="footer"/>
    <w:basedOn w:val="Standaard"/>
    <w:link w:val="VoettekstChar"/>
    <w:uiPriority w:val="99"/>
    <w:unhideWhenUsed/>
    <w:rsid w:val="004437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37DA"/>
    <w:rPr>
      <w:rFonts w:ascii="Verdana" w:hAnsi="Verdana"/>
      <w:color w:val="000000"/>
      <w:sz w:val="18"/>
      <w:szCs w:val="18"/>
    </w:rPr>
  </w:style>
  <w:style w:type="paragraph" w:styleId="Voetnoottekst">
    <w:name w:val="footnote text"/>
    <w:basedOn w:val="Standaard"/>
    <w:link w:val="VoetnoottekstChar"/>
    <w:uiPriority w:val="99"/>
    <w:semiHidden/>
    <w:unhideWhenUsed/>
    <w:rsid w:val="008C19B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19BB"/>
    <w:rPr>
      <w:rFonts w:ascii="Verdana" w:hAnsi="Verdana"/>
      <w:color w:val="000000"/>
    </w:rPr>
  </w:style>
  <w:style w:type="character" w:styleId="Voetnootmarkering">
    <w:name w:val="footnote reference"/>
    <w:basedOn w:val="Standaardalinea-lettertype"/>
    <w:uiPriority w:val="99"/>
    <w:semiHidden/>
    <w:unhideWhenUsed/>
    <w:rsid w:val="008C19BB"/>
    <w:rPr>
      <w:vertAlign w:val="superscript"/>
    </w:rPr>
  </w:style>
  <w:style w:type="paragraph" w:styleId="Revisie">
    <w:name w:val="Revision"/>
    <w:hidden/>
    <w:uiPriority w:val="99"/>
    <w:semiHidden/>
    <w:rsid w:val="0037465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F3A27"/>
    <w:rPr>
      <w:sz w:val="16"/>
      <w:szCs w:val="16"/>
    </w:rPr>
  </w:style>
  <w:style w:type="paragraph" w:styleId="Tekstopmerking">
    <w:name w:val="annotation text"/>
    <w:basedOn w:val="Standaard"/>
    <w:link w:val="TekstopmerkingChar"/>
    <w:uiPriority w:val="99"/>
    <w:unhideWhenUsed/>
    <w:rsid w:val="008F3A27"/>
    <w:pPr>
      <w:spacing w:line="240" w:lineRule="auto"/>
    </w:pPr>
    <w:rPr>
      <w:sz w:val="20"/>
      <w:szCs w:val="20"/>
    </w:rPr>
  </w:style>
  <w:style w:type="character" w:customStyle="1" w:styleId="TekstopmerkingChar">
    <w:name w:val="Tekst opmerking Char"/>
    <w:basedOn w:val="Standaardalinea-lettertype"/>
    <w:link w:val="Tekstopmerking"/>
    <w:uiPriority w:val="99"/>
    <w:rsid w:val="008F3A2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F3A27"/>
    <w:rPr>
      <w:b/>
      <w:bCs/>
    </w:rPr>
  </w:style>
  <w:style w:type="character" w:customStyle="1" w:styleId="OnderwerpvanopmerkingChar">
    <w:name w:val="Onderwerp van opmerking Char"/>
    <w:basedOn w:val="TekstopmerkingChar"/>
    <w:link w:val="Onderwerpvanopmerking"/>
    <w:uiPriority w:val="99"/>
    <w:semiHidden/>
    <w:rsid w:val="008F3A27"/>
    <w:rPr>
      <w:rFonts w:ascii="Verdana" w:hAnsi="Verdana"/>
      <w:b/>
      <w:bCs/>
      <w:color w:val="000000"/>
    </w:rPr>
  </w:style>
  <w:style w:type="paragraph" w:styleId="Lijstalinea">
    <w:name w:val="List Paragraph"/>
    <w:basedOn w:val="Standaard"/>
    <w:uiPriority w:val="34"/>
    <w:semiHidden/>
    <w:rsid w:val="008F3A27"/>
    <w:pPr>
      <w:ind w:left="720"/>
      <w:contextualSpacing/>
    </w:pPr>
  </w:style>
  <w:style w:type="character" w:styleId="Onopgelostemelding">
    <w:name w:val="Unresolved Mention"/>
    <w:basedOn w:val="Standaardalinea-lettertype"/>
    <w:uiPriority w:val="99"/>
    <w:semiHidden/>
    <w:unhideWhenUsed/>
    <w:rsid w:val="00AB78B0"/>
    <w:rPr>
      <w:color w:val="605E5C"/>
      <w:shd w:val="clear" w:color="auto" w:fill="E1DFDD"/>
    </w:rPr>
  </w:style>
  <w:style w:type="paragraph" w:styleId="Geenafstand">
    <w:name w:val="No Spacing"/>
    <w:uiPriority w:val="1"/>
    <w:qFormat/>
    <w:rsid w:val="00930D1D"/>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2005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427">
      <w:bodyDiv w:val="1"/>
      <w:marLeft w:val="0"/>
      <w:marRight w:val="0"/>
      <w:marTop w:val="0"/>
      <w:marBottom w:val="0"/>
      <w:divBdr>
        <w:top w:val="none" w:sz="0" w:space="0" w:color="auto"/>
        <w:left w:val="none" w:sz="0" w:space="0" w:color="auto"/>
        <w:bottom w:val="none" w:sz="0" w:space="0" w:color="auto"/>
        <w:right w:val="none" w:sz="0" w:space="0" w:color="auto"/>
      </w:divBdr>
    </w:div>
    <w:div w:id="142267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2154</ap:Words>
  <ap:Characters>11851</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aan Eerste of Tweede Kamer - Toezegging onderzoek naar familievrijstelling in de overdrachtbelasting</vt:lpstr>
    </vt:vector>
  </ap:TitlesOfParts>
  <ap:LinksUpToDate>false</ap:LinksUpToDate>
  <ap:CharactersWithSpaces>13978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2025-07-10T09:01:00.0000000Z</lastPrinted>
  <dcterms:created xsi:type="dcterms:W3CDTF">2025-07-10T09:00:00.0000000Z</dcterms:created>
  <dcterms:modified xsi:type="dcterms:W3CDTF">2025-07-10T09:01:00.0000000Z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Toezegging onderzoek naar familievrijstelling in de overdrachtbelasting</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_x000d_
Postbus 20018_x000d_
2500 EA  DEN HAAG_x000d_
</vt:lpwstr>
  </property>
  <property fmtid="{D5CDD505-2E9C-101B-9397-08002B2CF9AE}" pid="11" name="Van">
    <vt:lpwstr/>
  </property>
  <property fmtid="{D5CDD505-2E9C-101B-9397-08002B2CF9AE}" pid="12" name="Datum">
    <vt:lpwstr>4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2025-0000194220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Moties en toezegging overdrachtsbelasting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2025-02-04T14:05:59Z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b9e56476-0d41-4f6e-bad5-606b4461a079</vt:lpwstr>
  </property>
  <property fmtid="{D5CDD505-2E9C-101B-9397-08002B2CF9AE}" pid="37" name="MSIP_Label_b2aa6e22-2c82-48c6-bf24-1790f4b9c128_ContentBits">
    <vt:lpwstr>0</vt:lpwstr>
  </property>
  <property fmtid="{D5CDD505-2E9C-101B-9397-08002B2CF9AE}" pid="38" name="ClassificationContentMarkingFooterShapeIds">
    <vt:lpwstr>5c3d8244,4015fdac,7273d99d</vt:lpwstr>
  </property>
  <property fmtid="{D5CDD505-2E9C-101B-9397-08002B2CF9AE}" pid="39" name="ClassificationContentMarkingFooterFontProps">
    <vt:lpwstr>#000000,10,Calibri</vt:lpwstr>
  </property>
  <property fmtid="{D5CDD505-2E9C-101B-9397-08002B2CF9AE}" pid="40" name="ClassificationContentMarkingFooterText">
    <vt:lpwstr>Intern gebruik</vt:lpwstr>
  </property>
</Properties>
</file>