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E3" w:rsidP="006A45E3" w:rsidRDefault="006A45E3" w14:paraId="267FC382" w14:textId="77777777">
      <w:bookmarkStart w:name="_GoBack" w:id="0"/>
      <w:bookmarkEnd w:id="0"/>
      <w:r w:rsidRPr="002E1C12">
        <w:t>Geachte voorzitter,</w:t>
      </w:r>
    </w:p>
    <w:p w:rsidR="006A45E3" w:rsidP="006A45E3" w:rsidRDefault="006A45E3" w14:paraId="0E7C2553" w14:textId="77777777"/>
    <w:p w:rsidR="006A45E3" w:rsidP="006A45E3" w:rsidRDefault="006A45E3" w14:paraId="4BB0A57D" w14:textId="77777777">
      <w:r>
        <w:t>Onder de paraplu van het Strategisch Plan Verkeersveiligheid 2030 (SPV) werkt het Rijk samen met gemeenten, provincies, waterschappen, vervoerregio’s en andere (maatschappelijke) organisaties aan een verkeersveilig Nederland.</w:t>
      </w:r>
      <w:r>
        <w:rPr>
          <w:rStyle w:val="FootnoteReference"/>
        </w:rPr>
        <w:footnoteReference w:id="1"/>
      </w:r>
      <w:r>
        <w:t xml:space="preserve"> En dat is hard nodig. In 2024 kwamen er 675 mensen om het leven</w:t>
      </w:r>
      <w:r w:rsidRPr="00E6165C">
        <w:t xml:space="preserve"> </w:t>
      </w:r>
      <w:r>
        <w:t>in het verkeer. Ruim één derde hiervan zat op de fiets.</w:t>
      </w:r>
      <w:r>
        <w:rPr>
          <w:rStyle w:val="FootnoteReference"/>
        </w:rPr>
        <w:footnoteReference w:id="2"/>
      </w:r>
      <w:r>
        <w:t xml:space="preserve"> Bovendien raakten in 2023 naar </w:t>
      </w:r>
      <w:r w:rsidRPr="00AC2C10">
        <w:t>schatting 7.400</w:t>
      </w:r>
      <w:r>
        <w:t xml:space="preserve"> personen ernstig gewond, waarvan 70 procent een fietsongeval was.</w:t>
      </w:r>
      <w:r>
        <w:rPr>
          <w:rStyle w:val="FootnoteReference"/>
        </w:rPr>
        <w:footnoteReference w:id="3"/>
      </w:r>
      <w:r w:rsidRPr="00643FDD">
        <w:rPr>
          <w:vertAlign w:val="superscript"/>
        </w:rPr>
        <w:t>,</w:t>
      </w:r>
      <w:r>
        <w:rPr>
          <w:rStyle w:val="FootnoteReference"/>
        </w:rPr>
        <w:footnoteReference w:id="4"/>
      </w:r>
      <w:r>
        <w:t xml:space="preserve"> In deze brief wordt de Kamer geïnformeerd over het SPV, de resultaten uit de derde tranche van de Investeringsimpuls Verkeersveiligheid, het Meerjarenplan Fietsveiligheid 2025-2029 en de nieuwe bestuurlijke afspraken SPV 2025-2029.</w:t>
      </w:r>
    </w:p>
    <w:p w:rsidR="006A45E3" w:rsidP="006A45E3" w:rsidRDefault="006A45E3" w14:paraId="52C97910" w14:textId="77777777"/>
    <w:p w:rsidRPr="00A2651C" w:rsidR="006A45E3" w:rsidP="006A45E3" w:rsidRDefault="006A45E3" w14:paraId="16362DB0" w14:textId="77777777">
      <w:pPr>
        <w:rPr>
          <w:u w:val="single"/>
        </w:rPr>
      </w:pPr>
      <w:r w:rsidRPr="00A2651C">
        <w:rPr>
          <w:u w:val="single"/>
        </w:rPr>
        <w:t xml:space="preserve">Het Strategisch Plan Verkeersveiligheid </w:t>
      </w:r>
      <w:r>
        <w:rPr>
          <w:u w:val="single"/>
        </w:rPr>
        <w:t>2030 (SPV)</w:t>
      </w:r>
    </w:p>
    <w:p w:rsidR="006A45E3" w:rsidP="006A45E3" w:rsidRDefault="006A45E3" w14:paraId="3783685E" w14:textId="77777777">
      <w:r w:rsidRPr="002A3F82">
        <w:t xml:space="preserve">Het </w:t>
      </w:r>
      <w:r>
        <w:t>SPV</w:t>
      </w:r>
      <w:r w:rsidRPr="002A3F82">
        <w:t xml:space="preserve"> is </w:t>
      </w:r>
      <w:r>
        <w:t xml:space="preserve">in 2018 samen </w:t>
      </w:r>
      <w:r w:rsidRPr="002A3F82">
        <w:t xml:space="preserve">met </w:t>
      </w:r>
      <w:r>
        <w:t>alle – voor verkeersveiligheid verantwoordelijke - medeoverheden</w:t>
      </w:r>
      <w:r w:rsidRPr="002A3F82">
        <w:t xml:space="preserve"> en </w:t>
      </w:r>
      <w:r>
        <w:t>andere (</w:t>
      </w:r>
      <w:r w:rsidRPr="002A3F82">
        <w:t>maatschappelijke</w:t>
      </w:r>
      <w:r>
        <w:t>)</w:t>
      </w:r>
      <w:r w:rsidRPr="002A3F82">
        <w:t xml:space="preserve"> partijen</w:t>
      </w:r>
      <w:r>
        <w:t xml:space="preserve"> opgesteld om het aantal verkeersslachtoffers te reduceren. </w:t>
      </w:r>
      <w:r w:rsidRPr="00AD0576">
        <w:t>In het SPV staat risicogestuurd werken centraal</w:t>
      </w:r>
      <w:r>
        <w:t xml:space="preserve">: </w:t>
      </w:r>
      <w:r w:rsidRPr="00AD0576">
        <w:t>een proactieve aanpak</w:t>
      </w:r>
      <w:r>
        <w:t xml:space="preserve"> </w:t>
      </w:r>
      <w:r w:rsidRPr="00AD0576">
        <w:t xml:space="preserve">van </w:t>
      </w:r>
      <w:r>
        <w:t xml:space="preserve">de grootste </w:t>
      </w:r>
      <w:r w:rsidRPr="00AD0576">
        <w:t>risico’s in het verkeer</w:t>
      </w:r>
      <w:r>
        <w:t xml:space="preserve"> door maatregelen</w:t>
      </w:r>
      <w:r w:rsidRPr="00AD0576">
        <w:t xml:space="preserve"> </w:t>
      </w:r>
      <w:r>
        <w:t xml:space="preserve">op het gebied van infrastructuur, voertuigen, verkeersgedrag en verkeershandhaving. </w:t>
      </w:r>
    </w:p>
    <w:p w:rsidR="006A45E3" w:rsidP="006A45E3" w:rsidRDefault="006A45E3" w14:paraId="4747B72A" w14:textId="77777777"/>
    <w:p w:rsidRPr="000C3AF7" w:rsidR="006A45E3" w:rsidP="006A45E3" w:rsidRDefault="006A45E3" w14:paraId="254A9802" w14:textId="77777777">
      <w:bookmarkStart w:name="_Hlk199147083" w:id="1"/>
      <w:r>
        <w:t xml:space="preserve">Onderdeel van het SPV is de Investeringsimpuls Verkeersveiligheid. Het ministerie van IenW heeft in 2020 </w:t>
      </w:r>
      <w:r w:rsidRPr="00916D32">
        <w:t>€</w:t>
      </w:r>
      <w:r>
        <w:t xml:space="preserve"> 500 miljoen beschikbaar gesteld voor bewezen effectieve maatregelen die een impuls geven aan de verkeersveiligheid. Daarvan is </w:t>
      </w:r>
      <w:r w:rsidRPr="00916D32">
        <w:t>€</w:t>
      </w:r>
      <w:r>
        <w:t xml:space="preserve"> </w:t>
      </w:r>
      <w:r w:rsidRPr="00916D32">
        <w:t xml:space="preserve">450 </w:t>
      </w:r>
      <w:r>
        <w:t xml:space="preserve">miljoen beschikbaar </w:t>
      </w:r>
      <w:r w:rsidRPr="00916D32">
        <w:t xml:space="preserve">voor </w:t>
      </w:r>
      <w:r>
        <w:t xml:space="preserve">het veiliger maken van infrastructuur die in beheer is van </w:t>
      </w:r>
      <w:r w:rsidRPr="00916D32">
        <w:t>medeoverheden</w:t>
      </w:r>
      <w:r>
        <w:rPr>
          <w:rStyle w:val="FootnoteReference"/>
        </w:rPr>
        <w:footnoteReference w:id="5"/>
      </w:r>
      <w:r w:rsidRPr="00916D32">
        <w:t>.</w:t>
      </w:r>
      <w:r>
        <w:t xml:space="preserve"> Denk hierbij aan de aanleg van rotondes, vrijliggende fietspaden en drempels. </w:t>
      </w:r>
      <w:r w:rsidRPr="000C3AF7">
        <w:t>Recent hebben de SPV-partners besloten om de overige € 50 miljoen in te zetten voor de uitvoering van het Meerjarenplan Fietsveiligheid (en dan voetnoot naar bijlage 2). Hiervan is reeds € 1 miljoen gereserveerd voor urgente fietsmaatregelen die al in 2024 zijn opgestart.</w:t>
      </w:r>
    </w:p>
    <w:p w:rsidR="006A45E3" w:rsidP="006A45E3" w:rsidRDefault="006A45E3" w14:paraId="39B63EB9" w14:textId="77777777"/>
    <w:bookmarkEnd w:id="1"/>
    <w:p w:rsidRPr="00816B88" w:rsidR="006A45E3" w:rsidP="006A45E3" w:rsidRDefault="006A45E3" w14:paraId="1F910950" w14:textId="77777777"/>
    <w:p w:rsidR="006A45E3" w:rsidP="006A45E3" w:rsidRDefault="006A45E3" w14:paraId="1A1F0E31" w14:textId="77777777">
      <w:pPr>
        <w:pStyle w:val="WitregelW1bodytekst"/>
        <w:rPr>
          <w:u w:val="single"/>
        </w:rPr>
      </w:pPr>
      <w:bookmarkStart w:name="_Hlk199936519" w:id="2"/>
      <w:r>
        <w:rPr>
          <w:u w:val="single"/>
        </w:rPr>
        <w:t>Resultaten eerste aanvraagtijdvak derde tranche investeringsimpuls</w:t>
      </w:r>
    </w:p>
    <w:p w:rsidR="006A45E3" w:rsidP="006A45E3" w:rsidRDefault="006A45E3" w14:paraId="34703642" w14:textId="77777777">
      <w:pPr>
        <w:pStyle w:val="WitregelW1bodytekst"/>
      </w:pPr>
      <w:r>
        <w:t>Begin dit jaar heeft de minister van IenW het eerste aanvraagtijdvak van de derde tranche van de Investeringsimpuls Verkeersveiligheid aangekondigd. Hier is goed gebruik van gemaakt: het Rijk heeft € 119 miljoen verstrekt, verdeeld over 193 provincies, gemeenten en waterschappen. Dit bedrag wordt door de medeoverheden minimaal verdubbeld, en waarmee in de jaren 2025 tot en met 2028 verkeersveiligheidsmaatregelen op het onderliggend wegennet worden gerealiseerd.</w:t>
      </w:r>
    </w:p>
    <w:p w:rsidR="006A45E3" w:rsidP="006A45E3" w:rsidRDefault="006A45E3" w14:paraId="4FDE4E41" w14:textId="77777777"/>
    <w:p w:rsidR="006A45E3" w:rsidP="006A45E3" w:rsidRDefault="006A45E3" w14:paraId="1E6CEA02" w14:textId="77777777">
      <w:r>
        <w:t>Tijdens de eerste en tweede tranche had 84 procent van de medeoverheden een aanvraag ingediend voor de investeringsimpuls. Tijdens het eerste aanvraagtijdvak van de derde tranche hebben 26</w:t>
      </w:r>
      <w:r w:rsidRPr="0052706E">
        <w:t xml:space="preserve"> </w:t>
      </w:r>
      <w:r>
        <w:t>medeoverheden voor het eerst een aanvraag ingediend. Dit betekent dat momenteel bijna 91 procent van de medeoverheden een aanvraag voor de investeringsimpuls heeft gedaan.</w:t>
      </w:r>
    </w:p>
    <w:p w:rsidR="006A45E3" w:rsidP="006A45E3" w:rsidRDefault="006A45E3" w14:paraId="535A12C3" w14:textId="77777777"/>
    <w:p w:rsidR="006A45E3" w:rsidP="006A45E3" w:rsidRDefault="006A45E3" w14:paraId="418E99FB" w14:textId="77777777">
      <w:r>
        <w:t xml:space="preserve">De meest aangevraagde </w:t>
      </w:r>
      <w:r w:rsidRPr="0052706E">
        <w:t xml:space="preserve">maatregelen </w:t>
      </w:r>
      <w:r>
        <w:t xml:space="preserve">zijn </w:t>
      </w:r>
      <w:r w:rsidRPr="0052706E">
        <w:t>snelheid</w:t>
      </w:r>
      <w:r>
        <w:t xml:space="preserve"> </w:t>
      </w:r>
      <w:r w:rsidRPr="0052706E">
        <w:t>remmen</w:t>
      </w:r>
      <w:r>
        <w:t xml:space="preserve">de maatregelen </w:t>
      </w:r>
      <w:r w:rsidRPr="0052706E">
        <w:t xml:space="preserve">zoals </w:t>
      </w:r>
      <w:r>
        <w:t>de aanleg van kruispuntplateaus, drempels of het aanleggen van gebiedsontsluitingswegen met een snelheidslimiet van 30 km/u</w:t>
      </w:r>
      <w:r w:rsidRPr="0052706E">
        <w:t>.</w:t>
      </w:r>
      <w:r>
        <w:t xml:space="preserve"> Wat opvalt is dat veel van de aangevraagde maatregelen tegemoetkomen aan de wens van de Kamer om extra aandacht te vestigen op de risicogroep ouderen en seniorproof wegontwerp.</w:t>
      </w:r>
      <w:r>
        <w:rPr>
          <w:rStyle w:val="FootnoteReference"/>
        </w:rPr>
        <w:footnoteReference w:id="6"/>
      </w:r>
      <w:r w:rsidRPr="00E10191">
        <w:t xml:space="preserve"> </w:t>
      </w:r>
      <w:r>
        <w:t>Daarom zijn de a</w:t>
      </w:r>
      <w:r w:rsidRPr="00394E47">
        <w:t xml:space="preserve">anleg </w:t>
      </w:r>
      <w:r>
        <w:t xml:space="preserve">van een </w:t>
      </w:r>
      <w:r w:rsidRPr="00394E47">
        <w:t>vrijliggend voetpa</w:t>
      </w:r>
      <w:r>
        <w:t>d, het a</w:t>
      </w:r>
      <w:r w:rsidRPr="00394E47">
        <w:t xml:space="preserve">anbrengen </w:t>
      </w:r>
      <w:r>
        <w:t xml:space="preserve">van </w:t>
      </w:r>
      <w:r w:rsidRPr="00394E47">
        <w:t>kant- en asmarkering</w:t>
      </w:r>
      <w:r>
        <w:t xml:space="preserve"> op fietspaden en het ve</w:t>
      </w:r>
      <w:r w:rsidRPr="00394E47">
        <w:t>rwijderen fietspaaltj</w:t>
      </w:r>
      <w:r>
        <w:t>es, uitgelichte maatregelen op de zogeheten menukaart in beeld.</w:t>
      </w:r>
      <w:r>
        <w:rPr>
          <w:rStyle w:val="FootnoteReference"/>
        </w:rPr>
        <w:footnoteReference w:id="7"/>
      </w:r>
      <w:r>
        <w:t xml:space="preserve"> Daarnaast had de Kamer met de motie Grinwis c.s. verzocht om zich in te spannen om het aantal drukke schoolroutes zonder vrijliggend fietspad op 80- en 50-kilometerwegen terug te dringen</w:t>
      </w:r>
      <w:r>
        <w:rPr>
          <w:rStyle w:val="FootnoteReference"/>
        </w:rPr>
        <w:footnoteReference w:id="8"/>
      </w:r>
      <w:r>
        <w:t>. Eerder heeft de minister van IenW de wegbeheerders daarom aangemoedigd hiervoor gebruik te maken van de derde tranche van de investeringsimpuls. Daarnaast heeft de minister de medeoverheden opgeroepen gericht maatregelen te treffen waarmee voorkomen kan worden dat schoolroutes via 80- en 50-kilometerwegen lopen. Hieraan is goed gehoor gegeven: medeoverheden hebben aanvragen ingediend voor de aanleg van in totaal bijna 80 kilometer aan vrijliggende fietspaden.</w:t>
      </w:r>
    </w:p>
    <w:p w:rsidR="006A45E3" w:rsidP="006A45E3" w:rsidRDefault="006A45E3" w14:paraId="16B6158B" w14:textId="77777777"/>
    <w:p w:rsidRPr="004C3C27" w:rsidR="006A45E3" w:rsidP="006A45E3" w:rsidRDefault="006A45E3" w14:paraId="6265236D" w14:textId="77777777">
      <w:r w:rsidRPr="0052706E">
        <w:t xml:space="preserve">De komende periode wordt </w:t>
      </w:r>
      <w:r>
        <w:t>het eerste aanvraagtijdvak van de derde</w:t>
      </w:r>
      <w:r w:rsidRPr="0052706E">
        <w:t xml:space="preserve"> tranche </w:t>
      </w:r>
      <w:r>
        <w:t xml:space="preserve">besproken met de SPV-partners, waarbij onder andere gekeken wordt naar hoe het nieuwe </w:t>
      </w:r>
      <w:r w:rsidRPr="0052706E">
        <w:t xml:space="preserve">aanvraagproces </w:t>
      </w:r>
      <w:r>
        <w:t>is ervaren. Daarnaast word</w:t>
      </w:r>
      <w:r w:rsidRPr="0052706E">
        <w:t>t uitgezocht waarom sommige gemeenten en waterschappen</w:t>
      </w:r>
      <w:r>
        <w:t xml:space="preserve"> tijdens dit tijdvak</w:t>
      </w:r>
      <w:r w:rsidRPr="0052706E">
        <w:t xml:space="preserve"> geen aanvraag hebben ingediend. </w:t>
      </w:r>
      <w:r>
        <w:t>Het voornemen is om in het derde kwartaal van dit jaar een tweede aanvraagtijdvak open te stellen.</w:t>
      </w:r>
    </w:p>
    <w:bookmarkEnd w:id="2"/>
    <w:p w:rsidRPr="00AF638A" w:rsidR="006A45E3" w:rsidP="006A45E3" w:rsidRDefault="006A45E3" w14:paraId="5D0CF3B3" w14:textId="77777777"/>
    <w:p w:rsidRPr="0030045C" w:rsidR="006A45E3" w:rsidP="006A45E3" w:rsidRDefault="006A45E3" w14:paraId="54EDF178" w14:textId="77777777">
      <w:pPr>
        <w:pStyle w:val="WitregelW1bodytekst"/>
        <w:rPr>
          <w:u w:val="single"/>
        </w:rPr>
      </w:pPr>
      <w:r w:rsidRPr="00A2651C">
        <w:rPr>
          <w:u w:val="single"/>
        </w:rPr>
        <w:t>Meerjarenplan Fietsveiligheid</w:t>
      </w:r>
      <w:r>
        <w:rPr>
          <w:u w:val="single"/>
        </w:rPr>
        <w:t xml:space="preserve"> 2025-2029</w:t>
      </w:r>
    </w:p>
    <w:p w:rsidR="006A45E3" w:rsidP="006A45E3" w:rsidRDefault="006A45E3" w14:paraId="47556175" w14:textId="77777777">
      <w:r>
        <w:t>Samen met de SPV-partners heeft het ministerie van IenW het Meerjarenplan Fietsveiligheid 2025-2029 opgesteld.</w:t>
      </w:r>
      <w:r>
        <w:rPr>
          <w:rStyle w:val="FootnoteReference"/>
        </w:rPr>
        <w:footnoteReference w:id="9"/>
      </w:r>
      <w:r>
        <w:t xml:space="preserve"> </w:t>
      </w:r>
      <w:bookmarkStart w:name="_Hlk164242588" w:id="3"/>
      <w:r>
        <w:t>Hiermee wordt ingezet op de belangrijkste fietsveiligheidsmaatregelen uit de SWOV rapportage ‘Kiezen of delen’, zoals het gebruik van de fietshelm stimuleren en het veiliger maken van infrastructuur voor fietsers.</w:t>
      </w:r>
      <w:r>
        <w:rPr>
          <w:rStyle w:val="FootnoteReference"/>
        </w:rPr>
        <w:footnoteReference w:id="10"/>
      </w:r>
      <w:r>
        <w:t xml:space="preserve"> Het ministerie van IenW wil </w:t>
      </w:r>
      <w:r w:rsidRPr="00520D4E">
        <w:t xml:space="preserve">bovendien bijdragen aan </w:t>
      </w:r>
      <w:r>
        <w:t>het</w:t>
      </w:r>
      <w:r w:rsidRPr="00520D4E">
        <w:t xml:space="preserve"> ver</w:t>
      </w:r>
      <w:r>
        <w:t xml:space="preserve">beteren </w:t>
      </w:r>
      <w:r w:rsidRPr="00520D4E">
        <w:t xml:space="preserve">van </w:t>
      </w:r>
      <w:r>
        <w:t xml:space="preserve">de </w:t>
      </w:r>
      <w:r w:rsidRPr="00520D4E">
        <w:t>fietsveiligheid door organisaties aan te moedigen bestaande maatregelen door te ontwikkelen en ruimte te bieden voor nieuwe initiatieven</w:t>
      </w:r>
      <w:r>
        <w:t xml:space="preserve">. </w:t>
      </w:r>
      <w:bookmarkEnd w:id="3"/>
      <w:r>
        <w:br/>
      </w:r>
    </w:p>
    <w:p w:rsidR="006A45E3" w:rsidP="006A45E3" w:rsidRDefault="006A45E3" w14:paraId="3188AFAE" w14:textId="77777777">
      <w:r>
        <w:t>In de kern bestaat het Meerjarenplan Fietsveiligheid uit tien acties:</w:t>
      </w:r>
    </w:p>
    <w:p w:rsidR="006A45E3" w:rsidP="006A45E3" w:rsidRDefault="006A45E3" w14:paraId="63C86872" w14:textId="77777777">
      <w:r>
        <w:t xml:space="preserve"> </w:t>
      </w:r>
    </w:p>
    <w:tbl>
      <w:tblPr>
        <w:tblStyle w:val="ListTable2"/>
        <w:tblW w:w="7679" w:type="dxa"/>
        <w:tblInd w:w="-108" w:type="dxa"/>
        <w:tblLook w:val="04A0" w:firstRow="1" w:lastRow="0" w:firstColumn="1" w:lastColumn="0" w:noHBand="0" w:noVBand="1"/>
      </w:tblPr>
      <w:tblGrid>
        <w:gridCol w:w="3615"/>
        <w:gridCol w:w="179"/>
        <w:gridCol w:w="3777"/>
        <w:gridCol w:w="108"/>
      </w:tblGrid>
      <w:tr w:rsidRPr="0061493B" w:rsidR="006A45E3" w:rsidTr="008365E7" w14:paraId="04F233F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5" w:type="dxa"/>
            <w:hideMark/>
          </w:tcPr>
          <w:p w:rsidRPr="0061493B" w:rsidR="006A45E3" w:rsidP="008365E7" w:rsidRDefault="006A45E3" w14:paraId="1A5BCD23" w14:textId="77777777">
            <w:pPr>
              <w:rPr>
                <w:b w:val="0"/>
                <w:bCs w:val="0"/>
              </w:rPr>
            </w:pPr>
            <w:r w:rsidRPr="0061493B">
              <w:rPr>
                <w:b w:val="0"/>
                <w:bCs w:val="0"/>
              </w:rPr>
              <w:t>Nieuwe acties </w:t>
            </w:r>
          </w:p>
        </w:tc>
        <w:tc>
          <w:tcPr>
            <w:tcW w:w="3956" w:type="dxa"/>
            <w:gridSpan w:val="3"/>
            <w:hideMark/>
          </w:tcPr>
          <w:p w:rsidRPr="0061493B" w:rsidR="006A45E3" w:rsidP="008365E7" w:rsidRDefault="006A45E3" w14:paraId="4ED96485" w14:textId="77777777">
            <w:pPr>
              <w:cnfStyle w:val="100000000000" w:firstRow="1" w:lastRow="0" w:firstColumn="0" w:lastColumn="0" w:oddVBand="0" w:evenVBand="0" w:oddHBand="0" w:evenHBand="0" w:firstRowFirstColumn="0" w:firstRowLastColumn="0" w:lastRowFirstColumn="0" w:lastRowLastColumn="0"/>
              <w:rPr>
                <w:b w:val="0"/>
                <w:bCs w:val="0"/>
              </w:rPr>
            </w:pPr>
            <w:r w:rsidRPr="0061493B">
              <w:rPr>
                <w:b w:val="0"/>
                <w:bCs w:val="0"/>
              </w:rPr>
              <w:t>Voortzetting lopende acties </w:t>
            </w:r>
          </w:p>
        </w:tc>
      </w:tr>
      <w:tr w:rsidRPr="0061493B" w:rsidR="006A45E3" w:rsidTr="008365E7" w14:paraId="7278B764" w14:textId="77777777">
        <w:trPr>
          <w:gridAfter w:val="1"/>
          <w:cnfStyle w:val="000000100000" w:firstRow="0" w:lastRow="0" w:firstColumn="0" w:lastColumn="0" w:oddVBand="0" w:evenVBand="0" w:oddHBand="1" w:evenHBand="0" w:firstRowFirstColumn="0" w:firstRowLastColumn="0" w:lastRowFirstColumn="0" w:lastRowLastColumn="0"/>
          <w:wAfter w:w="108" w:type="dxa"/>
          <w:trHeight w:val="569"/>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uto"/>
            <w:hideMark/>
          </w:tcPr>
          <w:p w:rsidRPr="0061493B" w:rsidR="006A45E3" w:rsidP="008365E7" w:rsidRDefault="006A45E3" w14:paraId="5AC11313" w14:textId="77777777">
            <w:pPr>
              <w:numPr>
                <w:ilvl w:val="0"/>
                <w:numId w:val="25"/>
              </w:numPr>
              <w:tabs>
                <w:tab w:val="num" w:pos="720"/>
              </w:tabs>
              <w:rPr>
                <w:b w:val="0"/>
                <w:bCs w:val="0"/>
              </w:rPr>
            </w:pPr>
            <w:r w:rsidRPr="0061493B">
              <w:rPr>
                <w:b w:val="0"/>
                <w:bCs w:val="0"/>
              </w:rPr>
              <w:t>verminderen valrisico fietsers </w:t>
            </w:r>
          </w:p>
          <w:p w:rsidRPr="0061493B" w:rsidR="006A45E3" w:rsidP="008365E7" w:rsidRDefault="006A45E3" w14:paraId="3C05B983" w14:textId="77777777">
            <w:pPr>
              <w:numPr>
                <w:ilvl w:val="0"/>
                <w:numId w:val="25"/>
              </w:numPr>
              <w:tabs>
                <w:tab w:val="num" w:pos="720"/>
              </w:tabs>
              <w:rPr>
                <w:b w:val="0"/>
                <w:bCs w:val="0"/>
              </w:rPr>
            </w:pPr>
            <w:r w:rsidRPr="0061493B">
              <w:rPr>
                <w:b w:val="0"/>
                <w:bCs w:val="0"/>
              </w:rPr>
              <w:t>verminderen risicogedrag rondom fietsen </w:t>
            </w:r>
          </w:p>
          <w:p w:rsidRPr="0061493B" w:rsidR="006A45E3" w:rsidP="008365E7" w:rsidRDefault="006A45E3" w14:paraId="42AAA8DC" w14:textId="77777777">
            <w:pPr>
              <w:numPr>
                <w:ilvl w:val="0"/>
                <w:numId w:val="25"/>
              </w:numPr>
              <w:tabs>
                <w:tab w:val="num" w:pos="720"/>
              </w:tabs>
              <w:rPr>
                <w:b w:val="0"/>
                <w:bCs w:val="0"/>
              </w:rPr>
            </w:pPr>
            <w:r w:rsidRPr="0061493B">
              <w:rPr>
                <w:b w:val="0"/>
                <w:bCs w:val="0"/>
              </w:rPr>
              <w:t>kennisontwikkeling fietsveiligheid </w:t>
            </w:r>
          </w:p>
          <w:p w:rsidRPr="0061493B" w:rsidR="006A45E3" w:rsidP="008365E7" w:rsidRDefault="006A45E3" w14:paraId="281CEAB2" w14:textId="77777777">
            <w:pPr>
              <w:numPr>
                <w:ilvl w:val="0"/>
                <w:numId w:val="25"/>
              </w:numPr>
              <w:tabs>
                <w:tab w:val="num" w:pos="720"/>
              </w:tabs>
              <w:rPr>
                <w:b w:val="0"/>
                <w:bCs w:val="0"/>
              </w:rPr>
            </w:pPr>
            <w:r w:rsidRPr="0061493B">
              <w:rPr>
                <w:b w:val="0"/>
                <w:bCs w:val="0"/>
              </w:rPr>
              <w:t>stimuleren fietshelmgebruik </w:t>
            </w:r>
          </w:p>
          <w:p w:rsidRPr="0061493B" w:rsidR="006A45E3" w:rsidP="008365E7" w:rsidRDefault="006A45E3" w14:paraId="78648248" w14:textId="77777777">
            <w:pPr>
              <w:numPr>
                <w:ilvl w:val="0"/>
                <w:numId w:val="25"/>
              </w:numPr>
              <w:tabs>
                <w:tab w:val="num" w:pos="720"/>
              </w:tabs>
            </w:pPr>
            <w:r w:rsidRPr="0061493B">
              <w:rPr>
                <w:b w:val="0"/>
                <w:bCs w:val="0"/>
              </w:rPr>
              <w:t>verminderen massa- en snelheidsverschillen op het fietspad</w:t>
            </w:r>
            <w:r w:rsidRPr="0061493B">
              <w:t> </w:t>
            </w:r>
          </w:p>
        </w:tc>
        <w:tc>
          <w:tcPr>
            <w:tcW w:w="3777" w:type="dxa"/>
            <w:shd w:val="clear" w:color="auto" w:fill="auto"/>
            <w:hideMark/>
          </w:tcPr>
          <w:p w:rsidRPr="0061493B" w:rsidR="006A45E3" w:rsidP="008365E7" w:rsidRDefault="006A45E3" w14:paraId="42E6F945" w14:textId="77777777">
            <w:pPr>
              <w:numPr>
                <w:ilvl w:val="0"/>
                <w:numId w:val="26"/>
              </w:numPr>
              <w:tabs>
                <w:tab w:val="num" w:pos="720"/>
              </w:tabs>
              <w:cnfStyle w:val="000000100000" w:firstRow="0" w:lastRow="0" w:firstColumn="0" w:lastColumn="0" w:oddVBand="0" w:evenVBand="0" w:oddHBand="1" w:evenHBand="0" w:firstRowFirstColumn="0" w:firstRowLastColumn="0" w:lastRowFirstColumn="0" w:lastRowLastColumn="0"/>
            </w:pPr>
            <w:r w:rsidRPr="0061493B">
              <w:t>stimuleren veilige fietsinfrastructuur </w:t>
            </w:r>
          </w:p>
          <w:p w:rsidRPr="0061493B" w:rsidR="006A45E3" w:rsidP="008365E7" w:rsidRDefault="006A45E3" w14:paraId="31F5A24F" w14:textId="77777777">
            <w:pPr>
              <w:numPr>
                <w:ilvl w:val="0"/>
                <w:numId w:val="26"/>
              </w:numPr>
              <w:tabs>
                <w:tab w:val="num" w:pos="720"/>
              </w:tabs>
              <w:cnfStyle w:val="000000100000" w:firstRow="0" w:lastRow="0" w:firstColumn="0" w:lastColumn="0" w:oddVBand="0" w:evenVBand="0" w:oddHBand="1" w:evenHBand="0" w:firstRowFirstColumn="0" w:firstRowLastColumn="0" w:lastRowFirstColumn="0" w:lastRowLastColumn="0"/>
            </w:pPr>
            <w:r w:rsidRPr="0061493B">
              <w:t>programma Doortrappen </w:t>
            </w:r>
          </w:p>
          <w:p w:rsidRPr="0061493B" w:rsidR="006A45E3" w:rsidP="008365E7" w:rsidRDefault="006A45E3" w14:paraId="37608D29" w14:textId="77777777">
            <w:pPr>
              <w:numPr>
                <w:ilvl w:val="0"/>
                <w:numId w:val="26"/>
              </w:numPr>
              <w:tabs>
                <w:tab w:val="num" w:pos="720"/>
              </w:tabs>
              <w:cnfStyle w:val="000000100000" w:firstRow="0" w:lastRow="0" w:firstColumn="0" w:lastColumn="0" w:oddVBand="0" w:evenVBand="0" w:oddHBand="1" w:evenHBand="0" w:firstRowFirstColumn="0" w:firstRowLastColumn="0" w:lastRowFirstColumn="0" w:lastRowLastColumn="0"/>
            </w:pPr>
            <w:r w:rsidRPr="0061493B">
              <w:t>fietsveiligheidscampagnes </w:t>
            </w:r>
          </w:p>
          <w:p w:rsidRPr="0061493B" w:rsidR="006A45E3" w:rsidP="008365E7" w:rsidRDefault="006A45E3" w14:paraId="0E143D48" w14:textId="77777777">
            <w:pPr>
              <w:numPr>
                <w:ilvl w:val="0"/>
                <w:numId w:val="26"/>
              </w:numPr>
              <w:tabs>
                <w:tab w:val="num" w:pos="720"/>
              </w:tabs>
              <w:cnfStyle w:val="000000100000" w:firstRow="0" w:lastRow="0" w:firstColumn="0" w:lastColumn="0" w:oddVBand="0" w:evenVBand="0" w:oddHBand="1" w:evenHBand="0" w:firstRowFirstColumn="0" w:firstRowLastColumn="0" w:lastRowFirstColumn="0" w:lastRowLastColumn="0"/>
            </w:pPr>
            <w:r>
              <w:t>verkennen vervolgstappen</w:t>
            </w:r>
            <w:r w:rsidRPr="0061493B">
              <w:t xml:space="preserve"> fietsongevallendata </w:t>
            </w:r>
          </w:p>
          <w:p w:rsidRPr="0061493B" w:rsidR="006A45E3" w:rsidP="008365E7" w:rsidRDefault="006A45E3" w14:paraId="397FAF66" w14:textId="77777777">
            <w:pPr>
              <w:numPr>
                <w:ilvl w:val="0"/>
                <w:numId w:val="26"/>
              </w:numPr>
              <w:tabs>
                <w:tab w:val="num" w:pos="720"/>
              </w:tabs>
              <w:cnfStyle w:val="000000100000" w:firstRow="0" w:lastRow="0" w:firstColumn="0" w:lastColumn="0" w:oddVBand="0" w:evenVBand="0" w:oddHBand="1" w:evenHBand="0" w:firstRowFirstColumn="0" w:firstRowLastColumn="0" w:lastRowFirstColumn="0" w:lastRowLastColumn="0"/>
            </w:pPr>
            <w:r w:rsidRPr="0061493B">
              <w:t>Lichte Elektrische Voertuigen-kader </w:t>
            </w:r>
          </w:p>
        </w:tc>
      </w:tr>
    </w:tbl>
    <w:p w:rsidR="006A45E3" w:rsidP="006A45E3" w:rsidRDefault="006A45E3" w14:paraId="1C206147" w14:textId="77777777"/>
    <w:p w:rsidR="006A45E3" w:rsidP="006A45E3" w:rsidRDefault="006A45E3" w14:paraId="2140B4A4" w14:textId="77777777">
      <w:r>
        <w:t>Het Meerjarenplan Fietsveiligheid geeft met de vijf nieuwe acties invulling aan de resterende € 49 miljoen voor vernieuwende maatregelen binnen de Investeringsimpuls Verkeersveiligheid.</w:t>
      </w:r>
      <w:r>
        <w:rPr>
          <w:rStyle w:val="FootnoteReference"/>
        </w:rPr>
        <w:footnoteReference w:id="11"/>
      </w:r>
      <w:r w:rsidRPr="00F86231">
        <w:rPr>
          <w:vertAlign w:val="superscript"/>
        </w:rPr>
        <w:t>,</w:t>
      </w:r>
      <w:r>
        <w:rPr>
          <w:rStyle w:val="FootnoteReference"/>
        </w:rPr>
        <w:footnoteReference w:id="12"/>
      </w:r>
      <w:r>
        <w:t xml:space="preserve"> Hiermee worden de toezeggingen aan de Kamer over het Meerjarenplan Fietsveiligheid afgedaan.</w:t>
      </w:r>
      <w:r w:rsidRPr="005974BA">
        <w:rPr>
          <w:rStyle w:val="FootnoteReference"/>
        </w:rPr>
        <w:footnoteReference w:id="13"/>
      </w:r>
      <w:r w:rsidDel="00E762AC">
        <w:t xml:space="preserve"> </w:t>
      </w:r>
    </w:p>
    <w:p w:rsidR="006A45E3" w:rsidP="006A45E3" w:rsidRDefault="006A45E3" w14:paraId="4A5EB4DF" w14:textId="77777777"/>
    <w:p w:rsidRPr="00B05B4A" w:rsidR="006A45E3" w:rsidP="006A45E3" w:rsidRDefault="006A45E3" w14:paraId="2E4D98D1" w14:textId="77777777">
      <w:r w:rsidRPr="009D5A81">
        <w:t xml:space="preserve">De </w:t>
      </w:r>
      <w:r>
        <w:t xml:space="preserve">nieuwe </w:t>
      </w:r>
      <w:r w:rsidRPr="009D5A81">
        <w:t xml:space="preserve">acties met betrekking tot valrisico, risicogedrag en kennisontwikkeling worden vanuit één </w:t>
      </w:r>
      <w:r>
        <w:t>praktijkgericht kennisprogramma</w:t>
      </w:r>
      <w:r w:rsidRPr="009D5A81">
        <w:t xml:space="preserve"> uitgevoerd</w:t>
      </w:r>
      <w:r>
        <w:t xml:space="preserve"> door ZonMw</w:t>
      </w:r>
      <w:r w:rsidRPr="009D5A81">
        <w:t>.</w:t>
      </w:r>
      <w:r>
        <w:rPr>
          <w:rStyle w:val="FootnoteReference"/>
        </w:rPr>
        <w:footnoteReference w:id="14"/>
      </w:r>
      <w:r>
        <w:t xml:space="preserve"> </w:t>
      </w:r>
      <w:r w:rsidRPr="009D5A81">
        <w:t xml:space="preserve">In dit programma worden subsidies verstrekt aan medeoverheden, kennisinstellingen en </w:t>
      </w:r>
      <w:r>
        <w:t>marktpartijen</w:t>
      </w:r>
      <w:r w:rsidRPr="009D5A81">
        <w:t xml:space="preserve"> voor het </w:t>
      </w:r>
      <w:r>
        <w:t>(door)</w:t>
      </w:r>
      <w:r w:rsidRPr="009D5A81">
        <w:t>ontwikkelen</w:t>
      </w:r>
      <w:r>
        <w:t xml:space="preserve"> van maatregelen die de fietsveiligheid verbeteren. Hierbij wordt de effectiviteit </w:t>
      </w:r>
      <w:r w:rsidRPr="009D5A81">
        <w:t xml:space="preserve">van </w:t>
      </w:r>
      <w:r>
        <w:t>(kennis)</w:t>
      </w:r>
      <w:r w:rsidRPr="009D5A81">
        <w:t>producten en interventies</w:t>
      </w:r>
      <w:r>
        <w:t xml:space="preserve"> voor fietsveiligheid onderzocht, met het doel dat deze opgeschaald en structureel geborgd worden in beleid van het Rijk en/of medeoverheden</w:t>
      </w:r>
      <w:r w:rsidRPr="009D5A81">
        <w:t>. </w:t>
      </w:r>
      <w:bookmarkStart w:name="_Hlk198808229" w:id="4"/>
      <w:r w:rsidRPr="00C34738">
        <w:t xml:space="preserve">ZonMw werkt op dit moment het programmavoorstel uit. </w:t>
      </w:r>
    </w:p>
    <w:p w:rsidRPr="00B05B4A" w:rsidR="006A45E3" w:rsidP="006A45E3" w:rsidRDefault="006A45E3" w14:paraId="71EC608A" w14:textId="77777777">
      <w:r w:rsidRPr="00B05B4A">
        <w:t>Naar verwachting zullen organisaties vanaf begin 2026 subsidie kunnen aanvragen voor verschillende initiatieven om de fietsveiligheid te verbeteren.</w:t>
      </w:r>
    </w:p>
    <w:p w:rsidRPr="00AF638A" w:rsidR="006A45E3" w:rsidP="006A45E3" w:rsidRDefault="006A45E3" w14:paraId="14408D70" w14:textId="77777777"/>
    <w:p w:rsidRPr="00DA3304" w:rsidR="006A45E3" w:rsidP="006A45E3" w:rsidRDefault="006A45E3" w14:paraId="0B7ECC8B" w14:textId="77777777">
      <w:pPr>
        <w:rPr>
          <w:u w:val="single"/>
        </w:rPr>
      </w:pPr>
      <w:bookmarkStart w:name="_Hlk199854108" w:id="5"/>
      <w:r>
        <w:rPr>
          <w:u w:val="single"/>
        </w:rPr>
        <w:t>Bestuurlijke afspraken SPV 2025-2029</w:t>
      </w:r>
    </w:p>
    <w:p w:rsidR="006A45E3" w:rsidP="006A45E3" w:rsidRDefault="006A45E3" w14:paraId="1A79B595" w14:textId="77777777">
      <w:r>
        <w:t>Het SPV kent drie fasen, namelijk de introductieperiode (2018-2020), de implementatiefase waarbij overheden ervaring opdoen met de nieuwe werkwijze en deze evalueren (2020-2025) en de fase waarin overheden de aanpak verder professionaliseren en bijstellen aan de hand van de geleerde lessen (2025-2030). Momenteel begeven we ons in de overgang van de tweede naar de derde fase. Conform afspraak met de SPV-partners</w:t>
      </w:r>
      <w:r>
        <w:rPr>
          <w:rStyle w:val="FootnoteReference"/>
        </w:rPr>
        <w:footnoteReference w:id="15"/>
      </w:r>
      <w:r>
        <w:t xml:space="preserve"> is het SPV geëvalueerd</w:t>
      </w:r>
      <w:r>
        <w:rPr>
          <w:rStyle w:val="FootnoteReference"/>
        </w:rPr>
        <w:footnoteReference w:id="16"/>
      </w:r>
      <w:r>
        <w:t xml:space="preserve"> en zijn samen met de partners van het SPV bestuurlijke afspraken opgesteld tot en met 2029.</w:t>
      </w:r>
      <w:r>
        <w:rPr>
          <w:rStyle w:val="FootnoteReference"/>
        </w:rPr>
        <w:footnoteReference w:id="17"/>
      </w:r>
      <w:r>
        <w:t xml:space="preserve"> </w:t>
      </w:r>
    </w:p>
    <w:p w:rsidR="006A45E3" w:rsidP="006A45E3" w:rsidRDefault="006A45E3" w14:paraId="4A37DABD" w14:textId="77777777"/>
    <w:p w:rsidR="006A45E3" w:rsidP="006A45E3" w:rsidRDefault="006A45E3" w14:paraId="5BCF54AF" w14:textId="77777777">
      <w:r>
        <w:t xml:space="preserve">De overleggen met de SPV-partners over de bestuurlijke afspraken waren constructief. Iedereen is het eens om extra in te zetten op het verminderen van het aantal fietsslachtoffers, omdat dit momenteel de grootste risicogroep is in het verkeer. Het beschikbaar stellen van de € 50 miljoen vanuit het Rijk voor meerjarenplan fietsveiligheid onderstreept dit gezamenlijke beeld. </w:t>
      </w:r>
    </w:p>
    <w:p w:rsidRPr="00930A48" w:rsidR="006A45E3" w:rsidP="006A45E3" w:rsidRDefault="006A45E3" w14:paraId="3BF0971D" w14:textId="77777777"/>
    <w:p w:rsidR="006A45E3" w:rsidP="006A45E3" w:rsidRDefault="006A45E3" w14:paraId="17E20FB3" w14:textId="77777777">
      <w:r w:rsidRPr="000E2A52">
        <w:t>Uit de tussentijdse evaluatie van het SPV blijkt dat wegbeheerders behoefte hebben aan concrete, haalbare kortetermijndoelstellingen</w:t>
      </w:r>
      <w:r>
        <w:t xml:space="preserve">. Daarnaast wordt de gestelde ambitie van nul verkeersslachtoffers in 2050 als onrealistisch ervaren. </w:t>
      </w:r>
      <w:bookmarkStart w:name="_Hlk198808205" w:id="6"/>
      <w:r>
        <w:t xml:space="preserve">In de bestuurlijke afspraken staat daarom dat de SPV-partners </w:t>
      </w:r>
      <w:bookmarkStart w:name="_Hlk202821857" w:id="7"/>
      <w:r>
        <w:t>de doelstellingen gaan opstellen</w:t>
      </w:r>
      <w:bookmarkEnd w:id="7"/>
      <w:r>
        <w:t xml:space="preserve"> voor de grootste, beïnvloedbare risico’s op het gebied van veilige infrastructuur en veilige voertuigen, op educatie en voorlichting en op verkeershandhaving. </w:t>
      </w:r>
      <w:bookmarkEnd w:id="6"/>
      <w:r>
        <w:t>Voor iedere doelstelling wordt een meetbare indicator opgesteld</w:t>
      </w:r>
      <w:bookmarkEnd w:id="4"/>
      <w:r>
        <w:t xml:space="preserve">, bijvoorbeeld het fietshelmgebruik laten stijgen tot 25% in 2035. </w:t>
      </w:r>
    </w:p>
    <w:p w:rsidR="006A45E3" w:rsidP="006A45E3" w:rsidRDefault="006A45E3" w14:paraId="56810989" w14:textId="77777777"/>
    <w:p w:rsidR="006A45E3" w:rsidP="006A45E3" w:rsidRDefault="006A45E3" w14:paraId="2F57BFDC" w14:textId="55799761">
      <w:r>
        <w:t xml:space="preserve">In het SPV staan drie pijlers centraal, namelijk een veilige infrastructuur, verkeerseducatie en verkeershandhaving. </w:t>
      </w:r>
      <w:bookmarkStart w:name="_Hlk202822512" w:id="8"/>
      <w:r>
        <w:t xml:space="preserve">Verkeersveilige infrastructuur zorgt ervoor dat </w:t>
      </w:r>
      <w:r w:rsidR="00D71EA4">
        <w:t>verke</w:t>
      </w:r>
      <w:r w:rsidRPr="00D01CFA">
        <w:t xml:space="preserve">ersdeelnemers </w:t>
      </w:r>
      <w:r w:rsidR="00D71EA4">
        <w:t xml:space="preserve">worden </w:t>
      </w:r>
      <w:r w:rsidRPr="00D01CFA">
        <w:t>bewogen zich aan de regels te houden</w:t>
      </w:r>
      <w:r>
        <w:t xml:space="preserve"> en het risico op ongevallen wordt verkleind. </w:t>
      </w:r>
      <w:bookmarkEnd w:id="8"/>
      <w:r w:rsidR="00E43028">
        <w:t>E</w:t>
      </w:r>
      <w:r>
        <w:t xml:space="preserve">ducatie draagt bij aan het begrip van weggebruikers hoe zij zich op de weg en naar andere verkeersdeelnemers moeten gedragen. Verkeershandhaving ziet erop toe dat mensen die de wet overtreden in het verkeer worden aangepakt. Wanneer overheden op alle drie de pijlers inzetten, en deze in balans zijn, wordt het grootste effect behaald in het verminderen van het aantal verkeersslachtoffers. </w:t>
      </w:r>
      <w:bookmarkStart w:name="_Hlk199853174" w:id="9"/>
      <w:r>
        <w:t xml:space="preserve">Daarom spreken de SPV-partners bestuurlijk af om te verkennen hoe deze balans te bewaken. </w:t>
      </w:r>
      <w:bookmarkEnd w:id="9"/>
    </w:p>
    <w:p w:rsidR="006A45E3" w:rsidP="006A45E3" w:rsidRDefault="006A45E3" w14:paraId="546834C3" w14:textId="77777777"/>
    <w:p w:rsidR="006A45E3" w:rsidP="006A45E3" w:rsidRDefault="006A45E3" w14:paraId="3CBCEE83" w14:textId="77777777">
      <w:r>
        <w:t>Het Rijk werkt de bestuurlijke afspraken verder uit in de aanstaande uitvoeringsplannen voor verkeersveiligheid, waaronder het Meerjarenplan Fietsveiligheid en het derde Landelijk Actieplan Verkeersveiligheid, voor de jaren 2026-2029. Laatstgenoemde wordt eind dit jaar met de Kamer gedeeld</w:t>
      </w:r>
      <w:bookmarkEnd w:id="5"/>
      <w:r>
        <w:t xml:space="preserve">.  </w:t>
      </w:r>
    </w:p>
    <w:p w:rsidR="006A45E3" w:rsidP="006A45E3" w:rsidRDefault="006A45E3" w14:paraId="3716F0FB" w14:textId="77777777">
      <w:pPr>
        <w:spacing w:line="240" w:lineRule="auto"/>
        <w:rPr>
          <w:b/>
          <w:bCs/>
        </w:rPr>
      </w:pPr>
    </w:p>
    <w:p w:rsidRPr="00D46B1A" w:rsidR="006A45E3" w:rsidP="006A45E3" w:rsidRDefault="006A45E3" w14:paraId="06279B6A" w14:textId="77777777">
      <w:pPr>
        <w:spacing w:line="240" w:lineRule="auto"/>
        <w:rPr>
          <w:u w:val="single"/>
        </w:rPr>
      </w:pPr>
      <w:r w:rsidRPr="00D46B1A">
        <w:rPr>
          <w:u w:val="single"/>
        </w:rPr>
        <w:t>Tot slot</w:t>
      </w:r>
    </w:p>
    <w:p w:rsidRPr="00F21FFD" w:rsidR="006A45E3" w:rsidP="006A45E3" w:rsidRDefault="006A45E3" w14:paraId="3881D6E6" w14:textId="77777777">
      <w:r>
        <w:t>De opgave om de verkeersveiligheid te verbeteren is groot en de urgentie om met deze opgave aan de slag te gaan wordt breed gevoeld. Deze opgave is een gedeelde verantwoordelijkheid van het Rijk en de andere SPV-partners. Het zoveel mogelijk beperken van risico’s vergt inspanningen gedurende een lange termijn van alle genoemde partijen.</w:t>
      </w:r>
      <w:r w:rsidRPr="00A31F49">
        <w:t xml:space="preserve"> </w:t>
      </w:r>
      <w:r>
        <w:t xml:space="preserve">Met de nieuwe bestuurlijke afspraken SPV 2025-2029 en het Meerjarenplan Fietsveiligheid 2025-2029 is het de intentie </w:t>
      </w:r>
      <w:r w:rsidRPr="00520D4E">
        <w:t>van het ministerie van IenW om</w:t>
      </w:r>
      <w:r>
        <w:t xml:space="preserve"> op korte termijn de</w:t>
      </w:r>
      <w:r w:rsidRPr="00520D4E">
        <w:t xml:space="preserve"> samenwerking</w:t>
      </w:r>
      <w:r>
        <w:t xml:space="preserve"> tussen partijen</w:t>
      </w:r>
      <w:r w:rsidRPr="00520D4E">
        <w:t xml:space="preserve"> te bevorderen</w:t>
      </w:r>
      <w:r>
        <w:t xml:space="preserve"> en in het bijzonder de </w:t>
      </w:r>
      <w:r w:rsidRPr="00520D4E">
        <w:t xml:space="preserve">fietsveiligheid </w:t>
      </w:r>
      <w:r>
        <w:t>een impuls te geven</w:t>
      </w:r>
      <w:r w:rsidRPr="00CE3087">
        <w:t>.</w:t>
      </w:r>
      <w:r>
        <w:t xml:space="preserve"> </w:t>
      </w:r>
    </w:p>
    <w:p w:rsidR="006A45E3" w:rsidP="006A45E3" w:rsidRDefault="006A45E3" w14:paraId="681E0188" w14:textId="77777777">
      <w:pPr>
        <w:pStyle w:val="Slotzin"/>
        <w:spacing w:line="276" w:lineRule="auto"/>
      </w:pPr>
      <w:r>
        <w:t>Hoogachtend,</w:t>
      </w:r>
    </w:p>
    <w:p w:rsidR="006A45E3" w:rsidP="006A45E3" w:rsidRDefault="006A45E3" w14:paraId="622D9F49" w14:textId="77777777">
      <w:pPr>
        <w:pStyle w:val="OndertekeningArea1"/>
        <w:spacing w:line="276" w:lineRule="auto"/>
      </w:pPr>
      <w:r>
        <w:t>DE MINISTER VAN INFRASTRUCTUUR EN WATERSTAAT,</w:t>
      </w:r>
    </w:p>
    <w:p w:rsidR="006A45E3" w:rsidP="006A45E3" w:rsidRDefault="006A45E3" w14:paraId="0B44AE68" w14:textId="77777777">
      <w:pPr>
        <w:pStyle w:val="StandaardCursief"/>
        <w:rPr>
          <w:i w:val="0"/>
        </w:rPr>
      </w:pPr>
    </w:p>
    <w:p w:rsidR="006A45E3" w:rsidP="006A45E3" w:rsidRDefault="006A45E3" w14:paraId="64E37B0F" w14:textId="77777777">
      <w:pPr>
        <w:pStyle w:val="StandaardCursief"/>
        <w:rPr>
          <w:i w:val="0"/>
        </w:rPr>
      </w:pPr>
    </w:p>
    <w:p w:rsidR="006A45E3" w:rsidP="006A45E3" w:rsidRDefault="006A45E3" w14:paraId="05F4DFE5" w14:textId="77777777"/>
    <w:p w:rsidRPr="00854BCA" w:rsidR="006A45E3" w:rsidP="006A45E3" w:rsidRDefault="006A45E3" w14:paraId="1E3E07D2" w14:textId="77777777"/>
    <w:p w:rsidRPr="00D46B1A" w:rsidR="006A45E3" w:rsidP="006A45E3" w:rsidRDefault="00423738" w14:paraId="4CBEBC89" w14:textId="3638ED28">
      <w:pPr>
        <w:pStyle w:val="StandaardCursief"/>
        <w:rPr>
          <w:i w:val="0"/>
          <w:iCs/>
        </w:rPr>
      </w:pPr>
      <w:r>
        <w:rPr>
          <w:i w:val="0"/>
          <w:iCs/>
        </w:rPr>
        <w:t>i</w:t>
      </w:r>
      <w:r w:rsidR="006A45E3">
        <w:rPr>
          <w:i w:val="0"/>
          <w:iCs/>
        </w:rPr>
        <w:t>ng. R. (Robert) Tieman</w:t>
      </w:r>
    </w:p>
    <w:p w:rsidRPr="006A45E3" w:rsidR="005565E7" w:rsidP="006A45E3" w:rsidRDefault="005565E7" w14:paraId="353DAA0D" w14:textId="71F03074"/>
    <w:sectPr w:rsidRPr="006A45E3" w:rsidR="005565E7">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057F7" w14:textId="77777777" w:rsidR="00164FAF" w:rsidRDefault="00164FAF">
      <w:pPr>
        <w:spacing w:line="240" w:lineRule="auto"/>
      </w:pPr>
      <w:r>
        <w:separator/>
      </w:r>
    </w:p>
  </w:endnote>
  <w:endnote w:type="continuationSeparator" w:id="0">
    <w:p w14:paraId="5073552B" w14:textId="77777777" w:rsidR="00164FAF" w:rsidRDefault="00164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libr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7AB81" w14:textId="77777777" w:rsidR="00164FAF" w:rsidRDefault="00164FAF">
      <w:pPr>
        <w:spacing w:line="240" w:lineRule="auto"/>
      </w:pPr>
      <w:r>
        <w:separator/>
      </w:r>
    </w:p>
  </w:footnote>
  <w:footnote w:type="continuationSeparator" w:id="0">
    <w:p w14:paraId="5FC79DAB" w14:textId="77777777" w:rsidR="00164FAF" w:rsidRDefault="00164FAF">
      <w:pPr>
        <w:spacing w:line="240" w:lineRule="auto"/>
      </w:pPr>
      <w:r>
        <w:continuationSeparator/>
      </w:r>
    </w:p>
  </w:footnote>
  <w:footnote w:id="1">
    <w:p w14:paraId="4C53A4EB" w14:textId="77777777" w:rsidR="006A45E3" w:rsidRPr="00E97D24" w:rsidRDefault="006A45E3" w:rsidP="006A45E3">
      <w:pPr>
        <w:pStyle w:val="FootnoteText"/>
        <w:rPr>
          <w:sz w:val="14"/>
          <w:szCs w:val="14"/>
        </w:rPr>
      </w:pPr>
      <w:r w:rsidRPr="00E97D24">
        <w:rPr>
          <w:rStyle w:val="FootnoteReference"/>
          <w:sz w:val="14"/>
          <w:szCs w:val="14"/>
        </w:rPr>
        <w:footnoteRef/>
      </w:r>
      <w:r w:rsidRPr="00E97D24">
        <w:rPr>
          <w:sz w:val="14"/>
          <w:szCs w:val="14"/>
        </w:rPr>
        <w:t xml:space="preserve"> Kamerstuk</w:t>
      </w:r>
      <w:r>
        <w:rPr>
          <w:sz w:val="14"/>
          <w:szCs w:val="14"/>
        </w:rPr>
        <w:t xml:space="preserve">ken </w:t>
      </w:r>
      <w:r w:rsidRPr="00E97D24">
        <w:rPr>
          <w:sz w:val="14"/>
          <w:szCs w:val="14"/>
        </w:rPr>
        <w:t>29</w:t>
      </w:r>
      <w:r>
        <w:rPr>
          <w:sz w:val="14"/>
          <w:szCs w:val="14"/>
        </w:rPr>
        <w:t xml:space="preserve"> </w:t>
      </w:r>
      <w:r w:rsidRPr="00E97D24">
        <w:rPr>
          <w:sz w:val="14"/>
          <w:szCs w:val="14"/>
        </w:rPr>
        <w:t>398</w:t>
      </w:r>
      <w:r>
        <w:rPr>
          <w:sz w:val="14"/>
          <w:szCs w:val="14"/>
        </w:rPr>
        <w:t xml:space="preserve"> nr. </w:t>
      </w:r>
      <w:r w:rsidRPr="00E97D24">
        <w:rPr>
          <w:sz w:val="14"/>
          <w:szCs w:val="14"/>
        </w:rPr>
        <w:t>639</w:t>
      </w:r>
    </w:p>
  </w:footnote>
  <w:footnote w:id="2">
    <w:p w14:paraId="3FEA9A59" w14:textId="77777777" w:rsidR="006A45E3" w:rsidRPr="00E97D24" w:rsidRDefault="006A45E3" w:rsidP="006A45E3">
      <w:pPr>
        <w:pStyle w:val="FootnoteText"/>
        <w:rPr>
          <w:sz w:val="14"/>
          <w:szCs w:val="14"/>
        </w:rPr>
      </w:pPr>
      <w:r w:rsidRPr="00E97D24">
        <w:rPr>
          <w:rStyle w:val="FootnoteReference"/>
          <w:sz w:val="14"/>
          <w:szCs w:val="14"/>
        </w:rPr>
        <w:footnoteRef/>
      </w:r>
      <w:r w:rsidRPr="00E97D24">
        <w:rPr>
          <w:sz w:val="14"/>
          <w:szCs w:val="14"/>
        </w:rPr>
        <w:t xml:space="preserve"> </w:t>
      </w:r>
      <w:hyperlink r:id="rId1" w:history="1">
        <w:r w:rsidRPr="00E97D24">
          <w:rPr>
            <w:rStyle w:val="Hyperlink"/>
            <w:sz w:val="14"/>
            <w:szCs w:val="14"/>
          </w:rPr>
          <w:t>https://www.cbs.nl/nl-nl/nieuws/2025/16/42-procent-minder-verkeersdoden-in-25-jaar</w:t>
        </w:r>
      </w:hyperlink>
    </w:p>
  </w:footnote>
  <w:footnote w:id="3">
    <w:p w14:paraId="26300D0B" w14:textId="77777777" w:rsidR="006A45E3" w:rsidRPr="00E97D24" w:rsidRDefault="006A45E3" w:rsidP="006A45E3">
      <w:pPr>
        <w:pStyle w:val="FootnoteText"/>
        <w:rPr>
          <w:sz w:val="14"/>
          <w:szCs w:val="14"/>
        </w:rPr>
      </w:pPr>
      <w:r w:rsidRPr="00E97D24">
        <w:rPr>
          <w:rStyle w:val="FootnoteReference"/>
          <w:sz w:val="14"/>
          <w:szCs w:val="14"/>
        </w:rPr>
        <w:footnoteRef/>
      </w:r>
      <w:r w:rsidRPr="00E97D24">
        <w:rPr>
          <w:sz w:val="14"/>
          <w:szCs w:val="14"/>
        </w:rPr>
        <w:t xml:space="preserve"> </w:t>
      </w:r>
      <w:hyperlink r:id="rId2" w:history="1">
        <w:r w:rsidRPr="00E97D24">
          <w:rPr>
            <w:rStyle w:val="Hyperlink"/>
            <w:sz w:val="14"/>
            <w:szCs w:val="14"/>
          </w:rPr>
          <w:t>https://swov.nl/nl/publicatie/de-staat-van-de-verkeersveiligheid-2024</w:t>
        </w:r>
      </w:hyperlink>
    </w:p>
  </w:footnote>
  <w:footnote w:id="4">
    <w:p w14:paraId="1C712821" w14:textId="77777777" w:rsidR="006A45E3" w:rsidRPr="007E313D" w:rsidRDefault="006A45E3" w:rsidP="006A45E3">
      <w:pPr>
        <w:pStyle w:val="FootnoteText"/>
      </w:pPr>
      <w:r w:rsidRPr="007E313D">
        <w:rPr>
          <w:rStyle w:val="FootnoteReference"/>
          <w:sz w:val="14"/>
          <w:szCs w:val="14"/>
        </w:rPr>
        <w:footnoteRef/>
      </w:r>
      <w:r w:rsidRPr="007E313D">
        <w:rPr>
          <w:sz w:val="14"/>
          <w:szCs w:val="14"/>
        </w:rPr>
        <w:t xml:space="preserve"> Odijk, M. &amp; Oude Mulders, J. (2025). Achtergronden bij de Staat van de Fietsveiligheid 2025. R-2025-7A. SWOV, Den Haag.</w:t>
      </w:r>
    </w:p>
  </w:footnote>
  <w:footnote w:id="5">
    <w:p w14:paraId="3C1D3841" w14:textId="77777777" w:rsidR="006A45E3" w:rsidRPr="000B4ACC" w:rsidRDefault="006A45E3" w:rsidP="006A45E3">
      <w:pPr>
        <w:pStyle w:val="FootnoteText"/>
        <w:rPr>
          <w:sz w:val="14"/>
          <w:szCs w:val="14"/>
        </w:rPr>
      </w:pPr>
      <w:r w:rsidRPr="000B4ACC">
        <w:rPr>
          <w:rStyle w:val="FootnoteReference"/>
          <w:sz w:val="14"/>
          <w:szCs w:val="14"/>
        </w:rPr>
        <w:footnoteRef/>
      </w:r>
      <w:r w:rsidRPr="000B4ACC">
        <w:rPr>
          <w:sz w:val="14"/>
          <w:szCs w:val="14"/>
        </w:rPr>
        <w:t xml:space="preserve"> Dit betreft een cofinanciering, medeoverheden dragen zelf ook minimaal 50% bij. Zo wordt er in totaal gezamenlijk met de medeoverheden, afhankelijk van eigen financiering, zo’n €1 miljard extra beschikbaar gesteld voor het verbeteren van de verkeersveiligheid.</w:t>
      </w:r>
    </w:p>
  </w:footnote>
  <w:footnote w:id="6">
    <w:p w14:paraId="4803ED47" w14:textId="77777777" w:rsidR="006A45E3" w:rsidRPr="006F7F96" w:rsidRDefault="006A45E3" w:rsidP="006A45E3">
      <w:pPr>
        <w:pStyle w:val="FootnoteText"/>
        <w:rPr>
          <w:sz w:val="14"/>
          <w:szCs w:val="14"/>
        </w:rPr>
      </w:pPr>
      <w:r w:rsidRPr="006F7F96">
        <w:rPr>
          <w:rStyle w:val="FootnoteReference"/>
          <w:sz w:val="14"/>
          <w:szCs w:val="14"/>
        </w:rPr>
        <w:footnoteRef/>
      </w:r>
      <w:r w:rsidRPr="006F7F96">
        <w:rPr>
          <w:sz w:val="14"/>
          <w:szCs w:val="14"/>
        </w:rPr>
        <w:t xml:space="preserve"> Kamerstukken 29 398, nr. 1068</w:t>
      </w:r>
    </w:p>
  </w:footnote>
  <w:footnote w:id="7">
    <w:p w14:paraId="59B2AA90" w14:textId="77777777" w:rsidR="006A45E3" w:rsidRPr="006F7F96" w:rsidRDefault="006A45E3" w:rsidP="006A45E3">
      <w:pPr>
        <w:pStyle w:val="FootnoteText"/>
        <w:rPr>
          <w:sz w:val="14"/>
          <w:szCs w:val="14"/>
        </w:rPr>
      </w:pPr>
      <w:r w:rsidRPr="006F7F96">
        <w:rPr>
          <w:rStyle w:val="FootnoteReference"/>
          <w:sz w:val="14"/>
          <w:szCs w:val="14"/>
        </w:rPr>
        <w:footnoteRef/>
      </w:r>
      <w:r w:rsidRPr="006F7F96">
        <w:rPr>
          <w:sz w:val="14"/>
          <w:szCs w:val="14"/>
        </w:rPr>
        <w:t xml:space="preserve"> Bijlage 1: Menukaart in beeld derde tranche Investeringsimpuls Verkeersveiligheid</w:t>
      </w:r>
    </w:p>
  </w:footnote>
  <w:footnote w:id="8">
    <w:p w14:paraId="36463420" w14:textId="77777777" w:rsidR="006A45E3" w:rsidRPr="00D01CFA" w:rsidRDefault="006A45E3" w:rsidP="006A45E3">
      <w:pPr>
        <w:pStyle w:val="FootnoteText"/>
        <w:rPr>
          <w:sz w:val="14"/>
          <w:szCs w:val="14"/>
        </w:rPr>
      </w:pPr>
      <w:r>
        <w:rPr>
          <w:rStyle w:val="FootnoteReference"/>
        </w:rPr>
        <w:footnoteRef/>
      </w:r>
      <w:r>
        <w:t xml:space="preserve"> </w:t>
      </w:r>
      <w:r w:rsidRPr="006F7F96">
        <w:rPr>
          <w:sz w:val="14"/>
          <w:szCs w:val="14"/>
        </w:rPr>
        <w:t>Kamerstukken 29 398, nr. 10</w:t>
      </w:r>
      <w:r>
        <w:rPr>
          <w:sz w:val="14"/>
          <w:szCs w:val="14"/>
        </w:rPr>
        <w:t>96</w:t>
      </w:r>
    </w:p>
  </w:footnote>
  <w:footnote w:id="9">
    <w:p w14:paraId="3E4A72FC" w14:textId="77777777" w:rsidR="006A45E3" w:rsidRPr="00D95673" w:rsidRDefault="006A45E3" w:rsidP="006A45E3">
      <w:pPr>
        <w:pStyle w:val="FootnoteText"/>
        <w:rPr>
          <w:sz w:val="16"/>
          <w:szCs w:val="16"/>
        </w:rPr>
      </w:pPr>
      <w:r w:rsidRPr="006F7F96">
        <w:rPr>
          <w:rStyle w:val="FootnoteReference"/>
          <w:sz w:val="14"/>
          <w:szCs w:val="14"/>
        </w:rPr>
        <w:footnoteRef/>
      </w:r>
      <w:r w:rsidRPr="006F7F96">
        <w:rPr>
          <w:sz w:val="14"/>
          <w:szCs w:val="14"/>
        </w:rPr>
        <w:t xml:space="preserve"> Bijlage 2: Meerjarenplan Fietsveiligheid 2025-2029</w:t>
      </w:r>
    </w:p>
  </w:footnote>
  <w:footnote w:id="10">
    <w:p w14:paraId="492A12B3" w14:textId="77777777" w:rsidR="006A45E3" w:rsidRDefault="006A45E3" w:rsidP="006A45E3">
      <w:pPr>
        <w:pStyle w:val="FootnoteText"/>
      </w:pPr>
      <w:r w:rsidRPr="00317DB5">
        <w:rPr>
          <w:rStyle w:val="FootnoteReference"/>
          <w:sz w:val="14"/>
          <w:szCs w:val="14"/>
        </w:rPr>
        <w:footnoteRef/>
      </w:r>
      <w:r w:rsidRPr="00317DB5">
        <w:rPr>
          <w:sz w:val="14"/>
          <w:szCs w:val="14"/>
        </w:rPr>
        <w:t xml:space="preserve"> </w:t>
      </w:r>
      <w:hyperlink r:id="rId3" w:history="1">
        <w:r w:rsidRPr="00317DB5">
          <w:rPr>
            <w:rStyle w:val="Hyperlink"/>
            <w:sz w:val="14"/>
            <w:szCs w:val="14"/>
          </w:rPr>
          <w:t>https://swov.nl/nl/publicatie/kiezen-delen</w:t>
        </w:r>
      </w:hyperlink>
      <w:r>
        <w:rPr>
          <w:sz w:val="14"/>
          <w:szCs w:val="14"/>
        </w:rPr>
        <w:t xml:space="preserve"> </w:t>
      </w:r>
    </w:p>
  </w:footnote>
  <w:footnote w:id="11">
    <w:p w14:paraId="6E1C3F1B" w14:textId="77777777" w:rsidR="006A45E3" w:rsidRPr="001B4B98" w:rsidRDefault="006A45E3" w:rsidP="006A45E3">
      <w:pPr>
        <w:pStyle w:val="FootnoteText"/>
        <w:rPr>
          <w:sz w:val="14"/>
          <w:szCs w:val="14"/>
        </w:rPr>
      </w:pPr>
      <w:r w:rsidRPr="001B4B98">
        <w:rPr>
          <w:sz w:val="14"/>
          <w:szCs w:val="14"/>
          <w:vertAlign w:val="superscript"/>
        </w:rPr>
        <w:footnoteRef/>
      </w:r>
      <w:r w:rsidRPr="001B4B98">
        <w:rPr>
          <w:sz w:val="14"/>
          <w:szCs w:val="14"/>
        </w:rPr>
        <w:t xml:space="preserve"> Kamerstukken 29 398 nr. 1028</w:t>
      </w:r>
    </w:p>
  </w:footnote>
  <w:footnote w:id="12">
    <w:p w14:paraId="4CADE618" w14:textId="77777777" w:rsidR="006A45E3" w:rsidRPr="001B4B98" w:rsidRDefault="006A45E3" w:rsidP="006A45E3">
      <w:pPr>
        <w:pStyle w:val="FootnoteText"/>
        <w:rPr>
          <w:sz w:val="14"/>
          <w:szCs w:val="14"/>
        </w:rPr>
      </w:pPr>
      <w:r w:rsidRPr="001B4B98">
        <w:rPr>
          <w:rStyle w:val="FootnoteReference"/>
          <w:sz w:val="14"/>
          <w:szCs w:val="14"/>
        </w:rPr>
        <w:footnoteRef/>
      </w:r>
      <w:r w:rsidRPr="001B4B98">
        <w:rPr>
          <w:sz w:val="14"/>
          <w:szCs w:val="14"/>
        </w:rPr>
        <w:t xml:space="preserve"> Kamerstukken 29 398 nr. 783</w:t>
      </w:r>
    </w:p>
  </w:footnote>
  <w:footnote w:id="13">
    <w:p w14:paraId="46610727" w14:textId="77777777" w:rsidR="006A45E3" w:rsidRPr="00A061F5" w:rsidRDefault="006A45E3" w:rsidP="006A45E3">
      <w:pPr>
        <w:pStyle w:val="FootnoteText"/>
        <w:rPr>
          <w:sz w:val="16"/>
          <w:szCs w:val="16"/>
        </w:rPr>
      </w:pPr>
      <w:r w:rsidRPr="001B4B98">
        <w:rPr>
          <w:rStyle w:val="FootnoteReference"/>
          <w:sz w:val="14"/>
          <w:szCs w:val="14"/>
        </w:rPr>
        <w:footnoteRef/>
      </w:r>
      <w:r w:rsidRPr="001B4B98">
        <w:rPr>
          <w:sz w:val="14"/>
          <w:szCs w:val="14"/>
        </w:rPr>
        <w:t xml:space="preserve"> </w:t>
      </w:r>
      <w:r w:rsidRPr="00643FDD">
        <w:rPr>
          <w:sz w:val="14"/>
          <w:szCs w:val="14"/>
        </w:rPr>
        <w:t>Kamerstukken 29 398 nr. 1084 en Kamerstukken 29 398 nr. 1108</w:t>
      </w:r>
    </w:p>
  </w:footnote>
  <w:footnote w:id="14">
    <w:p w14:paraId="135C343E" w14:textId="77777777" w:rsidR="006A45E3" w:rsidRPr="00B718E0" w:rsidRDefault="006A45E3" w:rsidP="006A45E3">
      <w:pPr>
        <w:pStyle w:val="FootnoteText"/>
        <w:rPr>
          <w:sz w:val="16"/>
          <w:szCs w:val="16"/>
        </w:rPr>
      </w:pPr>
      <w:r w:rsidRPr="00B718E0">
        <w:rPr>
          <w:rStyle w:val="FootnoteReference"/>
          <w:sz w:val="14"/>
          <w:szCs w:val="14"/>
        </w:rPr>
        <w:footnoteRef/>
      </w:r>
      <w:r w:rsidRPr="00B718E0">
        <w:rPr>
          <w:sz w:val="14"/>
          <w:szCs w:val="14"/>
        </w:rPr>
        <w:t xml:space="preserve"> ZonMw is een zelfstandig bestuursorgaan dat met aandacht voor kennisinfrastructuren, kennisontwikkeling en het benutten van die kennis in de praktijk bijdraagt aan vernieuwing in gezondheid, zorg en welzijn.</w:t>
      </w:r>
    </w:p>
  </w:footnote>
  <w:footnote w:id="15">
    <w:p w14:paraId="534CF687" w14:textId="77777777" w:rsidR="006A45E3" w:rsidRPr="00056A26" w:rsidRDefault="006A45E3" w:rsidP="006A45E3">
      <w:pPr>
        <w:pStyle w:val="FootnoteText"/>
        <w:rPr>
          <w:sz w:val="14"/>
          <w:szCs w:val="14"/>
        </w:rPr>
      </w:pPr>
      <w:r w:rsidRPr="00056A26">
        <w:rPr>
          <w:rStyle w:val="FootnoteReference"/>
          <w:sz w:val="14"/>
          <w:szCs w:val="14"/>
        </w:rPr>
        <w:footnoteRef/>
      </w:r>
      <w:r w:rsidRPr="00056A26">
        <w:rPr>
          <w:sz w:val="14"/>
          <w:szCs w:val="14"/>
        </w:rPr>
        <w:t xml:space="preserve"> Ministerie van Infrastructuur en Waterstaat (IenW), Ministerie van Justitie en Veiligheid (JenV), Openbaar Ministerie (OM), Politie, Vereniging van Nederlandse Gemeenten (VNG), Interprovinciaal Overleg (IPO), Metropoolregio Rotterdam-Den Haag (MRDH) en Vervoerregio Amsterdam (VRA)</w:t>
      </w:r>
    </w:p>
  </w:footnote>
  <w:footnote w:id="16">
    <w:p w14:paraId="4A9A883C" w14:textId="77777777" w:rsidR="006A45E3" w:rsidRPr="00F03DFA" w:rsidRDefault="006A45E3" w:rsidP="006A45E3">
      <w:pPr>
        <w:pStyle w:val="FootnoteText"/>
        <w:rPr>
          <w:b/>
          <w:bCs/>
          <w:sz w:val="14"/>
          <w:szCs w:val="14"/>
        </w:rPr>
      </w:pPr>
      <w:r w:rsidRPr="00D46B1A">
        <w:rPr>
          <w:rStyle w:val="FootnoteReference"/>
          <w:sz w:val="14"/>
          <w:szCs w:val="14"/>
        </w:rPr>
        <w:footnoteRef/>
      </w:r>
      <w:r w:rsidRPr="00D46B1A">
        <w:rPr>
          <w:sz w:val="14"/>
          <w:szCs w:val="14"/>
        </w:rPr>
        <w:t xml:space="preserve"> Kamerstukken 29 398 nr. 1175</w:t>
      </w:r>
      <w:r>
        <w:rPr>
          <w:sz w:val="14"/>
          <w:szCs w:val="14"/>
        </w:rPr>
        <w:t xml:space="preserve"> </w:t>
      </w:r>
    </w:p>
  </w:footnote>
  <w:footnote w:id="17">
    <w:p w14:paraId="256954EB" w14:textId="77777777" w:rsidR="006A45E3" w:rsidRPr="00F03DFA" w:rsidRDefault="006A45E3" w:rsidP="006A45E3">
      <w:pPr>
        <w:pStyle w:val="FootnoteText"/>
        <w:rPr>
          <w:sz w:val="14"/>
          <w:szCs w:val="14"/>
        </w:rPr>
      </w:pPr>
      <w:r w:rsidRPr="006F7F96">
        <w:rPr>
          <w:rStyle w:val="FootnoteReference"/>
          <w:sz w:val="14"/>
          <w:szCs w:val="14"/>
        </w:rPr>
        <w:footnoteRef/>
      </w:r>
      <w:r w:rsidRPr="006F7F96">
        <w:rPr>
          <w:sz w:val="14"/>
          <w:szCs w:val="14"/>
        </w:rPr>
        <w:t xml:space="preserve"> Bijlage 3: Bestuurlijke afspraken Strategisch Plan Verkeersveiligheid 2025-2029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EFD9" w14:textId="77777777" w:rsidR="005565E7" w:rsidRDefault="00B12764">
    <w:r>
      <w:rPr>
        <w:noProof/>
        <w:lang w:val="en-GB" w:eastAsia="en-GB"/>
      </w:rPr>
      <mc:AlternateContent>
        <mc:Choice Requires="wps">
          <w:drawing>
            <wp:anchor distT="0" distB="0" distL="0" distR="0" simplePos="0" relativeHeight="251651584" behindDoc="0" locked="1" layoutInCell="1" allowOverlap="1" wp14:anchorId="64877C7C" wp14:editId="3CBF7F9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A333D61" w14:textId="77777777" w:rsidR="005565E7" w:rsidRDefault="00B12764">
                          <w:pPr>
                            <w:pStyle w:val="AfzendgegevensKop0"/>
                          </w:pPr>
                          <w:r>
                            <w:t>Ministerie van Infrastructuur en Waterstaat</w:t>
                          </w:r>
                        </w:p>
                        <w:p w14:paraId="2AC68AE1" w14:textId="77777777" w:rsidR="005565E7" w:rsidRDefault="005565E7">
                          <w:pPr>
                            <w:pStyle w:val="WitregelW2"/>
                          </w:pPr>
                        </w:p>
                        <w:p w14:paraId="1DCAAF02" w14:textId="77777777" w:rsidR="005565E7" w:rsidRDefault="00B12764">
                          <w:pPr>
                            <w:pStyle w:val="Referentiegegevenskop"/>
                          </w:pPr>
                          <w:r>
                            <w:t>Ons kenmerk</w:t>
                          </w:r>
                        </w:p>
                        <w:p w14:paraId="03A8AE55" w14:textId="77777777" w:rsidR="005565E7" w:rsidRDefault="00B12764">
                          <w:pPr>
                            <w:pStyle w:val="Referentiegegevens"/>
                          </w:pPr>
                          <w:r>
                            <w:t>IENW/BSK-2025/120715</w:t>
                          </w:r>
                        </w:p>
                      </w:txbxContent>
                    </wps:txbx>
                    <wps:bodyPr vert="horz" wrap="square" lIns="0" tIns="0" rIns="0" bIns="0" anchor="t" anchorCtr="0"/>
                  </wps:wsp>
                </a:graphicData>
              </a:graphic>
            </wp:anchor>
          </w:drawing>
        </mc:Choice>
        <mc:Fallback>
          <w:pict>
            <v:shapetype w14:anchorId="64877C7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A333D61" w14:textId="77777777" w:rsidR="005565E7" w:rsidRDefault="00B12764">
                    <w:pPr>
                      <w:pStyle w:val="AfzendgegevensKop0"/>
                    </w:pPr>
                    <w:r>
                      <w:t>Ministerie van Infrastructuur en Waterstaat</w:t>
                    </w:r>
                  </w:p>
                  <w:p w14:paraId="2AC68AE1" w14:textId="77777777" w:rsidR="005565E7" w:rsidRDefault="005565E7">
                    <w:pPr>
                      <w:pStyle w:val="WitregelW2"/>
                    </w:pPr>
                  </w:p>
                  <w:p w14:paraId="1DCAAF02" w14:textId="77777777" w:rsidR="005565E7" w:rsidRDefault="00B12764">
                    <w:pPr>
                      <w:pStyle w:val="Referentiegegevenskop"/>
                    </w:pPr>
                    <w:r>
                      <w:t>Ons kenmerk</w:t>
                    </w:r>
                  </w:p>
                  <w:p w14:paraId="03A8AE55" w14:textId="77777777" w:rsidR="005565E7" w:rsidRDefault="00B12764">
                    <w:pPr>
                      <w:pStyle w:val="Referentiegegevens"/>
                    </w:pPr>
                    <w:r>
                      <w:t>IENW/BSK-2025/120715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98F3FFE" wp14:editId="2796AF3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3B411F" w14:textId="77777777" w:rsidR="005565E7" w:rsidRDefault="00B12764">
                          <w:pPr>
                            <w:pStyle w:val="Referentiegegevens"/>
                          </w:pPr>
                          <w:r>
                            <w:t xml:space="preserve">Pagina </w:t>
                          </w:r>
                          <w:r>
                            <w:fldChar w:fldCharType="begin"/>
                          </w:r>
                          <w:r>
                            <w:instrText>PAGE</w:instrText>
                          </w:r>
                          <w:r>
                            <w:fldChar w:fldCharType="separate"/>
                          </w:r>
                          <w:r w:rsidR="001D23CD">
                            <w:rPr>
                              <w:noProof/>
                            </w:rPr>
                            <w:t>1</w:t>
                          </w:r>
                          <w:r>
                            <w:fldChar w:fldCharType="end"/>
                          </w:r>
                          <w:r>
                            <w:t xml:space="preserve"> van </w:t>
                          </w:r>
                          <w:r>
                            <w:fldChar w:fldCharType="begin"/>
                          </w:r>
                          <w:r>
                            <w:instrText>NUMPAGES</w:instrText>
                          </w:r>
                          <w:r>
                            <w:fldChar w:fldCharType="separate"/>
                          </w:r>
                          <w:r w:rsidR="001D23CD">
                            <w:rPr>
                              <w:noProof/>
                            </w:rPr>
                            <w:t>1</w:t>
                          </w:r>
                          <w:r>
                            <w:fldChar w:fldCharType="end"/>
                          </w:r>
                        </w:p>
                      </w:txbxContent>
                    </wps:txbx>
                    <wps:bodyPr vert="horz" wrap="square" lIns="0" tIns="0" rIns="0" bIns="0" anchor="t" anchorCtr="0"/>
                  </wps:wsp>
                </a:graphicData>
              </a:graphic>
            </wp:anchor>
          </w:drawing>
        </mc:Choice>
        <mc:Fallback>
          <w:pict>
            <v:shape w14:anchorId="198F3FF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13B411F" w14:textId="77777777" w:rsidR="005565E7" w:rsidRDefault="00B12764">
                    <w:pPr>
                      <w:pStyle w:val="Referentiegegevens"/>
                    </w:pPr>
                    <w:r>
                      <w:t xml:space="preserve">Pagina </w:t>
                    </w:r>
                    <w:r>
                      <w:fldChar w:fldCharType="begin"/>
                    </w:r>
                    <w:r>
                      <w:instrText>PAGE</w:instrText>
                    </w:r>
                    <w:r>
                      <w:fldChar w:fldCharType="separate"/>
                    </w:r>
                    <w:r w:rsidR="001D23CD">
                      <w:rPr>
                        <w:noProof/>
                      </w:rPr>
                      <w:t>1</w:t>
                    </w:r>
                    <w:r>
                      <w:fldChar w:fldCharType="end"/>
                    </w:r>
                    <w:r>
                      <w:t xml:space="preserve"> van </w:t>
                    </w:r>
                    <w:r>
                      <w:fldChar w:fldCharType="begin"/>
                    </w:r>
                    <w:r>
                      <w:instrText>NUMPAGES</w:instrText>
                    </w:r>
                    <w:r>
                      <w:fldChar w:fldCharType="separate"/>
                    </w:r>
                    <w:r w:rsidR="001D23C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ACCB6CF" wp14:editId="7A8DF74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21D3AD" w14:textId="77777777" w:rsidR="00075691" w:rsidRDefault="00075691"/>
                      </w:txbxContent>
                    </wps:txbx>
                    <wps:bodyPr vert="horz" wrap="square" lIns="0" tIns="0" rIns="0" bIns="0" anchor="t" anchorCtr="0"/>
                  </wps:wsp>
                </a:graphicData>
              </a:graphic>
            </wp:anchor>
          </w:drawing>
        </mc:Choice>
        <mc:Fallback>
          <w:pict>
            <v:shape w14:anchorId="5ACCB6C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021D3AD" w14:textId="77777777" w:rsidR="00075691" w:rsidRDefault="0007569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353E444" wp14:editId="3468C23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D21A54" w14:textId="77777777" w:rsidR="00075691" w:rsidRDefault="00075691"/>
                      </w:txbxContent>
                    </wps:txbx>
                    <wps:bodyPr vert="horz" wrap="square" lIns="0" tIns="0" rIns="0" bIns="0" anchor="t" anchorCtr="0"/>
                  </wps:wsp>
                </a:graphicData>
              </a:graphic>
            </wp:anchor>
          </w:drawing>
        </mc:Choice>
        <mc:Fallback>
          <w:pict>
            <v:shape w14:anchorId="3353E44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5D21A54" w14:textId="77777777" w:rsidR="00075691" w:rsidRDefault="0007569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08E49" w14:textId="77777777" w:rsidR="005565E7" w:rsidRDefault="00B1276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1EFBD0E" wp14:editId="55348C5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3DA976" w14:textId="77777777" w:rsidR="00075691" w:rsidRDefault="00075691"/>
                      </w:txbxContent>
                    </wps:txbx>
                    <wps:bodyPr vert="horz" wrap="square" lIns="0" tIns="0" rIns="0" bIns="0" anchor="t" anchorCtr="0"/>
                  </wps:wsp>
                </a:graphicData>
              </a:graphic>
            </wp:anchor>
          </w:drawing>
        </mc:Choice>
        <mc:Fallback>
          <w:pict>
            <v:shapetype w14:anchorId="31EFBD0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43DA976" w14:textId="77777777" w:rsidR="00075691" w:rsidRDefault="0007569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BF8BFAB" wp14:editId="70DDE9B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CEE83A" w14:textId="0C3FA7A7" w:rsidR="005565E7" w:rsidRDefault="00B12764">
                          <w:pPr>
                            <w:pStyle w:val="Referentiegegevens"/>
                          </w:pPr>
                          <w:r>
                            <w:t xml:space="preserve">Pagina </w:t>
                          </w:r>
                          <w:r>
                            <w:fldChar w:fldCharType="begin"/>
                          </w:r>
                          <w:r>
                            <w:instrText>PAGE</w:instrText>
                          </w:r>
                          <w:r>
                            <w:fldChar w:fldCharType="separate"/>
                          </w:r>
                          <w:r w:rsidR="009F5AE0">
                            <w:rPr>
                              <w:noProof/>
                            </w:rPr>
                            <w:t>1</w:t>
                          </w:r>
                          <w:r>
                            <w:fldChar w:fldCharType="end"/>
                          </w:r>
                          <w:r>
                            <w:t xml:space="preserve"> van </w:t>
                          </w:r>
                          <w:r>
                            <w:fldChar w:fldCharType="begin"/>
                          </w:r>
                          <w:r>
                            <w:instrText>NUMPAGES</w:instrText>
                          </w:r>
                          <w:r>
                            <w:fldChar w:fldCharType="separate"/>
                          </w:r>
                          <w:r w:rsidR="009F5AE0">
                            <w:rPr>
                              <w:noProof/>
                            </w:rPr>
                            <w:t>1</w:t>
                          </w:r>
                          <w:r>
                            <w:fldChar w:fldCharType="end"/>
                          </w:r>
                        </w:p>
                      </w:txbxContent>
                    </wps:txbx>
                    <wps:bodyPr vert="horz" wrap="square" lIns="0" tIns="0" rIns="0" bIns="0" anchor="t" anchorCtr="0"/>
                  </wps:wsp>
                </a:graphicData>
              </a:graphic>
            </wp:anchor>
          </w:drawing>
        </mc:Choice>
        <mc:Fallback>
          <w:pict>
            <v:shape w14:anchorId="5BF8BFA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ECEE83A" w14:textId="0C3FA7A7" w:rsidR="005565E7" w:rsidRDefault="00B12764">
                    <w:pPr>
                      <w:pStyle w:val="Referentiegegevens"/>
                    </w:pPr>
                    <w:r>
                      <w:t xml:space="preserve">Pagina </w:t>
                    </w:r>
                    <w:r>
                      <w:fldChar w:fldCharType="begin"/>
                    </w:r>
                    <w:r>
                      <w:instrText>PAGE</w:instrText>
                    </w:r>
                    <w:r>
                      <w:fldChar w:fldCharType="separate"/>
                    </w:r>
                    <w:r w:rsidR="009F5AE0">
                      <w:rPr>
                        <w:noProof/>
                      </w:rPr>
                      <w:t>1</w:t>
                    </w:r>
                    <w:r>
                      <w:fldChar w:fldCharType="end"/>
                    </w:r>
                    <w:r>
                      <w:t xml:space="preserve"> van </w:t>
                    </w:r>
                    <w:r>
                      <w:fldChar w:fldCharType="begin"/>
                    </w:r>
                    <w:r>
                      <w:instrText>NUMPAGES</w:instrText>
                    </w:r>
                    <w:r>
                      <w:fldChar w:fldCharType="separate"/>
                    </w:r>
                    <w:r w:rsidR="009F5AE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C5B450F" wp14:editId="2474F97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F299B95" w14:textId="77777777" w:rsidR="005565E7" w:rsidRDefault="00B12764">
                          <w:pPr>
                            <w:pStyle w:val="AfzendgegevensKop0"/>
                          </w:pPr>
                          <w:r>
                            <w:t>Ministerie van Infrastructuur en Waterstaat</w:t>
                          </w:r>
                        </w:p>
                        <w:p w14:paraId="0A427FBE" w14:textId="77777777" w:rsidR="005565E7" w:rsidRDefault="005565E7">
                          <w:pPr>
                            <w:pStyle w:val="WitregelW1"/>
                          </w:pPr>
                        </w:p>
                        <w:p w14:paraId="342B62FB" w14:textId="77777777" w:rsidR="005565E7" w:rsidRDefault="00B12764">
                          <w:pPr>
                            <w:pStyle w:val="Afzendgegevens"/>
                          </w:pPr>
                          <w:r>
                            <w:t>Rijnstraat 8</w:t>
                          </w:r>
                        </w:p>
                        <w:p w14:paraId="7F81118B" w14:textId="77777777" w:rsidR="005565E7" w:rsidRPr="001D23CD" w:rsidRDefault="00B12764">
                          <w:pPr>
                            <w:pStyle w:val="Afzendgegevens"/>
                            <w:rPr>
                              <w:lang w:val="de-DE"/>
                            </w:rPr>
                          </w:pPr>
                          <w:r w:rsidRPr="001D23CD">
                            <w:rPr>
                              <w:lang w:val="de-DE"/>
                            </w:rPr>
                            <w:t>2515 XP  Den Haag</w:t>
                          </w:r>
                        </w:p>
                        <w:p w14:paraId="158B03F3" w14:textId="77777777" w:rsidR="005565E7" w:rsidRPr="001D23CD" w:rsidRDefault="00B12764">
                          <w:pPr>
                            <w:pStyle w:val="Afzendgegevens"/>
                            <w:rPr>
                              <w:lang w:val="de-DE"/>
                            </w:rPr>
                          </w:pPr>
                          <w:r w:rsidRPr="001D23CD">
                            <w:rPr>
                              <w:lang w:val="de-DE"/>
                            </w:rPr>
                            <w:t>Postbus 20901</w:t>
                          </w:r>
                        </w:p>
                        <w:p w14:paraId="11233DE6" w14:textId="77777777" w:rsidR="005565E7" w:rsidRPr="001D23CD" w:rsidRDefault="00B12764">
                          <w:pPr>
                            <w:pStyle w:val="Afzendgegevens"/>
                            <w:rPr>
                              <w:lang w:val="de-DE"/>
                            </w:rPr>
                          </w:pPr>
                          <w:r w:rsidRPr="001D23CD">
                            <w:rPr>
                              <w:lang w:val="de-DE"/>
                            </w:rPr>
                            <w:t>2500 EX Den Haag</w:t>
                          </w:r>
                        </w:p>
                        <w:p w14:paraId="100A5203" w14:textId="77777777" w:rsidR="005565E7" w:rsidRPr="001D23CD" w:rsidRDefault="005565E7">
                          <w:pPr>
                            <w:pStyle w:val="WitregelW1"/>
                            <w:rPr>
                              <w:lang w:val="de-DE"/>
                            </w:rPr>
                          </w:pPr>
                        </w:p>
                        <w:p w14:paraId="76F8EC11" w14:textId="77777777" w:rsidR="005565E7" w:rsidRPr="001D23CD" w:rsidRDefault="00B12764">
                          <w:pPr>
                            <w:pStyle w:val="Afzendgegevens"/>
                            <w:rPr>
                              <w:lang w:val="de-DE"/>
                            </w:rPr>
                          </w:pPr>
                          <w:r w:rsidRPr="001D23CD">
                            <w:rPr>
                              <w:lang w:val="de-DE"/>
                            </w:rPr>
                            <w:t>T   070-456 0000</w:t>
                          </w:r>
                        </w:p>
                        <w:p w14:paraId="4685441B" w14:textId="77777777" w:rsidR="005565E7" w:rsidRPr="00D46B1A" w:rsidRDefault="00B12764">
                          <w:pPr>
                            <w:pStyle w:val="Afzendgegevens"/>
                          </w:pPr>
                          <w:r w:rsidRPr="00D46B1A">
                            <w:t>F   070-456 1111</w:t>
                          </w:r>
                        </w:p>
                        <w:p w14:paraId="0192AA70" w14:textId="77777777" w:rsidR="005565E7" w:rsidRPr="00D46B1A" w:rsidRDefault="005565E7">
                          <w:pPr>
                            <w:pStyle w:val="WitregelW2"/>
                          </w:pPr>
                        </w:p>
                        <w:p w14:paraId="72A12A01" w14:textId="77777777" w:rsidR="005565E7" w:rsidRPr="00D46B1A" w:rsidRDefault="00B12764">
                          <w:pPr>
                            <w:pStyle w:val="Referentiegegevenskop"/>
                          </w:pPr>
                          <w:r w:rsidRPr="00D46B1A">
                            <w:t>Ons kenmerk</w:t>
                          </w:r>
                        </w:p>
                        <w:p w14:paraId="2BD565B9" w14:textId="77777777" w:rsidR="005565E7" w:rsidRPr="00D46B1A" w:rsidRDefault="00B12764">
                          <w:pPr>
                            <w:pStyle w:val="Referentiegegevens"/>
                          </w:pPr>
                          <w:r w:rsidRPr="00D46B1A">
                            <w:t>IENW/BSK-2025/120715</w:t>
                          </w:r>
                        </w:p>
                        <w:p w14:paraId="1B34015B" w14:textId="77777777" w:rsidR="001B4B98" w:rsidRPr="00D46B1A" w:rsidRDefault="001B4B98" w:rsidP="001B4B98"/>
                        <w:p w14:paraId="3E88DCCD" w14:textId="77777777" w:rsidR="001B4B98" w:rsidRPr="00D46B1A" w:rsidRDefault="001B4B98" w:rsidP="001B4B98">
                          <w:pPr>
                            <w:pStyle w:val="Referentiegegevenskop"/>
                          </w:pPr>
                          <w:r w:rsidRPr="00D46B1A">
                            <w:t xml:space="preserve">Bijlage(n) </w:t>
                          </w:r>
                        </w:p>
                        <w:p w14:paraId="238B7852" w14:textId="46AE018D" w:rsidR="001B4B98" w:rsidRPr="002C2098" w:rsidRDefault="00423738" w:rsidP="001B4B98">
                          <w:pPr>
                            <w:pStyle w:val="Referentiegegevens"/>
                          </w:pPr>
                          <w:r>
                            <w:t>5</w:t>
                          </w:r>
                        </w:p>
                        <w:p w14:paraId="5C337E80" w14:textId="77777777" w:rsidR="001B4B98" w:rsidRPr="001B4B98" w:rsidRDefault="001B4B98" w:rsidP="001B4B98"/>
                      </w:txbxContent>
                    </wps:txbx>
                    <wps:bodyPr vert="horz" wrap="square" lIns="0" tIns="0" rIns="0" bIns="0" anchor="t" anchorCtr="0"/>
                  </wps:wsp>
                </a:graphicData>
              </a:graphic>
            </wp:anchor>
          </w:drawing>
        </mc:Choice>
        <mc:Fallback>
          <w:pict>
            <v:shape w14:anchorId="0C5B450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F299B95" w14:textId="77777777" w:rsidR="005565E7" w:rsidRDefault="00B12764">
                    <w:pPr>
                      <w:pStyle w:val="AfzendgegevensKop0"/>
                    </w:pPr>
                    <w:r>
                      <w:t>Ministerie van Infrastructuur en Waterstaat</w:t>
                    </w:r>
                  </w:p>
                  <w:p w14:paraId="0A427FBE" w14:textId="77777777" w:rsidR="005565E7" w:rsidRDefault="005565E7">
                    <w:pPr>
                      <w:pStyle w:val="WitregelW1"/>
                    </w:pPr>
                  </w:p>
                  <w:p w14:paraId="342B62FB" w14:textId="77777777" w:rsidR="005565E7" w:rsidRDefault="00B12764">
                    <w:pPr>
                      <w:pStyle w:val="Afzendgegevens"/>
                    </w:pPr>
                    <w:r>
                      <w:t>Rijnstraat 8</w:t>
                    </w:r>
                  </w:p>
                  <w:p w14:paraId="7F81118B" w14:textId="77777777" w:rsidR="005565E7" w:rsidRPr="001D23CD" w:rsidRDefault="00B12764">
                    <w:pPr>
                      <w:pStyle w:val="Afzendgegevens"/>
                      <w:rPr>
                        <w:lang w:val="de-DE"/>
                      </w:rPr>
                    </w:pPr>
                    <w:r w:rsidRPr="001D23CD">
                      <w:rPr>
                        <w:lang w:val="de-DE"/>
                      </w:rPr>
                      <w:t>2515 XP  Den Haag</w:t>
                    </w:r>
                  </w:p>
                  <w:p w14:paraId="158B03F3" w14:textId="77777777" w:rsidR="005565E7" w:rsidRPr="001D23CD" w:rsidRDefault="00B12764">
                    <w:pPr>
                      <w:pStyle w:val="Afzendgegevens"/>
                      <w:rPr>
                        <w:lang w:val="de-DE"/>
                      </w:rPr>
                    </w:pPr>
                    <w:r w:rsidRPr="001D23CD">
                      <w:rPr>
                        <w:lang w:val="de-DE"/>
                      </w:rPr>
                      <w:t>Postbus 20901</w:t>
                    </w:r>
                  </w:p>
                  <w:p w14:paraId="11233DE6" w14:textId="77777777" w:rsidR="005565E7" w:rsidRPr="001D23CD" w:rsidRDefault="00B12764">
                    <w:pPr>
                      <w:pStyle w:val="Afzendgegevens"/>
                      <w:rPr>
                        <w:lang w:val="de-DE"/>
                      </w:rPr>
                    </w:pPr>
                    <w:r w:rsidRPr="001D23CD">
                      <w:rPr>
                        <w:lang w:val="de-DE"/>
                      </w:rPr>
                      <w:t>2500 EX Den Haag</w:t>
                    </w:r>
                  </w:p>
                  <w:p w14:paraId="100A5203" w14:textId="77777777" w:rsidR="005565E7" w:rsidRPr="001D23CD" w:rsidRDefault="005565E7">
                    <w:pPr>
                      <w:pStyle w:val="WitregelW1"/>
                      <w:rPr>
                        <w:lang w:val="de-DE"/>
                      </w:rPr>
                    </w:pPr>
                  </w:p>
                  <w:p w14:paraId="76F8EC11" w14:textId="77777777" w:rsidR="005565E7" w:rsidRPr="001D23CD" w:rsidRDefault="00B12764">
                    <w:pPr>
                      <w:pStyle w:val="Afzendgegevens"/>
                      <w:rPr>
                        <w:lang w:val="de-DE"/>
                      </w:rPr>
                    </w:pPr>
                    <w:r w:rsidRPr="001D23CD">
                      <w:rPr>
                        <w:lang w:val="de-DE"/>
                      </w:rPr>
                      <w:t>T   070-456 0000</w:t>
                    </w:r>
                  </w:p>
                  <w:p w14:paraId="4685441B" w14:textId="77777777" w:rsidR="005565E7" w:rsidRPr="00D46B1A" w:rsidRDefault="00B12764">
                    <w:pPr>
                      <w:pStyle w:val="Afzendgegevens"/>
                    </w:pPr>
                    <w:r w:rsidRPr="00D46B1A">
                      <w:t>F   070-456 1111</w:t>
                    </w:r>
                  </w:p>
                  <w:p w14:paraId="0192AA70" w14:textId="77777777" w:rsidR="005565E7" w:rsidRPr="00D46B1A" w:rsidRDefault="005565E7">
                    <w:pPr>
                      <w:pStyle w:val="WitregelW2"/>
                    </w:pPr>
                  </w:p>
                  <w:p w14:paraId="72A12A01" w14:textId="77777777" w:rsidR="005565E7" w:rsidRPr="00D46B1A" w:rsidRDefault="00B12764">
                    <w:pPr>
                      <w:pStyle w:val="Referentiegegevenskop"/>
                    </w:pPr>
                    <w:r w:rsidRPr="00D46B1A">
                      <w:t>Ons kenmerk</w:t>
                    </w:r>
                  </w:p>
                  <w:p w14:paraId="2BD565B9" w14:textId="77777777" w:rsidR="005565E7" w:rsidRPr="00D46B1A" w:rsidRDefault="00B12764">
                    <w:pPr>
                      <w:pStyle w:val="Referentiegegevens"/>
                    </w:pPr>
                    <w:r w:rsidRPr="00D46B1A">
                      <w:t>IENW/BSK-2025/120715</w:t>
                    </w:r>
                  </w:p>
                  <w:p w14:paraId="1B34015B" w14:textId="77777777" w:rsidR="001B4B98" w:rsidRPr="00D46B1A" w:rsidRDefault="001B4B98" w:rsidP="001B4B98"/>
                  <w:p w14:paraId="3E88DCCD" w14:textId="77777777" w:rsidR="001B4B98" w:rsidRPr="00D46B1A" w:rsidRDefault="001B4B98" w:rsidP="001B4B98">
                    <w:pPr>
                      <w:pStyle w:val="Referentiegegevenskop"/>
                    </w:pPr>
                    <w:r w:rsidRPr="00D46B1A">
                      <w:t xml:space="preserve">Bijlage(n) </w:t>
                    </w:r>
                  </w:p>
                  <w:p w14:paraId="238B7852" w14:textId="46AE018D" w:rsidR="001B4B98" w:rsidRPr="002C2098" w:rsidRDefault="00423738" w:rsidP="001B4B98">
                    <w:pPr>
                      <w:pStyle w:val="Referentiegegevens"/>
                    </w:pPr>
                    <w:r>
                      <w:t>5</w:t>
                    </w:r>
                  </w:p>
                  <w:p w14:paraId="5C337E80" w14:textId="77777777" w:rsidR="001B4B98" w:rsidRPr="001B4B98" w:rsidRDefault="001B4B98" w:rsidP="001B4B9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691FEE0" wp14:editId="19EBB24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B0F87D5" w14:textId="77777777" w:rsidR="005565E7" w:rsidRDefault="00B12764">
                          <w:pPr>
                            <w:spacing w:line="240" w:lineRule="auto"/>
                          </w:pPr>
                          <w:r>
                            <w:rPr>
                              <w:noProof/>
                              <w:lang w:val="en-GB" w:eastAsia="en-GB"/>
                            </w:rPr>
                            <w:drawing>
                              <wp:inline distT="0" distB="0" distL="0" distR="0" wp14:anchorId="555B3C3A" wp14:editId="2822507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91FEE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B0F87D5" w14:textId="77777777" w:rsidR="005565E7" w:rsidRDefault="00B12764">
                    <w:pPr>
                      <w:spacing w:line="240" w:lineRule="auto"/>
                    </w:pPr>
                    <w:r>
                      <w:rPr>
                        <w:noProof/>
                        <w:lang w:val="en-GB" w:eastAsia="en-GB"/>
                      </w:rPr>
                      <w:drawing>
                        <wp:inline distT="0" distB="0" distL="0" distR="0" wp14:anchorId="555B3C3A" wp14:editId="2822507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2229AD9" wp14:editId="049B168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959B7C" w14:textId="77777777" w:rsidR="005565E7" w:rsidRDefault="00B12764">
                          <w:pPr>
                            <w:spacing w:line="240" w:lineRule="auto"/>
                          </w:pPr>
                          <w:r>
                            <w:rPr>
                              <w:noProof/>
                              <w:lang w:val="en-GB" w:eastAsia="en-GB"/>
                            </w:rPr>
                            <w:drawing>
                              <wp:inline distT="0" distB="0" distL="0" distR="0" wp14:anchorId="4775C570" wp14:editId="0C243C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229AD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C959B7C" w14:textId="77777777" w:rsidR="005565E7" w:rsidRDefault="00B12764">
                    <w:pPr>
                      <w:spacing w:line="240" w:lineRule="auto"/>
                    </w:pPr>
                    <w:r>
                      <w:rPr>
                        <w:noProof/>
                        <w:lang w:val="en-GB" w:eastAsia="en-GB"/>
                      </w:rPr>
                      <w:drawing>
                        <wp:inline distT="0" distB="0" distL="0" distR="0" wp14:anchorId="4775C570" wp14:editId="0C243C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CBC0C84" wp14:editId="6538FBC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8CB0B09" w14:textId="77777777" w:rsidR="005565E7" w:rsidRDefault="00B1276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CBC0C8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8CB0B09" w14:textId="77777777" w:rsidR="005565E7" w:rsidRDefault="00B1276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61F2DE6" wp14:editId="0530A40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987661" w14:textId="77777777" w:rsidR="005565E7" w:rsidRDefault="00B1276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61F2DE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D987661" w14:textId="77777777" w:rsidR="005565E7" w:rsidRDefault="00B1276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611615B" wp14:editId="41902B3B">
              <wp:simplePos x="0" y="0"/>
              <wp:positionH relativeFrom="margin">
                <wp:align>left</wp:align>
              </wp:positionH>
              <wp:positionV relativeFrom="page">
                <wp:posOffset>3452495</wp:posOffset>
              </wp:positionV>
              <wp:extent cx="4105275" cy="130111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301262"/>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565E7" w14:paraId="517E68D8" w14:textId="77777777">
                            <w:trPr>
                              <w:trHeight w:val="200"/>
                            </w:trPr>
                            <w:tc>
                              <w:tcPr>
                                <w:tcW w:w="1140" w:type="dxa"/>
                              </w:tcPr>
                              <w:p w14:paraId="0AFA68C5" w14:textId="77777777" w:rsidR="005565E7" w:rsidRDefault="005565E7"/>
                            </w:tc>
                            <w:tc>
                              <w:tcPr>
                                <w:tcW w:w="5400" w:type="dxa"/>
                              </w:tcPr>
                              <w:p w14:paraId="4391F55A" w14:textId="77777777" w:rsidR="005565E7" w:rsidRDefault="005565E7"/>
                            </w:tc>
                          </w:tr>
                          <w:tr w:rsidR="005565E7" w14:paraId="2DCF581E" w14:textId="77777777">
                            <w:trPr>
                              <w:trHeight w:val="240"/>
                            </w:trPr>
                            <w:tc>
                              <w:tcPr>
                                <w:tcW w:w="1140" w:type="dxa"/>
                              </w:tcPr>
                              <w:p w14:paraId="7988F690" w14:textId="77777777" w:rsidR="005565E7" w:rsidRDefault="00B12764">
                                <w:r>
                                  <w:t>Datum</w:t>
                                </w:r>
                              </w:p>
                            </w:tc>
                            <w:tc>
                              <w:tcPr>
                                <w:tcW w:w="5400" w:type="dxa"/>
                              </w:tcPr>
                              <w:p w14:paraId="1667F930" w14:textId="1E303AAC" w:rsidR="005565E7" w:rsidRDefault="00423738">
                                <w:r>
                                  <w:t>10 juli 2025</w:t>
                                </w:r>
                              </w:p>
                            </w:tc>
                          </w:tr>
                          <w:tr w:rsidR="005565E7" w14:paraId="7E2F484D" w14:textId="77777777">
                            <w:trPr>
                              <w:trHeight w:val="240"/>
                            </w:trPr>
                            <w:tc>
                              <w:tcPr>
                                <w:tcW w:w="1140" w:type="dxa"/>
                              </w:tcPr>
                              <w:p w14:paraId="06743ACA" w14:textId="77777777" w:rsidR="005565E7" w:rsidRDefault="00B12764">
                                <w:r>
                                  <w:t>Betreft</w:t>
                                </w:r>
                              </w:p>
                            </w:tc>
                            <w:tc>
                              <w:tcPr>
                                <w:tcW w:w="5400" w:type="dxa"/>
                              </w:tcPr>
                              <w:p w14:paraId="33FFFA3A" w14:textId="0861F3FB" w:rsidR="005565E7" w:rsidRDefault="00AE5CBB">
                                <w:r>
                                  <w:t>Nieuwe mijlpalen Strategisch Plan Verkeersveiligheid</w:t>
                                </w:r>
                              </w:p>
                            </w:tc>
                          </w:tr>
                          <w:tr w:rsidR="005565E7" w14:paraId="42C3CC56" w14:textId="77777777">
                            <w:trPr>
                              <w:trHeight w:val="200"/>
                            </w:trPr>
                            <w:tc>
                              <w:tcPr>
                                <w:tcW w:w="1140" w:type="dxa"/>
                              </w:tcPr>
                              <w:p w14:paraId="76F5ABE1" w14:textId="77777777" w:rsidR="005565E7" w:rsidRDefault="005565E7"/>
                            </w:tc>
                            <w:tc>
                              <w:tcPr>
                                <w:tcW w:w="5400" w:type="dxa"/>
                              </w:tcPr>
                              <w:p w14:paraId="49CFC4F5" w14:textId="77777777" w:rsidR="005565E7" w:rsidRDefault="005565E7"/>
                            </w:tc>
                          </w:tr>
                        </w:tbl>
                        <w:p w14:paraId="6C82D735" w14:textId="77777777" w:rsidR="00075691" w:rsidRDefault="0007569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611615B" id="7266255e-823c-11ee-8554-0242ac120003" o:spid="_x0000_s1037" type="#_x0000_t202" style="position:absolute;margin-left:0;margin-top:271.85pt;width:323.25pt;height:102.4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5565E7" w14:paraId="517E68D8" w14:textId="77777777">
                      <w:trPr>
                        <w:trHeight w:val="200"/>
                      </w:trPr>
                      <w:tc>
                        <w:tcPr>
                          <w:tcW w:w="1140" w:type="dxa"/>
                        </w:tcPr>
                        <w:p w14:paraId="0AFA68C5" w14:textId="77777777" w:rsidR="005565E7" w:rsidRDefault="005565E7"/>
                      </w:tc>
                      <w:tc>
                        <w:tcPr>
                          <w:tcW w:w="5400" w:type="dxa"/>
                        </w:tcPr>
                        <w:p w14:paraId="4391F55A" w14:textId="77777777" w:rsidR="005565E7" w:rsidRDefault="005565E7"/>
                      </w:tc>
                    </w:tr>
                    <w:tr w:rsidR="005565E7" w14:paraId="2DCF581E" w14:textId="77777777">
                      <w:trPr>
                        <w:trHeight w:val="240"/>
                      </w:trPr>
                      <w:tc>
                        <w:tcPr>
                          <w:tcW w:w="1140" w:type="dxa"/>
                        </w:tcPr>
                        <w:p w14:paraId="7988F690" w14:textId="77777777" w:rsidR="005565E7" w:rsidRDefault="00B12764">
                          <w:r>
                            <w:t>Datum</w:t>
                          </w:r>
                        </w:p>
                      </w:tc>
                      <w:tc>
                        <w:tcPr>
                          <w:tcW w:w="5400" w:type="dxa"/>
                        </w:tcPr>
                        <w:p w14:paraId="1667F930" w14:textId="1E303AAC" w:rsidR="005565E7" w:rsidRDefault="00423738">
                          <w:r>
                            <w:t>10 juli 2025</w:t>
                          </w:r>
                        </w:p>
                      </w:tc>
                    </w:tr>
                    <w:tr w:rsidR="005565E7" w14:paraId="7E2F484D" w14:textId="77777777">
                      <w:trPr>
                        <w:trHeight w:val="240"/>
                      </w:trPr>
                      <w:tc>
                        <w:tcPr>
                          <w:tcW w:w="1140" w:type="dxa"/>
                        </w:tcPr>
                        <w:p w14:paraId="06743ACA" w14:textId="77777777" w:rsidR="005565E7" w:rsidRDefault="00B12764">
                          <w:r>
                            <w:t>Betreft</w:t>
                          </w:r>
                        </w:p>
                      </w:tc>
                      <w:tc>
                        <w:tcPr>
                          <w:tcW w:w="5400" w:type="dxa"/>
                        </w:tcPr>
                        <w:p w14:paraId="33FFFA3A" w14:textId="0861F3FB" w:rsidR="005565E7" w:rsidRDefault="00AE5CBB">
                          <w:r>
                            <w:t>Nieuwe mijlpalen Strategisch Plan Verkeersveiligheid</w:t>
                          </w:r>
                        </w:p>
                      </w:tc>
                    </w:tr>
                    <w:tr w:rsidR="005565E7" w14:paraId="42C3CC56" w14:textId="77777777">
                      <w:trPr>
                        <w:trHeight w:val="200"/>
                      </w:trPr>
                      <w:tc>
                        <w:tcPr>
                          <w:tcW w:w="1140" w:type="dxa"/>
                        </w:tcPr>
                        <w:p w14:paraId="76F5ABE1" w14:textId="77777777" w:rsidR="005565E7" w:rsidRDefault="005565E7"/>
                      </w:tc>
                      <w:tc>
                        <w:tcPr>
                          <w:tcW w:w="5400" w:type="dxa"/>
                        </w:tcPr>
                        <w:p w14:paraId="49CFC4F5" w14:textId="77777777" w:rsidR="005565E7" w:rsidRDefault="005565E7"/>
                      </w:tc>
                    </w:tr>
                  </w:tbl>
                  <w:p w14:paraId="6C82D735" w14:textId="77777777" w:rsidR="00075691" w:rsidRDefault="00075691"/>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A27D657" wp14:editId="35568BC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DA0282C" w14:textId="77777777" w:rsidR="00075691" w:rsidRDefault="00075691"/>
                      </w:txbxContent>
                    </wps:txbx>
                    <wps:bodyPr vert="horz" wrap="square" lIns="0" tIns="0" rIns="0" bIns="0" anchor="t" anchorCtr="0"/>
                  </wps:wsp>
                </a:graphicData>
              </a:graphic>
            </wp:anchor>
          </w:drawing>
        </mc:Choice>
        <mc:Fallback>
          <w:pict>
            <v:shape w14:anchorId="0A27D65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DA0282C" w14:textId="77777777" w:rsidR="00075691" w:rsidRDefault="0007569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928C1"/>
    <w:multiLevelType w:val="multilevel"/>
    <w:tmpl w:val="9ACC75B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3C0118"/>
    <w:multiLevelType w:val="multilevel"/>
    <w:tmpl w:val="9687A2A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2C2B91"/>
    <w:multiLevelType w:val="multilevel"/>
    <w:tmpl w:val="2339CE5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11E74F9"/>
    <w:multiLevelType w:val="multilevel"/>
    <w:tmpl w:val="0935E84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5C403E8"/>
    <w:multiLevelType w:val="multilevel"/>
    <w:tmpl w:val="CB0B46A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9E05D12"/>
    <w:multiLevelType w:val="multilevel"/>
    <w:tmpl w:val="54638B9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A4011E9"/>
    <w:multiLevelType w:val="multilevel"/>
    <w:tmpl w:val="88FA87A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D99B01"/>
    <w:multiLevelType w:val="multilevel"/>
    <w:tmpl w:val="1CF32B9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37CA24B"/>
    <w:multiLevelType w:val="multilevel"/>
    <w:tmpl w:val="1413CDA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2F7472"/>
    <w:multiLevelType w:val="multilevel"/>
    <w:tmpl w:val="656098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103AEA61"/>
    <w:multiLevelType w:val="multilevel"/>
    <w:tmpl w:val="82120C8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A2182A"/>
    <w:multiLevelType w:val="multilevel"/>
    <w:tmpl w:val="20C9D08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B5A7CF"/>
    <w:multiLevelType w:val="multilevel"/>
    <w:tmpl w:val="3CD9CA3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BBC6FD"/>
    <w:multiLevelType w:val="multilevel"/>
    <w:tmpl w:val="3E7187C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C9061F"/>
    <w:multiLevelType w:val="multilevel"/>
    <w:tmpl w:val="0524DB2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CA78BC"/>
    <w:multiLevelType w:val="hybridMultilevel"/>
    <w:tmpl w:val="8856D356"/>
    <w:lvl w:ilvl="0" w:tplc="4A728872">
      <w:start w:val="1"/>
      <w:numFmt w:val="decimal"/>
      <w:lvlText w:val="%1."/>
      <w:lvlJc w:val="left"/>
      <w:pPr>
        <w:ind w:left="360" w:hanging="360"/>
      </w:pPr>
      <w:rPr>
        <w:rFonts w:ascii="Verdana" w:hAnsi="Verdana" w:hint="default"/>
        <w:b w:val="0"/>
        <w:bCs w:val="0"/>
        <w:i w:val="0"/>
        <w:iCs w:val="0"/>
        <w:strike w:val="0"/>
        <w:sz w:val="20"/>
        <w:szCs w:val="20"/>
      </w:rPr>
    </w:lvl>
    <w:lvl w:ilvl="1" w:tplc="04130001">
      <w:start w:val="1"/>
      <w:numFmt w:val="bullet"/>
      <w:lvlText w:val=""/>
      <w:lvlJc w:val="left"/>
      <w:pPr>
        <w:ind w:left="1428"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7CE293C"/>
    <w:multiLevelType w:val="multilevel"/>
    <w:tmpl w:val="FD0C286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2C1F35"/>
    <w:multiLevelType w:val="multilevel"/>
    <w:tmpl w:val="F58A6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A4338D5"/>
    <w:multiLevelType w:val="multilevel"/>
    <w:tmpl w:val="F12C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F8CEA"/>
    <w:multiLevelType w:val="multilevel"/>
    <w:tmpl w:val="92837F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F860EA6"/>
    <w:multiLevelType w:val="multilevel"/>
    <w:tmpl w:val="8D3B993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6E0113"/>
    <w:multiLevelType w:val="multilevel"/>
    <w:tmpl w:val="B7C6A3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6CC4AB85"/>
    <w:multiLevelType w:val="multilevel"/>
    <w:tmpl w:val="F26CBD6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483206"/>
    <w:multiLevelType w:val="multilevel"/>
    <w:tmpl w:val="2AFD719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24CEF"/>
    <w:multiLevelType w:val="multilevel"/>
    <w:tmpl w:val="12E4FCE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795BFD"/>
    <w:multiLevelType w:val="multilevel"/>
    <w:tmpl w:val="0104DD3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391189"/>
    <w:multiLevelType w:val="multilevel"/>
    <w:tmpl w:val="132CDD3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8"/>
  </w:num>
  <w:num w:numId="4">
    <w:abstractNumId w:val="24"/>
  </w:num>
  <w:num w:numId="5">
    <w:abstractNumId w:val="9"/>
  </w:num>
  <w:num w:numId="6">
    <w:abstractNumId w:val="4"/>
  </w:num>
  <w:num w:numId="7">
    <w:abstractNumId w:val="13"/>
  </w:num>
  <w:num w:numId="8">
    <w:abstractNumId w:val="3"/>
  </w:num>
  <w:num w:numId="9">
    <w:abstractNumId w:val="11"/>
  </w:num>
  <w:num w:numId="10">
    <w:abstractNumId w:val="1"/>
  </w:num>
  <w:num w:numId="11">
    <w:abstractNumId w:val="6"/>
  </w:num>
  <w:num w:numId="12">
    <w:abstractNumId w:val="19"/>
  </w:num>
  <w:num w:numId="13">
    <w:abstractNumId w:val="5"/>
  </w:num>
  <w:num w:numId="14">
    <w:abstractNumId w:val="10"/>
  </w:num>
  <w:num w:numId="15">
    <w:abstractNumId w:val="7"/>
  </w:num>
  <w:num w:numId="16">
    <w:abstractNumId w:val="2"/>
  </w:num>
  <w:num w:numId="17">
    <w:abstractNumId w:val="25"/>
  </w:num>
  <w:num w:numId="18">
    <w:abstractNumId w:val="16"/>
  </w:num>
  <w:num w:numId="19">
    <w:abstractNumId w:val="0"/>
  </w:num>
  <w:num w:numId="20">
    <w:abstractNumId w:val="26"/>
  </w:num>
  <w:num w:numId="21">
    <w:abstractNumId w:val="20"/>
  </w:num>
  <w:num w:numId="22">
    <w:abstractNumId w:val="22"/>
  </w:num>
  <w:num w:numId="23">
    <w:abstractNumId w:val="14"/>
  </w:num>
  <w:num w:numId="24">
    <w:abstractNumId w:val="15"/>
  </w:num>
  <w:num w:numId="25">
    <w:abstractNumId w:val="17"/>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E7"/>
    <w:rsid w:val="000046EA"/>
    <w:rsid w:val="000137D6"/>
    <w:rsid w:val="00013AA8"/>
    <w:rsid w:val="00042FBA"/>
    <w:rsid w:val="00043EFA"/>
    <w:rsid w:val="0005469A"/>
    <w:rsid w:val="00056A26"/>
    <w:rsid w:val="00056E84"/>
    <w:rsid w:val="000601E5"/>
    <w:rsid w:val="00060463"/>
    <w:rsid w:val="00061B71"/>
    <w:rsid w:val="00075691"/>
    <w:rsid w:val="00077662"/>
    <w:rsid w:val="000A4271"/>
    <w:rsid w:val="000A4ED8"/>
    <w:rsid w:val="000B4ACC"/>
    <w:rsid w:val="000C22FB"/>
    <w:rsid w:val="000C4552"/>
    <w:rsid w:val="000D03ED"/>
    <w:rsid w:val="000D1087"/>
    <w:rsid w:val="000D4A64"/>
    <w:rsid w:val="000D683D"/>
    <w:rsid w:val="000E23EF"/>
    <w:rsid w:val="000E2A52"/>
    <w:rsid w:val="000E5BF7"/>
    <w:rsid w:val="000F07E1"/>
    <w:rsid w:val="000F187F"/>
    <w:rsid w:val="000F2488"/>
    <w:rsid w:val="001028AF"/>
    <w:rsid w:val="00107050"/>
    <w:rsid w:val="0013441A"/>
    <w:rsid w:val="00136DAD"/>
    <w:rsid w:val="00143B01"/>
    <w:rsid w:val="0014439A"/>
    <w:rsid w:val="00146504"/>
    <w:rsid w:val="00164FAF"/>
    <w:rsid w:val="00170667"/>
    <w:rsid w:val="0017143E"/>
    <w:rsid w:val="001739C3"/>
    <w:rsid w:val="00175773"/>
    <w:rsid w:val="00180A3B"/>
    <w:rsid w:val="00183337"/>
    <w:rsid w:val="00196738"/>
    <w:rsid w:val="001A0F80"/>
    <w:rsid w:val="001A3CD1"/>
    <w:rsid w:val="001A78E7"/>
    <w:rsid w:val="001B07DA"/>
    <w:rsid w:val="001B4B98"/>
    <w:rsid w:val="001C4F28"/>
    <w:rsid w:val="001C7812"/>
    <w:rsid w:val="001D23CD"/>
    <w:rsid w:val="001E2B16"/>
    <w:rsid w:val="00234F5C"/>
    <w:rsid w:val="002358EB"/>
    <w:rsid w:val="0023673C"/>
    <w:rsid w:val="00242B23"/>
    <w:rsid w:val="002575E7"/>
    <w:rsid w:val="002644E8"/>
    <w:rsid w:val="00280210"/>
    <w:rsid w:val="00293488"/>
    <w:rsid w:val="00296D33"/>
    <w:rsid w:val="002A056E"/>
    <w:rsid w:val="002A0CC5"/>
    <w:rsid w:val="002A311E"/>
    <w:rsid w:val="002A6692"/>
    <w:rsid w:val="002E0800"/>
    <w:rsid w:val="002F3FDE"/>
    <w:rsid w:val="002F70F8"/>
    <w:rsid w:val="002F73B2"/>
    <w:rsid w:val="0030045C"/>
    <w:rsid w:val="003034C0"/>
    <w:rsid w:val="00303D81"/>
    <w:rsid w:val="00317DB5"/>
    <w:rsid w:val="0032546F"/>
    <w:rsid w:val="0033764E"/>
    <w:rsid w:val="0034449A"/>
    <w:rsid w:val="0036656C"/>
    <w:rsid w:val="0038626F"/>
    <w:rsid w:val="00394E47"/>
    <w:rsid w:val="003D58DA"/>
    <w:rsid w:val="003E241D"/>
    <w:rsid w:val="003F1E05"/>
    <w:rsid w:val="003F2BC2"/>
    <w:rsid w:val="003F4648"/>
    <w:rsid w:val="003F71C5"/>
    <w:rsid w:val="00403A3F"/>
    <w:rsid w:val="00406240"/>
    <w:rsid w:val="0041097C"/>
    <w:rsid w:val="004161C5"/>
    <w:rsid w:val="00417024"/>
    <w:rsid w:val="00423738"/>
    <w:rsid w:val="00426A46"/>
    <w:rsid w:val="00426BAC"/>
    <w:rsid w:val="0043169A"/>
    <w:rsid w:val="00431833"/>
    <w:rsid w:val="004423E9"/>
    <w:rsid w:val="004527E0"/>
    <w:rsid w:val="004531AD"/>
    <w:rsid w:val="00454E2C"/>
    <w:rsid w:val="00454FCE"/>
    <w:rsid w:val="00464011"/>
    <w:rsid w:val="00471F09"/>
    <w:rsid w:val="0047595F"/>
    <w:rsid w:val="00475F3A"/>
    <w:rsid w:val="004911E7"/>
    <w:rsid w:val="00495C84"/>
    <w:rsid w:val="00496345"/>
    <w:rsid w:val="004B5EDF"/>
    <w:rsid w:val="004C138A"/>
    <w:rsid w:val="004C3C27"/>
    <w:rsid w:val="004C71E1"/>
    <w:rsid w:val="004D26A3"/>
    <w:rsid w:val="004D663B"/>
    <w:rsid w:val="004E5587"/>
    <w:rsid w:val="004E643A"/>
    <w:rsid w:val="004F4EBD"/>
    <w:rsid w:val="005142E6"/>
    <w:rsid w:val="00515C7C"/>
    <w:rsid w:val="00520D4E"/>
    <w:rsid w:val="00521742"/>
    <w:rsid w:val="0052706E"/>
    <w:rsid w:val="00531832"/>
    <w:rsid w:val="005352BC"/>
    <w:rsid w:val="00541209"/>
    <w:rsid w:val="00545F23"/>
    <w:rsid w:val="005565E7"/>
    <w:rsid w:val="005623A3"/>
    <w:rsid w:val="005636EB"/>
    <w:rsid w:val="005639B7"/>
    <w:rsid w:val="005824FC"/>
    <w:rsid w:val="0059105F"/>
    <w:rsid w:val="0059289C"/>
    <w:rsid w:val="005A0EB8"/>
    <w:rsid w:val="005A177E"/>
    <w:rsid w:val="005B58E4"/>
    <w:rsid w:val="005C554F"/>
    <w:rsid w:val="005D3648"/>
    <w:rsid w:val="005D61F3"/>
    <w:rsid w:val="005E7125"/>
    <w:rsid w:val="005F1FC0"/>
    <w:rsid w:val="005F55E0"/>
    <w:rsid w:val="005F7557"/>
    <w:rsid w:val="006058A6"/>
    <w:rsid w:val="00607924"/>
    <w:rsid w:val="00612B1F"/>
    <w:rsid w:val="00621359"/>
    <w:rsid w:val="00625787"/>
    <w:rsid w:val="006351A6"/>
    <w:rsid w:val="00641C8D"/>
    <w:rsid w:val="00643873"/>
    <w:rsid w:val="00643FDD"/>
    <w:rsid w:val="00652B77"/>
    <w:rsid w:val="00655D30"/>
    <w:rsid w:val="0066599E"/>
    <w:rsid w:val="006741DF"/>
    <w:rsid w:val="00677D10"/>
    <w:rsid w:val="00690FF9"/>
    <w:rsid w:val="006A2196"/>
    <w:rsid w:val="006A45E3"/>
    <w:rsid w:val="006B2432"/>
    <w:rsid w:val="006C3A68"/>
    <w:rsid w:val="006C5152"/>
    <w:rsid w:val="006C646A"/>
    <w:rsid w:val="006E1DE1"/>
    <w:rsid w:val="006E4EA1"/>
    <w:rsid w:val="006E50F3"/>
    <w:rsid w:val="006F0CB9"/>
    <w:rsid w:val="006F37E1"/>
    <w:rsid w:val="006F4F5C"/>
    <w:rsid w:val="006F7F96"/>
    <w:rsid w:val="00703EA1"/>
    <w:rsid w:val="00723F9E"/>
    <w:rsid w:val="00725EDC"/>
    <w:rsid w:val="0073585B"/>
    <w:rsid w:val="00764CB3"/>
    <w:rsid w:val="00775B72"/>
    <w:rsid w:val="007769F6"/>
    <w:rsid w:val="007848A9"/>
    <w:rsid w:val="00784FF3"/>
    <w:rsid w:val="007853ED"/>
    <w:rsid w:val="007978E3"/>
    <w:rsid w:val="007A5079"/>
    <w:rsid w:val="007A5CE6"/>
    <w:rsid w:val="007B636B"/>
    <w:rsid w:val="007C4EF1"/>
    <w:rsid w:val="007C66B5"/>
    <w:rsid w:val="007C7778"/>
    <w:rsid w:val="007D237E"/>
    <w:rsid w:val="007E1B96"/>
    <w:rsid w:val="007E2FFF"/>
    <w:rsid w:val="007E313D"/>
    <w:rsid w:val="007F72BB"/>
    <w:rsid w:val="00800A8E"/>
    <w:rsid w:val="008020F4"/>
    <w:rsid w:val="00816B88"/>
    <w:rsid w:val="0081703D"/>
    <w:rsid w:val="008275C4"/>
    <w:rsid w:val="00832E5C"/>
    <w:rsid w:val="008410AE"/>
    <w:rsid w:val="00844D2C"/>
    <w:rsid w:val="00854BCA"/>
    <w:rsid w:val="00856311"/>
    <w:rsid w:val="00862E64"/>
    <w:rsid w:val="00871662"/>
    <w:rsid w:val="00873270"/>
    <w:rsid w:val="00874842"/>
    <w:rsid w:val="00875C68"/>
    <w:rsid w:val="00886A65"/>
    <w:rsid w:val="00887BD4"/>
    <w:rsid w:val="00892491"/>
    <w:rsid w:val="008B7205"/>
    <w:rsid w:val="008C0858"/>
    <w:rsid w:val="008D2ABC"/>
    <w:rsid w:val="008D2EAF"/>
    <w:rsid w:val="008D505A"/>
    <w:rsid w:val="008E3F21"/>
    <w:rsid w:val="008F2A54"/>
    <w:rsid w:val="008F7878"/>
    <w:rsid w:val="00901733"/>
    <w:rsid w:val="00904CC9"/>
    <w:rsid w:val="009069F6"/>
    <w:rsid w:val="0091105C"/>
    <w:rsid w:val="0091314E"/>
    <w:rsid w:val="0091523D"/>
    <w:rsid w:val="00916D32"/>
    <w:rsid w:val="00926BAB"/>
    <w:rsid w:val="00930A48"/>
    <w:rsid w:val="00932DB6"/>
    <w:rsid w:val="009346FA"/>
    <w:rsid w:val="009352F1"/>
    <w:rsid w:val="009359D8"/>
    <w:rsid w:val="00941981"/>
    <w:rsid w:val="00956676"/>
    <w:rsid w:val="00964754"/>
    <w:rsid w:val="00964760"/>
    <w:rsid w:val="00970BFF"/>
    <w:rsid w:val="00985B29"/>
    <w:rsid w:val="0099271F"/>
    <w:rsid w:val="00993277"/>
    <w:rsid w:val="009A03DC"/>
    <w:rsid w:val="009A6CB5"/>
    <w:rsid w:val="009C16B1"/>
    <w:rsid w:val="009D4C60"/>
    <w:rsid w:val="009D4E14"/>
    <w:rsid w:val="009D712B"/>
    <w:rsid w:val="009F21FB"/>
    <w:rsid w:val="009F5AE0"/>
    <w:rsid w:val="00A02D7C"/>
    <w:rsid w:val="00A072AB"/>
    <w:rsid w:val="00A07CC3"/>
    <w:rsid w:val="00A201C1"/>
    <w:rsid w:val="00A2651C"/>
    <w:rsid w:val="00A36928"/>
    <w:rsid w:val="00A402F0"/>
    <w:rsid w:val="00A435AB"/>
    <w:rsid w:val="00A57204"/>
    <w:rsid w:val="00A74E38"/>
    <w:rsid w:val="00A770E8"/>
    <w:rsid w:val="00A779FE"/>
    <w:rsid w:val="00A81E1C"/>
    <w:rsid w:val="00A927D3"/>
    <w:rsid w:val="00AA4FC6"/>
    <w:rsid w:val="00AA6879"/>
    <w:rsid w:val="00AB4387"/>
    <w:rsid w:val="00AC2C10"/>
    <w:rsid w:val="00AC7970"/>
    <w:rsid w:val="00AD0EB4"/>
    <w:rsid w:val="00AD1C7D"/>
    <w:rsid w:val="00AD52EE"/>
    <w:rsid w:val="00AE5CBB"/>
    <w:rsid w:val="00AE728B"/>
    <w:rsid w:val="00AF0A60"/>
    <w:rsid w:val="00AF2512"/>
    <w:rsid w:val="00AF638A"/>
    <w:rsid w:val="00B07B45"/>
    <w:rsid w:val="00B12764"/>
    <w:rsid w:val="00B20B6C"/>
    <w:rsid w:val="00B33668"/>
    <w:rsid w:val="00B34A5A"/>
    <w:rsid w:val="00B3651E"/>
    <w:rsid w:val="00B37211"/>
    <w:rsid w:val="00B44EFE"/>
    <w:rsid w:val="00B4567D"/>
    <w:rsid w:val="00B47ECD"/>
    <w:rsid w:val="00B5306A"/>
    <w:rsid w:val="00B53602"/>
    <w:rsid w:val="00B616EC"/>
    <w:rsid w:val="00B6362B"/>
    <w:rsid w:val="00B67561"/>
    <w:rsid w:val="00B67739"/>
    <w:rsid w:val="00B718E0"/>
    <w:rsid w:val="00B81E89"/>
    <w:rsid w:val="00B84898"/>
    <w:rsid w:val="00B87066"/>
    <w:rsid w:val="00BB18F3"/>
    <w:rsid w:val="00BB34DC"/>
    <w:rsid w:val="00BB51BE"/>
    <w:rsid w:val="00BB6DBC"/>
    <w:rsid w:val="00BB77BB"/>
    <w:rsid w:val="00BC477C"/>
    <w:rsid w:val="00BE3DCE"/>
    <w:rsid w:val="00BE5FC2"/>
    <w:rsid w:val="00BE72FD"/>
    <w:rsid w:val="00BF03F5"/>
    <w:rsid w:val="00C00A26"/>
    <w:rsid w:val="00C1071A"/>
    <w:rsid w:val="00C11EAA"/>
    <w:rsid w:val="00C2502B"/>
    <w:rsid w:val="00C2792E"/>
    <w:rsid w:val="00C34738"/>
    <w:rsid w:val="00C40B83"/>
    <w:rsid w:val="00C51FC9"/>
    <w:rsid w:val="00C80B09"/>
    <w:rsid w:val="00C86404"/>
    <w:rsid w:val="00CC187F"/>
    <w:rsid w:val="00CC3C43"/>
    <w:rsid w:val="00CD1F46"/>
    <w:rsid w:val="00CD5200"/>
    <w:rsid w:val="00CD73F7"/>
    <w:rsid w:val="00CE12A8"/>
    <w:rsid w:val="00CE2262"/>
    <w:rsid w:val="00CE2285"/>
    <w:rsid w:val="00CF2850"/>
    <w:rsid w:val="00D0127D"/>
    <w:rsid w:val="00D12C16"/>
    <w:rsid w:val="00D2407E"/>
    <w:rsid w:val="00D27233"/>
    <w:rsid w:val="00D337A8"/>
    <w:rsid w:val="00D34996"/>
    <w:rsid w:val="00D43569"/>
    <w:rsid w:val="00D44148"/>
    <w:rsid w:val="00D4451A"/>
    <w:rsid w:val="00D46B1A"/>
    <w:rsid w:val="00D71EA4"/>
    <w:rsid w:val="00D72E20"/>
    <w:rsid w:val="00D918C8"/>
    <w:rsid w:val="00D94C60"/>
    <w:rsid w:val="00D95673"/>
    <w:rsid w:val="00D956ED"/>
    <w:rsid w:val="00DA3304"/>
    <w:rsid w:val="00DB02E7"/>
    <w:rsid w:val="00DB6D79"/>
    <w:rsid w:val="00DB6D82"/>
    <w:rsid w:val="00DC4060"/>
    <w:rsid w:val="00DC5376"/>
    <w:rsid w:val="00DE0D7B"/>
    <w:rsid w:val="00DE1F59"/>
    <w:rsid w:val="00DF5E42"/>
    <w:rsid w:val="00DF6DF0"/>
    <w:rsid w:val="00E03D1D"/>
    <w:rsid w:val="00E10191"/>
    <w:rsid w:val="00E352DA"/>
    <w:rsid w:val="00E42982"/>
    <w:rsid w:val="00E43028"/>
    <w:rsid w:val="00E57EF1"/>
    <w:rsid w:val="00E6165C"/>
    <w:rsid w:val="00E667EE"/>
    <w:rsid w:val="00E762AC"/>
    <w:rsid w:val="00E9060E"/>
    <w:rsid w:val="00E90ACC"/>
    <w:rsid w:val="00E93898"/>
    <w:rsid w:val="00E94791"/>
    <w:rsid w:val="00E97D24"/>
    <w:rsid w:val="00E97E0B"/>
    <w:rsid w:val="00EB2D95"/>
    <w:rsid w:val="00ED2B0B"/>
    <w:rsid w:val="00ED7FF7"/>
    <w:rsid w:val="00EE5339"/>
    <w:rsid w:val="00EF71F5"/>
    <w:rsid w:val="00F03DFA"/>
    <w:rsid w:val="00F21FFD"/>
    <w:rsid w:val="00F400C4"/>
    <w:rsid w:val="00F40953"/>
    <w:rsid w:val="00F40BF7"/>
    <w:rsid w:val="00F4231C"/>
    <w:rsid w:val="00F47831"/>
    <w:rsid w:val="00F5169F"/>
    <w:rsid w:val="00F60A5B"/>
    <w:rsid w:val="00F86231"/>
    <w:rsid w:val="00FA62BB"/>
    <w:rsid w:val="00FB02F8"/>
    <w:rsid w:val="00FB3D03"/>
    <w:rsid w:val="00FC5ED4"/>
    <w:rsid w:val="00FE07BC"/>
    <w:rsid w:val="00FE0DA6"/>
    <w:rsid w:val="00FE357F"/>
    <w:rsid w:val="00FE4248"/>
    <w:rsid w:val="00FF49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D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D23CD"/>
    <w:pPr>
      <w:tabs>
        <w:tab w:val="center" w:pos="4536"/>
        <w:tab w:val="right" w:pos="9072"/>
      </w:tabs>
      <w:spacing w:line="240" w:lineRule="auto"/>
    </w:pPr>
  </w:style>
  <w:style w:type="character" w:customStyle="1" w:styleId="HeaderChar">
    <w:name w:val="Header Char"/>
    <w:basedOn w:val="DefaultParagraphFont"/>
    <w:link w:val="Header"/>
    <w:uiPriority w:val="99"/>
    <w:rsid w:val="001D23CD"/>
    <w:rPr>
      <w:rFonts w:ascii="Verdana" w:hAnsi="Verdana"/>
      <w:color w:val="000000"/>
      <w:sz w:val="18"/>
      <w:szCs w:val="18"/>
    </w:rPr>
  </w:style>
  <w:style w:type="paragraph" w:styleId="Footer">
    <w:name w:val="footer"/>
    <w:basedOn w:val="Normal"/>
    <w:link w:val="FooterChar"/>
    <w:uiPriority w:val="99"/>
    <w:unhideWhenUsed/>
    <w:rsid w:val="001D23CD"/>
    <w:pPr>
      <w:tabs>
        <w:tab w:val="center" w:pos="4536"/>
        <w:tab w:val="right" w:pos="9072"/>
      </w:tabs>
      <w:spacing w:line="240" w:lineRule="auto"/>
    </w:pPr>
  </w:style>
  <w:style w:type="character" w:customStyle="1" w:styleId="FooterChar">
    <w:name w:val="Footer Char"/>
    <w:basedOn w:val="DefaultParagraphFont"/>
    <w:link w:val="Footer"/>
    <w:uiPriority w:val="99"/>
    <w:rsid w:val="001D23CD"/>
    <w:rPr>
      <w:rFonts w:ascii="Verdana" w:hAnsi="Verdana"/>
      <w:color w:val="000000"/>
      <w:sz w:val="18"/>
      <w:szCs w:val="18"/>
    </w:rPr>
  </w:style>
  <w:style w:type="paragraph" w:styleId="FootnoteText">
    <w:name w:val="footnote text"/>
    <w:basedOn w:val="Normal"/>
    <w:link w:val="FootnoteTextChar"/>
    <w:uiPriority w:val="99"/>
    <w:unhideWhenUsed/>
    <w:rsid w:val="001D23CD"/>
    <w:pPr>
      <w:spacing w:line="240" w:lineRule="auto"/>
    </w:pPr>
    <w:rPr>
      <w:sz w:val="20"/>
      <w:szCs w:val="20"/>
    </w:rPr>
  </w:style>
  <w:style w:type="character" w:customStyle="1" w:styleId="FootnoteTextChar">
    <w:name w:val="Footnote Text Char"/>
    <w:basedOn w:val="DefaultParagraphFont"/>
    <w:link w:val="FootnoteText"/>
    <w:uiPriority w:val="99"/>
    <w:rsid w:val="001D23CD"/>
    <w:rPr>
      <w:rFonts w:ascii="Verdana" w:hAnsi="Verdana"/>
      <w:color w:val="000000"/>
    </w:rPr>
  </w:style>
  <w:style w:type="character" w:styleId="FootnoteReference">
    <w:name w:val="footnote reference"/>
    <w:basedOn w:val="DefaultParagraphFont"/>
    <w:uiPriority w:val="99"/>
    <w:semiHidden/>
    <w:unhideWhenUsed/>
    <w:rsid w:val="001D23CD"/>
    <w:rPr>
      <w:vertAlign w:val="superscript"/>
    </w:rPr>
  </w:style>
  <w:style w:type="character" w:styleId="CommentReference">
    <w:name w:val="annotation reference"/>
    <w:basedOn w:val="DefaultParagraphFont"/>
    <w:uiPriority w:val="99"/>
    <w:semiHidden/>
    <w:unhideWhenUsed/>
    <w:rsid w:val="000F2488"/>
    <w:rPr>
      <w:sz w:val="16"/>
      <w:szCs w:val="16"/>
    </w:rPr>
  </w:style>
  <w:style w:type="paragraph" w:styleId="CommentText">
    <w:name w:val="annotation text"/>
    <w:basedOn w:val="Normal"/>
    <w:link w:val="CommentTextChar"/>
    <w:uiPriority w:val="99"/>
    <w:unhideWhenUsed/>
    <w:rsid w:val="000F2488"/>
    <w:pPr>
      <w:spacing w:line="240" w:lineRule="auto"/>
    </w:pPr>
    <w:rPr>
      <w:sz w:val="20"/>
      <w:szCs w:val="20"/>
    </w:rPr>
  </w:style>
  <w:style w:type="character" w:customStyle="1" w:styleId="CommentTextChar">
    <w:name w:val="Comment Text Char"/>
    <w:basedOn w:val="DefaultParagraphFont"/>
    <w:link w:val="CommentText"/>
    <w:uiPriority w:val="99"/>
    <w:rsid w:val="000F248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F2488"/>
    <w:rPr>
      <w:b/>
      <w:bCs/>
    </w:rPr>
  </w:style>
  <w:style w:type="character" w:customStyle="1" w:styleId="CommentSubjectChar">
    <w:name w:val="Comment Subject Char"/>
    <w:basedOn w:val="CommentTextChar"/>
    <w:link w:val="CommentSubject"/>
    <w:uiPriority w:val="99"/>
    <w:semiHidden/>
    <w:rsid w:val="000F2488"/>
    <w:rPr>
      <w:rFonts w:ascii="Verdana" w:hAnsi="Verdana"/>
      <w:b/>
      <w:bCs/>
      <w:color w:val="000000"/>
    </w:rPr>
  </w:style>
  <w:style w:type="table" w:styleId="ListTable2">
    <w:name w:val="List Table 2"/>
    <w:basedOn w:val="TableNormal"/>
    <w:uiPriority w:val="47"/>
    <w:rsid w:val="003F2BC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6F37E1"/>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5F7557"/>
    <w:rPr>
      <w:color w:val="605E5C"/>
      <w:shd w:val="clear" w:color="auto" w:fill="E1DFDD"/>
    </w:rPr>
  </w:style>
  <w:style w:type="character" w:styleId="FollowedHyperlink">
    <w:name w:val="FollowedHyperlink"/>
    <w:basedOn w:val="DefaultParagraphFont"/>
    <w:uiPriority w:val="99"/>
    <w:semiHidden/>
    <w:unhideWhenUsed/>
    <w:rsid w:val="00E616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6579">
      <w:bodyDiv w:val="1"/>
      <w:marLeft w:val="0"/>
      <w:marRight w:val="0"/>
      <w:marTop w:val="0"/>
      <w:marBottom w:val="0"/>
      <w:divBdr>
        <w:top w:val="none" w:sz="0" w:space="0" w:color="auto"/>
        <w:left w:val="none" w:sz="0" w:space="0" w:color="auto"/>
        <w:bottom w:val="none" w:sz="0" w:space="0" w:color="auto"/>
        <w:right w:val="none" w:sz="0" w:space="0" w:color="auto"/>
      </w:divBdr>
      <w:divsChild>
        <w:div w:id="605507943">
          <w:marLeft w:val="0"/>
          <w:marRight w:val="0"/>
          <w:marTop w:val="0"/>
          <w:marBottom w:val="0"/>
          <w:divBdr>
            <w:top w:val="none" w:sz="0" w:space="0" w:color="auto"/>
            <w:left w:val="none" w:sz="0" w:space="0" w:color="auto"/>
            <w:bottom w:val="none" w:sz="0" w:space="0" w:color="auto"/>
            <w:right w:val="none" w:sz="0" w:space="0" w:color="auto"/>
          </w:divBdr>
        </w:div>
      </w:divsChild>
    </w:div>
    <w:div w:id="1604220878">
      <w:bodyDiv w:val="1"/>
      <w:marLeft w:val="0"/>
      <w:marRight w:val="0"/>
      <w:marTop w:val="0"/>
      <w:marBottom w:val="0"/>
      <w:divBdr>
        <w:top w:val="none" w:sz="0" w:space="0" w:color="auto"/>
        <w:left w:val="none" w:sz="0" w:space="0" w:color="auto"/>
        <w:bottom w:val="none" w:sz="0" w:space="0" w:color="auto"/>
        <w:right w:val="none" w:sz="0" w:space="0" w:color="auto"/>
      </w:divBdr>
    </w:div>
    <w:div w:id="1632635172">
      <w:bodyDiv w:val="1"/>
      <w:marLeft w:val="0"/>
      <w:marRight w:val="0"/>
      <w:marTop w:val="0"/>
      <w:marBottom w:val="0"/>
      <w:divBdr>
        <w:top w:val="none" w:sz="0" w:space="0" w:color="auto"/>
        <w:left w:val="none" w:sz="0" w:space="0" w:color="auto"/>
        <w:bottom w:val="none" w:sz="0" w:space="0" w:color="auto"/>
        <w:right w:val="none" w:sz="0" w:space="0" w:color="auto"/>
      </w:divBdr>
      <w:divsChild>
        <w:div w:id="7228725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swov.nl/nl/publicatie/kiezen-delen" TargetMode="External"/><Relationship Id="rId2" Type="http://schemas.openxmlformats.org/officeDocument/2006/relationships/hyperlink" Target="https://swov.nl/nl/publicatie/de-staat-van-de-verkeersveiligheid-2024" TargetMode="External"/><Relationship Id="rId1" Type="http://schemas.openxmlformats.org/officeDocument/2006/relationships/hyperlink" Target="https://www.cbs.nl/nl-nl/nieuws/2025/16/42-procent-minder-verkeersdoden-in-25-jaa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1467</ap:Words>
  <ap:Characters>8368</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aan Parlement - Meerjarenplan Fietsveiligheid</vt:lpstr>
    </vt:vector>
  </ap:TitlesOfParts>
  <ap:LinksUpToDate>false</ap:LinksUpToDate>
  <ap:CharactersWithSpaces>9816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2025-07-10T09:51:00.0000000Z</dcterms:created>
  <dcterms:modified xsi:type="dcterms:W3CDTF">2025-07-10T09:51:00.0000000Z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Meerjarenplan Fietsveiligheid</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Q.C. Bredius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