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36DB" w:rsidR="00E52555" w:rsidP="006F59E9" w:rsidRDefault="00164D86" w14:paraId="5927452A" w14:textId="47438C07">
      <w:pPr>
        <w:autoSpaceDN/>
        <w:spacing w:line="240" w:lineRule="auto"/>
        <w:textAlignment w:val="auto"/>
      </w:pPr>
      <w:bookmarkStart w:name="_Hlk203142073" w:id="0"/>
      <w:bookmarkEnd w:id="0"/>
      <w:r w:rsidRPr="009B36DB">
        <w:t xml:space="preserve">Op 6 december jl. hebben wij uw Kamer geïnformeerd over de weerbaarheidsopgave waar we als Nederland voor staan in het licht van de sterk veranderde geopolitieke situatie. Voor het eerst in lange tijd is de kans reëel dat Nederland via de collectieve verdedigingsclausule in het NAVO-verdrag (“artikel-5”) direct betrokken raakt bij een grootschalig gewapend conflict. Daarnaast groeit de hybride dreiging. Sabotage, cyberaanvallen en informatieoperaties nemen toe en inzicht in onze afhankelijkheden is belangrijker dan ooit. De Russische agressie tegen Oekraïne en de veranderende internationale verhoudingen vereisen dat Europa en daarmee Nederland, meer verantwoordelijkheid neemt voor zijn veiligheid. </w:t>
      </w:r>
      <w:r w:rsidRPr="009B36DB" w:rsidR="00E52555">
        <w:t xml:space="preserve">Een hybride en militair conflictscenario vraagt om een significante versterking van onze weerbaarheid. Tegelijkertijd </w:t>
      </w:r>
      <w:r w:rsidR="00DB6ECF">
        <w:t>dwingen</w:t>
      </w:r>
      <w:r w:rsidRPr="009B36DB" w:rsidR="00DB6ECF">
        <w:t xml:space="preserve"> </w:t>
      </w:r>
      <w:r w:rsidRPr="009B36DB" w:rsidR="00E52555">
        <w:t xml:space="preserve">de beschikbare middelen tot keuzes. Niet alles kan tegelijkertijd en direct. Een gefaseerde en stapsgewijze aanpak is nodig, waarbij de noodzakelijke groei en versterking van onze krijgsmacht hand in hand gaat met de inzet op versterking van de weerbaarheid van de (Nederlandse) maatschappij. </w:t>
      </w:r>
    </w:p>
    <w:p w:rsidRPr="009B36DB" w:rsidR="00080A40" w:rsidP="006F59E9" w:rsidRDefault="00080A40" w14:paraId="5289AA86" w14:textId="69721265">
      <w:pPr>
        <w:autoSpaceDN/>
        <w:spacing w:line="240" w:lineRule="auto"/>
        <w:textAlignment w:val="auto"/>
      </w:pPr>
    </w:p>
    <w:p w:rsidRPr="009B36DB" w:rsidR="00E52555" w:rsidP="006F59E9" w:rsidRDefault="0023755A" w14:paraId="5BD533AD" w14:textId="2EBCE10F">
      <w:pPr>
        <w:spacing w:line="240" w:lineRule="auto"/>
        <w:rPr>
          <w:b/>
          <w:bCs/>
        </w:rPr>
      </w:pPr>
      <w:r w:rsidRPr="009B36DB">
        <w:rPr>
          <w:bCs/>
        </w:rPr>
        <w:t>De</w:t>
      </w:r>
      <w:r w:rsidR="003038A1">
        <w:rPr>
          <w:bCs/>
        </w:rPr>
        <w:t>ze</w:t>
      </w:r>
      <w:r w:rsidRPr="009B36DB">
        <w:rPr>
          <w:bCs/>
        </w:rPr>
        <w:t xml:space="preserve"> opgave is groot en complex. </w:t>
      </w:r>
      <w:r w:rsidR="003038A1">
        <w:rPr>
          <w:bCs/>
        </w:rPr>
        <w:t>Het</w:t>
      </w:r>
      <w:r w:rsidRPr="009B36DB">
        <w:rPr>
          <w:bCs/>
        </w:rPr>
        <w:t xml:space="preserve"> raakt bijna alle onderdelen van de maatschappij en brengt vraagstukken in beeld waar we sinds het einde van de Koude Oorlog niet meer over hebben nagedacht</w:t>
      </w:r>
      <w:r w:rsidRPr="009B36DB" w:rsidR="00E52555">
        <w:rPr>
          <w:bCs/>
        </w:rPr>
        <w:t xml:space="preserve"> en het opbouwen van kennis hierover</w:t>
      </w:r>
      <w:r w:rsidR="003038A1">
        <w:rPr>
          <w:bCs/>
        </w:rPr>
        <w:t xml:space="preserve"> en capaciteiten</w:t>
      </w:r>
      <w:r w:rsidRPr="009B36DB" w:rsidR="00E52555">
        <w:rPr>
          <w:bCs/>
        </w:rPr>
        <w:t xml:space="preserve"> kost tijd. </w:t>
      </w:r>
      <w:r w:rsidR="003038A1">
        <w:rPr>
          <w:bCs/>
        </w:rPr>
        <w:t xml:space="preserve">Het bepalen van de concrete beleidsinzet heeft daarom op sommige terreinen wat langer nodig. </w:t>
      </w:r>
      <w:r w:rsidRPr="009B36DB" w:rsidR="00E52555">
        <w:rPr>
          <w:bCs/>
        </w:rPr>
        <w:t xml:space="preserve">Uw Kamer ontvangt daarom </w:t>
      </w:r>
      <w:r w:rsidRPr="009B36DB" w:rsidR="003A2BFE">
        <w:rPr>
          <w:bCs/>
        </w:rPr>
        <w:t>in het najaar</w:t>
      </w:r>
      <w:r w:rsidRPr="009B36DB" w:rsidR="00E52555">
        <w:rPr>
          <w:bCs/>
        </w:rPr>
        <w:t xml:space="preserve"> een uitgebreidere brief, waarin concrete inzet en vervolgstappen worden opgenomen.</w:t>
      </w:r>
      <w:r w:rsidRPr="002B3DF8" w:rsidR="00E52555">
        <w:rPr>
          <w:bCs/>
        </w:rPr>
        <w:t xml:space="preserve"> </w:t>
      </w:r>
      <w:r w:rsidRPr="00582228" w:rsidR="002B3DF8">
        <w:rPr>
          <w:bCs/>
        </w:rPr>
        <w:t>De vervolgstappen zullen zijn ingepast binnen de beschikbare middelen op de relevante begrotingshoofdstukken. Eventuele vervolgstappen met budgettaire gevolgen zullen onderdeel zijn van reguliere financiële besluitvormingsmomenten. Hierbij zijn de begrotingsregels van toepassing.</w:t>
      </w:r>
      <w:r w:rsidR="002B3DF8">
        <w:rPr>
          <w:bCs/>
        </w:rPr>
        <w:t xml:space="preserve"> </w:t>
      </w:r>
      <w:r w:rsidR="003038A1">
        <w:rPr>
          <w:bCs/>
        </w:rPr>
        <w:t>Deze brief beschrijft op hoofdlijnen de huidige stand van zaken.</w:t>
      </w:r>
    </w:p>
    <w:p w:rsidR="00E52555" w:rsidP="006F59E9" w:rsidRDefault="00E52555" w14:paraId="6C4B60DB" w14:textId="77777777">
      <w:pPr>
        <w:autoSpaceDN/>
        <w:spacing w:line="240" w:lineRule="auto"/>
        <w:textAlignment w:val="auto"/>
        <w:rPr>
          <w:bCs/>
        </w:rPr>
      </w:pPr>
    </w:p>
    <w:p w:rsidRPr="00847E21" w:rsidR="003038A1" w:rsidP="006F59E9" w:rsidRDefault="003038A1" w14:paraId="75FABF62" w14:textId="4740E845">
      <w:pPr>
        <w:autoSpaceDN/>
        <w:spacing w:line="240" w:lineRule="auto"/>
        <w:textAlignment w:val="auto"/>
        <w:rPr>
          <w:b/>
          <w:u w:val="single"/>
        </w:rPr>
      </w:pPr>
      <w:r w:rsidRPr="00847E21">
        <w:rPr>
          <w:b/>
          <w:u w:val="single"/>
        </w:rPr>
        <w:t>Maatschappelijke beweging</w:t>
      </w:r>
    </w:p>
    <w:p w:rsidRPr="009B36DB" w:rsidR="003038A1" w:rsidP="006F59E9" w:rsidRDefault="003038A1" w14:paraId="3B3A1F39" w14:textId="77777777">
      <w:pPr>
        <w:autoSpaceDN/>
        <w:spacing w:line="240" w:lineRule="auto"/>
        <w:textAlignment w:val="auto"/>
        <w:rPr>
          <w:bCs/>
        </w:rPr>
      </w:pPr>
    </w:p>
    <w:p w:rsidRPr="009B36DB" w:rsidR="00FD1645" w:rsidP="006F59E9" w:rsidRDefault="003038A1" w14:paraId="0A9A9BB4" w14:textId="317A020C">
      <w:pPr>
        <w:spacing w:line="240" w:lineRule="auto"/>
      </w:pPr>
      <w:r>
        <w:t xml:space="preserve">Het kabinet constateert dat het afgelopen jaar breed in de maatschappij een aanzienlijke beweging op gang is gekomen. </w:t>
      </w:r>
      <w:r w:rsidRPr="009B36DB" w:rsidR="00FD1645">
        <w:t>Gemeenten en veiligheidsregio’s, maar ook bedrijven, verenigingen, maatschappelijke instellingen en vrijwilligersorganisaties zijn actief aan de slag gegaan met de vraag hoe Nederland beter kan worden voorbereid op crisis- en conflictscenario’s. Ook ontstaan er steeds meer burgerinitiatieven. Het</w:t>
      </w:r>
      <w:r w:rsidR="00471E27">
        <w:t xml:space="preserve"> </w:t>
      </w:r>
      <w:r w:rsidRPr="009B36DB" w:rsidR="00FD1645">
        <w:t xml:space="preserve">kabinet moedigt </w:t>
      </w:r>
      <w:r>
        <w:t>dit</w:t>
      </w:r>
      <w:r w:rsidRPr="009B36DB" w:rsidR="00FD1645">
        <w:t xml:space="preserve"> aan en ondersteunt en faciliteert waar mogelijk. Daarom informeren en activeren we sinds begin 2024 de hele samenleving door middel van brede publiekscommunicatie over dreiging</w:t>
      </w:r>
      <w:r>
        <w:t>en</w:t>
      </w:r>
      <w:r w:rsidRPr="009B36DB" w:rsidR="00FD1645">
        <w:t xml:space="preserve"> en hoe ieder zich goed kan voorbereiden. Waar in het voorjaar van 2024 nog maar 15% actie had ondernomen, bleek dit in de meting van december 2024 gestegen naar 26% en in april 2025 naar 29%. </w:t>
      </w:r>
    </w:p>
    <w:p w:rsidR="00FD1645" w:rsidP="00080A40" w:rsidRDefault="00FD1645" w14:paraId="2C747433" w14:textId="77777777">
      <w:pPr>
        <w:autoSpaceDN/>
        <w:spacing w:line="240" w:lineRule="auto"/>
        <w:textAlignment w:val="auto"/>
      </w:pPr>
    </w:p>
    <w:p w:rsidRPr="00255A41" w:rsidR="00255A41" w:rsidP="00255A41" w:rsidRDefault="00255A41" w14:paraId="2914C2A2" w14:textId="2B187154">
      <w:pPr>
        <w:autoSpaceDN/>
        <w:spacing w:line="240" w:lineRule="auto"/>
        <w:textAlignment w:val="auto"/>
      </w:pPr>
      <w:r w:rsidRPr="00255A41">
        <w:t xml:space="preserve">In het najaar van 2025 start een meerjarige publiekscampagne die als doel heeft dat steeds meer Nederlanders de dreiging (er)kennen </w:t>
      </w:r>
      <w:r w:rsidR="006F7EE0">
        <w:t>evenals</w:t>
      </w:r>
      <w:r w:rsidRPr="00255A41">
        <w:t xml:space="preserve"> de mogelijke impact hiervan op Nederland, men de noodzaak ziet van voorbereiding op langdurige uitval en daarom een noodpakket samenstelt, een noodplan maakt en deelneemt aan het gesprek over de dreiging en de voorbereiding. Een huis-aan-huis-publicatie van de Rijksoverheid die aansluit bij het weerbaarheidsgedrag van de Nederlandse samenleving, is hier onderdeel van. Gesteund door bestuurlijke en maatschappelijke partners. Ter voorbereiding van het bedrijfsleven, wordt met een bewustwordingscampagne ingezet op bekendheid van risico’s en te nemen basismaatregelen. In nauwe samenwerking met VNO-NCW en MKB-Nederland, activeert het ministerie van Economische Zaken publiek-privaat dialoog, tevens zal een centrale loketfunctie worden ingericht waar bedrijven terecht kunnen voor informatie. </w:t>
      </w:r>
    </w:p>
    <w:p w:rsidR="00255A41" w:rsidP="00080A40" w:rsidRDefault="00255A41" w14:paraId="0A0184F0" w14:textId="77777777">
      <w:pPr>
        <w:autoSpaceDN/>
        <w:spacing w:line="240" w:lineRule="auto"/>
        <w:textAlignment w:val="auto"/>
      </w:pPr>
    </w:p>
    <w:p w:rsidRPr="00847E21" w:rsidR="003038A1" w:rsidP="00080A40" w:rsidRDefault="003038A1" w14:paraId="00F7A6F0" w14:textId="558D7C2C">
      <w:pPr>
        <w:autoSpaceDN/>
        <w:spacing w:line="240" w:lineRule="auto"/>
        <w:textAlignment w:val="auto"/>
        <w:rPr>
          <w:b/>
          <w:bCs/>
          <w:u w:val="single"/>
        </w:rPr>
      </w:pPr>
      <w:r w:rsidRPr="00847E21">
        <w:rPr>
          <w:b/>
          <w:bCs/>
          <w:u w:val="single"/>
        </w:rPr>
        <w:t>Huidige ontwikkelingen</w:t>
      </w:r>
    </w:p>
    <w:p w:rsidRPr="009B36DB" w:rsidR="003038A1" w:rsidP="00080A40" w:rsidRDefault="003038A1" w14:paraId="4D28604D" w14:textId="77777777">
      <w:pPr>
        <w:autoSpaceDN/>
        <w:spacing w:line="240" w:lineRule="auto"/>
        <w:textAlignment w:val="auto"/>
      </w:pPr>
    </w:p>
    <w:p w:rsidRPr="009B36DB" w:rsidR="00FD1645" w:rsidP="00C45C13" w:rsidRDefault="0023755A" w14:paraId="269B94BE" w14:textId="393A5565">
      <w:pPr>
        <w:spacing w:line="240" w:lineRule="auto"/>
      </w:pPr>
      <w:r w:rsidRPr="009B36DB">
        <w:t xml:space="preserve">Het kabinet is </w:t>
      </w:r>
      <w:r w:rsidRPr="009B36DB" w:rsidR="00FD1645">
        <w:t xml:space="preserve">momenteel </w:t>
      </w:r>
      <w:r w:rsidRPr="009B36DB">
        <w:t xml:space="preserve">aan de slag met de uitwerking van de stapsgewijze aanpak. In de uitwerking van de opgaves wordt gekeken naar maatregelen die de impact van de dreiging op de continuïteit van de maatschappij snel verkleinen, wat een acuut veranderende dreigingscontext aan maatregelen </w:t>
      </w:r>
      <w:r w:rsidR="003038A1">
        <w:t>vraagt</w:t>
      </w:r>
      <w:r w:rsidRPr="009B36DB">
        <w:t xml:space="preserve">, waar de ondersteuningsbehoefte van Defensie het grootst is en wat de EU en NAVO vragen </w:t>
      </w:r>
      <w:r w:rsidR="003038A1">
        <w:t>(</w:t>
      </w:r>
      <w:r w:rsidRPr="009B36DB">
        <w:t>onder meer via de NAVO Weerbaarheidsdoelen</w:t>
      </w:r>
      <w:r w:rsidRPr="009B36DB" w:rsidR="00FD0ADE">
        <w:rPr>
          <w:rStyle w:val="Voetnootmarkering"/>
        </w:rPr>
        <w:footnoteReference w:id="2"/>
      </w:r>
      <w:r w:rsidRPr="009B36DB" w:rsidR="00FD0ADE">
        <w:t xml:space="preserve"> </w:t>
      </w:r>
      <w:r w:rsidRPr="009B36DB">
        <w:t>en de EU Paraatheidsuniestrategie</w:t>
      </w:r>
      <w:r w:rsidRPr="009B36DB" w:rsidR="00FD0ADE">
        <w:rPr>
          <w:iCs/>
          <w:vertAlign w:val="superscript"/>
        </w:rPr>
        <w:footnoteReference w:id="3"/>
      </w:r>
      <w:r w:rsidR="003038A1">
        <w:t>)</w:t>
      </w:r>
      <w:r w:rsidRPr="009B36DB">
        <w:t>.</w:t>
      </w:r>
      <w:r w:rsidRPr="009B36DB" w:rsidR="00EC0F7F">
        <w:t xml:space="preserve"> De voorgenomen stappen dragen niet alleen bij aan de voorbereiding op een hybride en militair conflictscenario, maar ook bij andere crises of rampen, zoals grootschalige overstromingen, een pandemie of langdurige uitval van vitale processen. </w:t>
      </w:r>
    </w:p>
    <w:p w:rsidRPr="009B36DB" w:rsidR="00FD1645" w:rsidP="00C45C13" w:rsidRDefault="00FD1645" w14:paraId="043CC627" w14:textId="77777777">
      <w:pPr>
        <w:spacing w:line="240" w:lineRule="auto"/>
      </w:pPr>
    </w:p>
    <w:p w:rsidRPr="009B36DB" w:rsidR="00E055D9" w:rsidP="00C45C13" w:rsidRDefault="00EC0F7F" w14:paraId="0D1B100D" w14:textId="40CAFD6E">
      <w:pPr>
        <w:spacing w:line="240" w:lineRule="auto"/>
        <w:rPr>
          <w:bCs/>
        </w:rPr>
      </w:pPr>
      <w:r w:rsidRPr="009B36DB">
        <w:t xml:space="preserve">Het kabinet onderkent dat een crisis- en conflictscenario een significante voorbereiding vraagt. </w:t>
      </w:r>
      <w:r w:rsidRPr="009B36DB">
        <w:rPr>
          <w:bCs/>
        </w:rPr>
        <w:t xml:space="preserve">Dit doen we samen met onze internationale partners. </w:t>
      </w:r>
      <w:r w:rsidRPr="009B36DB">
        <w:t>Op initiatief van Nederland zet een ministeriële coalitie van gelijkgestemde lidstaten zich daarom in om civiele weerbaarheid en militaire paraatheid te versterken. Daarin wordt samengewerkt met Denemarken, Zweden, Finland, Estland, Letland, Litouwen, België en Luxemburg. Ook met niet EU-landen als het Verenigd Koninkrijk en Noorwegen wordt de samenwerking op weerbaarheid verstevigd.</w:t>
      </w:r>
    </w:p>
    <w:p w:rsidRPr="009B36DB" w:rsidR="00C45C13" w:rsidP="00080A40" w:rsidRDefault="00C45C13" w14:paraId="6B4DA215" w14:textId="5C27CA2F">
      <w:pPr>
        <w:spacing w:line="240" w:lineRule="auto"/>
      </w:pPr>
    </w:p>
    <w:p w:rsidRPr="009B36DB" w:rsidR="00255A41" w:rsidP="006C74F3" w:rsidRDefault="000D5AF8" w14:paraId="08095235" w14:textId="64A9D6E7">
      <w:pPr>
        <w:spacing w:line="240" w:lineRule="auto"/>
      </w:pPr>
      <w:r w:rsidRPr="009B36DB">
        <w:t xml:space="preserve">Naast deze internationale samenwerking </w:t>
      </w:r>
      <w:r w:rsidRPr="009B36DB" w:rsidR="00654E03">
        <w:t>neemt het</w:t>
      </w:r>
      <w:r w:rsidRPr="009B36DB">
        <w:t xml:space="preserve"> kabinet</w:t>
      </w:r>
      <w:r w:rsidRPr="009B36DB" w:rsidR="00326E91">
        <w:t xml:space="preserve"> </w:t>
      </w:r>
      <w:r w:rsidRPr="009B36DB">
        <w:t>stappen om met prioriteit te werken aan de robuustheid, redundantie en het herstelvermogen van de vitale processen in de domeinen energie (elektriciteit, gas en olie), logistiek en transport (havens</w:t>
      </w:r>
      <w:r w:rsidR="002B3DF8">
        <w:t>, luchtvaart</w:t>
      </w:r>
      <w:r w:rsidR="00785AE0">
        <w:t>sector</w:t>
      </w:r>
      <w:r w:rsidR="002B3DF8">
        <w:t xml:space="preserve"> </w:t>
      </w:r>
      <w:r w:rsidRPr="009B36DB">
        <w:t>en vervoer over spoor en weg), telecommunicatie (inclusief plaats- en tijdbepaling, noodcommunicatie en internettoegang), voedsel- en drinkwatervoorziening</w:t>
      </w:r>
      <w:r w:rsidR="00712C03">
        <w:t>, kennisinstellingen</w:t>
      </w:r>
      <w:r w:rsidRPr="009B36DB" w:rsidR="001402B9">
        <w:t xml:space="preserve"> </w:t>
      </w:r>
      <w:r w:rsidRPr="009B36DB" w:rsidR="003B2094">
        <w:t>en gezondheidszorg</w:t>
      </w:r>
      <w:r w:rsidRPr="009B36DB">
        <w:t>. Dit zijn eveneens de domeinen waarvoor Defensie met voorrang werkt aan een concrete behoeftestelling ten aanzien van civiele ondersteuning. Vanwege de cruciale rol van medeoverheden is het daarbij van belang dat deze blijven functioneren gedurende een crisis- of conflictsituatie</w:t>
      </w:r>
      <w:r w:rsidRPr="009B36DB" w:rsidR="00FD1645">
        <w:t>.</w:t>
      </w:r>
      <w:r w:rsidRPr="009B36DB" w:rsidR="00DC3894">
        <w:t xml:space="preserve"> Er zijn verschillende voorbeelden te noemen hoe departementen samen met de sectoren werken aan maatregelen. Zo zet het ministerie van Economische Zaken zich in om de samenwerking met sleutelpartijen in de telecommunicatiesector te versterken en meer gezamenlijk te oefenen. Het ministerie van Klimaat en Groene Groei herziet, onder andere in het licht van de groeiende geopolitieke dreiging, de crisisplannen Elektriciteit (LCP-E) en Gas (LCP-G). </w:t>
      </w:r>
      <w:r w:rsidRPr="009B36DB" w:rsidR="003D4D2D">
        <w:t>H</w:t>
      </w:r>
      <w:r w:rsidRPr="009B36DB" w:rsidR="00DC3894">
        <w:t>et ministerie van Justitie en Veiligheid onderzoekt hoe de huidige noodcommunicatie toekomstbestendig ingericht kan worden. H</w:t>
      </w:r>
      <w:bookmarkStart w:name="_Hlk202186064" w:id="1"/>
      <w:r w:rsidRPr="009B36DB" w:rsidR="00DC3894">
        <w:t>et ministerie van Landbouw, Visserij, Voedselzekerheid en Natuur voert actieve gesprekken met sectorpartijen en wil deze structureel vormgeven in een nieuw publiek-privaat gremium. Daarnaast komt er een Landelijk Crisis Plan Voedselzekerheid</w:t>
      </w:r>
      <w:r w:rsidR="003038A1">
        <w:t>.</w:t>
      </w:r>
      <w:r w:rsidRPr="009B36DB" w:rsidR="00DC3894">
        <w:t xml:space="preserve"> </w:t>
      </w:r>
      <w:bookmarkEnd w:id="1"/>
      <w:r w:rsidRPr="009B36DB" w:rsidR="00DC3894">
        <w:t>Inzake plaats- en tijdsbepaling wordt de meest kritieke infrastructuur daarvoor momenteel geïnventariseerd.</w:t>
      </w:r>
      <w:r w:rsidRPr="009B36DB" w:rsidR="003A2BFE">
        <w:t xml:space="preserve"> </w:t>
      </w:r>
    </w:p>
    <w:p w:rsidRPr="009B36DB" w:rsidR="00FD0ADE" w:rsidP="00FD0ADE" w:rsidRDefault="00FD0ADE" w14:paraId="60379683" w14:textId="77777777">
      <w:pPr>
        <w:autoSpaceDN/>
        <w:spacing w:line="240" w:lineRule="auto"/>
        <w:textAlignment w:val="auto"/>
      </w:pPr>
    </w:p>
    <w:p w:rsidRPr="009B36DB" w:rsidR="00FD0ADE" w:rsidP="00FD0ADE" w:rsidRDefault="00FD0ADE" w14:paraId="4F9606C4" w14:textId="5080AC9A">
      <w:pPr>
        <w:autoSpaceDN/>
        <w:spacing w:line="240" w:lineRule="auto"/>
        <w:textAlignment w:val="auto"/>
        <w:rPr>
          <w:rFonts w:eastAsia="Times New Roman"/>
        </w:rPr>
      </w:pPr>
      <w:r w:rsidRPr="009B36DB">
        <w:rPr>
          <w:bCs/>
        </w:rPr>
        <w:t>Voor de versterking van de weerbaarheid komt op basis van de Voorjaarsnota 2025 vanaf 2027 structureel €70 miljoen beschikbaar op de begroting van het ministerie van Justitie en Veiligheid voor de versterking van de regionale en lokale weerbaarheid. Circa € 5 mln. is bestemd is voor de publiekscampagne en circa € 65 mln. voor de verdere versterking van de regionale en lokale weerbaarheid. Daarnaast heeft de minister van Justitie en Veiligheid binnen zijn begroting ruimte gevonden van € 10 mln. voor 2025 en € 20 mln. voor 2026 om al eerder een start te maken met deze versterking. Het inrichten van noodsteunpunten is daarbij belangrijk</w:t>
      </w:r>
      <w:r w:rsidRPr="009B36DB" w:rsidR="00FD1645">
        <w:rPr>
          <w:bCs/>
        </w:rPr>
        <w:t xml:space="preserve">. </w:t>
      </w:r>
    </w:p>
    <w:p w:rsidRPr="009B36DB" w:rsidR="002745F4" w:rsidP="006C74F3" w:rsidRDefault="002745F4" w14:paraId="5FB7A903" w14:textId="7E2537E9">
      <w:pPr>
        <w:spacing w:line="240" w:lineRule="auto"/>
      </w:pPr>
    </w:p>
    <w:p w:rsidRPr="009B36DB" w:rsidR="007B722A" w:rsidP="00847E21" w:rsidRDefault="008D3265" w14:paraId="39D2F75B" w14:textId="74F19DCA">
      <w:pPr>
        <w:spacing w:line="240" w:lineRule="auto"/>
      </w:pPr>
      <w:r w:rsidRPr="009B36DB">
        <w:rPr>
          <w:bCs/>
        </w:rPr>
        <w:t>Om als overheid beter in staat te zijn om de gevolgen van een crisis- en conflictsituatie te beheersen, wordt de civiel-militaire crisiscoördinatie, besluitvorming en aansturing verbeterd</w:t>
      </w:r>
      <w:r w:rsidR="003038A1">
        <w:rPr>
          <w:bCs/>
        </w:rPr>
        <w:t>.</w:t>
      </w:r>
      <w:r w:rsidRPr="009B36DB">
        <w:rPr>
          <w:bCs/>
        </w:rPr>
        <w:t xml:space="preserve"> </w:t>
      </w:r>
      <w:r w:rsidR="003038A1">
        <w:rPr>
          <w:bCs/>
        </w:rPr>
        <w:t>D</w:t>
      </w:r>
      <w:r w:rsidRPr="009B36DB">
        <w:rPr>
          <w:bCs/>
        </w:rPr>
        <w:t xml:space="preserve">e toepasbaarheid en eventuele lacunes van het staatsnoodrecht en andere wettelijke grondslagen in het licht van een crisis of conflict </w:t>
      </w:r>
      <w:r w:rsidR="003038A1">
        <w:rPr>
          <w:bCs/>
        </w:rPr>
        <w:t xml:space="preserve">worden </w:t>
      </w:r>
      <w:r w:rsidRPr="009B36DB">
        <w:rPr>
          <w:bCs/>
        </w:rPr>
        <w:t>onderzocht</w:t>
      </w:r>
      <w:r w:rsidR="003038A1">
        <w:rPr>
          <w:bCs/>
        </w:rPr>
        <w:t>.</w:t>
      </w:r>
      <w:r w:rsidRPr="009B36DB">
        <w:rPr>
          <w:bCs/>
        </w:rPr>
        <w:t xml:space="preserve"> </w:t>
      </w:r>
      <w:r w:rsidR="003038A1">
        <w:rPr>
          <w:bCs/>
        </w:rPr>
        <w:t>We breiden</w:t>
      </w:r>
      <w:r w:rsidRPr="009B36DB" w:rsidR="003038A1">
        <w:rPr>
          <w:bCs/>
        </w:rPr>
        <w:t xml:space="preserve"> </w:t>
      </w:r>
      <w:r w:rsidRPr="009B36DB">
        <w:rPr>
          <w:bCs/>
        </w:rPr>
        <w:t>de mogelijkheden</w:t>
      </w:r>
      <w:r w:rsidR="003038A1">
        <w:rPr>
          <w:bCs/>
        </w:rPr>
        <w:t xml:space="preserve"> uit</w:t>
      </w:r>
      <w:r w:rsidRPr="009B36DB">
        <w:rPr>
          <w:bCs/>
        </w:rPr>
        <w:t xml:space="preserve"> tot het delen van gerubriceerde informatie in de crisisstructuur op nationaal niveau</w:t>
      </w:r>
      <w:r w:rsidR="003038A1">
        <w:rPr>
          <w:bCs/>
        </w:rPr>
        <w:t>.</w:t>
      </w:r>
      <w:r w:rsidRPr="009B36DB">
        <w:rPr>
          <w:bCs/>
        </w:rPr>
        <w:t xml:space="preserve"> </w:t>
      </w:r>
      <w:r w:rsidR="003038A1">
        <w:rPr>
          <w:bCs/>
        </w:rPr>
        <w:t xml:space="preserve">Ook </w:t>
      </w:r>
      <w:r w:rsidRPr="009B36DB">
        <w:rPr>
          <w:bCs/>
        </w:rPr>
        <w:t>wordt onderzocht hoe er beter sturing kan worden gegeven aan situaties waarin schaarste van bijvoorbeeld personeel, goederen of capaciteiten zich voordoet</w:t>
      </w:r>
      <w:r w:rsidRPr="009B36DB" w:rsidR="001402B9">
        <w:rPr>
          <w:bCs/>
        </w:rPr>
        <w:t xml:space="preserve">. In navolging van het Hooflijnenakkoord en in lijn met </w:t>
      </w:r>
      <w:r w:rsidRPr="009B36DB" w:rsidR="001402B9">
        <w:t>motie van lid Idsinga</w:t>
      </w:r>
      <w:r w:rsidRPr="009B36DB" w:rsidR="001402B9">
        <w:rPr>
          <w:rStyle w:val="Voetnootmarkering"/>
        </w:rPr>
        <w:footnoteReference w:id="4"/>
      </w:r>
      <w:r w:rsidRPr="009B36DB" w:rsidR="001402B9">
        <w:t xml:space="preserve">, wordt </w:t>
      </w:r>
      <w:r w:rsidRPr="009B36DB" w:rsidR="001402B9">
        <w:rPr>
          <w:bCs/>
        </w:rPr>
        <w:t xml:space="preserve">onderzoek gedaan naar de rol die strategische voorraden mogelijk kunnen spelen. </w:t>
      </w:r>
      <w:r w:rsidRPr="009B36DB" w:rsidR="001402B9">
        <w:t xml:space="preserve">Ook </w:t>
      </w:r>
      <w:r w:rsidRPr="009B36DB" w:rsidR="002745F4">
        <w:t xml:space="preserve">wordt </w:t>
      </w:r>
      <w:r w:rsidRPr="009B36DB" w:rsidR="00DB486E">
        <w:t xml:space="preserve">momenteel </w:t>
      </w:r>
      <w:r w:rsidRPr="009B36DB" w:rsidR="002745F4">
        <w:t>het Landelijk Crisisplan Militaire Dreigingen (LCP-MD)</w:t>
      </w:r>
      <w:r w:rsidRPr="009B36DB">
        <w:t xml:space="preserve"> gefinaliseerd</w:t>
      </w:r>
      <w:r w:rsidRPr="009B36DB" w:rsidR="00FD1645">
        <w:t xml:space="preserve"> met als doel</w:t>
      </w:r>
      <w:r w:rsidRPr="009B36DB" w:rsidR="002745F4">
        <w:t xml:space="preserve"> het realiseren van een efficiënte en effectieve crisisbeheersing in aanloop naar en tijdens een militair conflict.</w:t>
      </w:r>
      <w:r w:rsidRPr="009B36DB" w:rsidR="001402B9">
        <w:t xml:space="preserve"> </w:t>
      </w:r>
      <w:r w:rsidR="00925B30">
        <w:t>Daarnaast</w:t>
      </w:r>
      <w:r w:rsidRPr="00255A41" w:rsidR="00255A41">
        <w:t xml:space="preserve"> wordt een verkenning uitgevoerd naar hetgeen nodig is voor het inrichten van een robuuste en redundante civiel-militaire waarschuwingsketen (van detectie tot alerteren) bij (hybride) militaire dreiging. Doel hiervan is onder meer om de mogelijkheden in beeld te brengen om alle inwoners bij militaire dreiging te waarschuwen op meer dan één manier. </w:t>
      </w:r>
      <w:r w:rsidRPr="009B36DB" w:rsidR="00FD0ADE">
        <w:t xml:space="preserve">Beïnvloeding van informatie </w:t>
      </w:r>
      <w:r w:rsidRPr="009B36DB" w:rsidR="00FD1645">
        <w:t xml:space="preserve">door statelijke actoren </w:t>
      </w:r>
      <w:r w:rsidRPr="009B36DB" w:rsidR="00FD0ADE">
        <w:t>speelt een steeds belangrijkere rol in de pogingen van statelijke actoren om de democratie, rechtstaat en samenleving te ondermijnen en verzwakken</w:t>
      </w:r>
      <w:r w:rsidRPr="009B36DB" w:rsidR="00FD1645">
        <w:t xml:space="preserve">. </w:t>
      </w:r>
      <w:r w:rsidRPr="009B36DB" w:rsidR="00FD0ADE">
        <w:t>Zoals toegezegd aan uw Kamer, start nog dit jaar een onderzoek naar de cognitieve dimensie van hybride dreigingen.</w:t>
      </w:r>
      <w:r w:rsidRPr="009B36DB" w:rsidR="00FD0ADE">
        <w:rPr>
          <w:vertAlign w:val="superscript"/>
        </w:rPr>
        <w:footnoteReference w:id="5"/>
      </w:r>
      <w:r w:rsidRPr="009B36DB" w:rsidR="007B722A">
        <w:t xml:space="preserve"> </w:t>
      </w:r>
    </w:p>
    <w:p w:rsidRPr="009B36DB" w:rsidR="008173AA" w:rsidP="006C74F3" w:rsidRDefault="008173AA" w14:paraId="111DDE36" w14:textId="625A2933">
      <w:pPr>
        <w:spacing w:line="240" w:lineRule="auto"/>
      </w:pPr>
    </w:p>
    <w:p w:rsidR="00925B30" w:rsidP="00376FD4" w:rsidRDefault="00AF197E" w14:paraId="2D0D6C30" w14:textId="391EA00A">
      <w:pPr>
        <w:spacing w:line="240" w:lineRule="auto"/>
      </w:pPr>
      <w:r w:rsidRPr="009B36DB">
        <w:t>Dit</w:t>
      </w:r>
      <w:r w:rsidRPr="009B36DB" w:rsidR="00E73E38">
        <w:t xml:space="preserve"> </w:t>
      </w:r>
      <w:r w:rsidRPr="009B36DB">
        <w:t>kabinet investeert fors in Defensie en het vergroten van de militaire paraatheid.</w:t>
      </w:r>
      <w:r w:rsidRPr="009B36DB" w:rsidR="00130EA4">
        <w:t xml:space="preserve"> </w:t>
      </w:r>
      <w:r w:rsidRPr="009B36DB">
        <w:t>Defensie bouwt aan een inzetbare en schaalbare krijgsmacht die is voorbereid op uiteenlopende dreigingen, kan afschrikken en zo nodig kan vechten en winnen.</w:t>
      </w:r>
      <w:r w:rsidRPr="009B36DB" w:rsidR="006F1536">
        <w:t xml:space="preserve"> Concreet betekent dit dat we meer materieel aanschaffen</w:t>
      </w:r>
      <w:r w:rsidRPr="009B36DB" w:rsidR="00A87D4F">
        <w:t xml:space="preserve"> en</w:t>
      </w:r>
      <w:r w:rsidRPr="009B36DB" w:rsidR="006F1536">
        <w:t xml:space="preserve"> meer personeel aannemen om onze capaciteiten te vergroten, inzetten op digitalisering</w:t>
      </w:r>
      <w:r w:rsidR="00925B30">
        <w:t>,</w:t>
      </w:r>
      <w:r w:rsidRPr="009B36DB" w:rsidR="006F1536">
        <w:t xml:space="preserve"> en </w:t>
      </w:r>
      <w:r w:rsidR="00925B30">
        <w:t xml:space="preserve">gebruikmaken van meer </w:t>
      </w:r>
      <w:r w:rsidRPr="009B36DB" w:rsidR="006F1536">
        <w:t>fysieke ruimte om te kunnen trainen en oefenen. Dat is vastgelegd in de Defensienota en diverse uitwerkingen d</w:t>
      </w:r>
      <w:r w:rsidRPr="009B36DB" w:rsidR="007B2D29">
        <w:t xml:space="preserve">aarvan. </w:t>
      </w:r>
      <w:r w:rsidRPr="009B36DB" w:rsidR="006F1536">
        <w:t xml:space="preserve">Ook zijn passende wet- en regelgeving, verduidelijking van bestuurlijke en operationele verantwoordelijkheden en versterkte publiek-private samenwerking nodig. Hiervoor worden verschillende initiatieven opgezet, onder andere via het Nationaal Programma Ruimte voor Defensie (NPRD) en de Wet op de Defensie Gereedheid (WODG). </w:t>
      </w:r>
    </w:p>
    <w:p w:rsidR="00925B30" w:rsidP="00376FD4" w:rsidRDefault="00925B30" w14:paraId="687ACAD0" w14:textId="77777777">
      <w:pPr>
        <w:spacing w:line="240" w:lineRule="auto"/>
      </w:pPr>
    </w:p>
    <w:p w:rsidR="00376FD4" w:rsidP="00376FD4" w:rsidRDefault="006F1536" w14:paraId="390AC692" w14:textId="2C2D5693">
      <w:pPr>
        <w:spacing w:line="240" w:lineRule="auto"/>
        <w:rPr>
          <w:bCs/>
        </w:rPr>
      </w:pPr>
      <w:r w:rsidRPr="009B36DB">
        <w:t>Daarnaast versnellen en faciliteren we investeringen in de defensie-industrie door middel van de recent gepubliceerde industrie</w:t>
      </w:r>
      <w:r w:rsidRPr="009B36DB" w:rsidR="00A87D4F">
        <w:t>- en innovatie</w:t>
      </w:r>
      <w:r w:rsidRPr="009B36DB">
        <w:t xml:space="preserve">agenda met bijbehorende wetgevingsvoorstellen. </w:t>
      </w:r>
      <w:r w:rsidR="00925B30">
        <w:t xml:space="preserve">Verder brengen we in kaar welke civiele ondersteuning </w:t>
      </w:r>
      <w:r w:rsidRPr="009B36DB" w:rsidR="00106F25">
        <w:t xml:space="preserve">de krijgsmacht nodig heeft en hoe die kan worden geborgd. Op het gebied van militaire mobiliteit wordt bijvoorbeeld in samenwerking met ProRail en Rijkswaterstaat heel precies </w:t>
      </w:r>
      <w:r w:rsidR="00925B30">
        <w:t>vastgesteld</w:t>
      </w:r>
      <w:r w:rsidRPr="009B36DB" w:rsidR="00106F25">
        <w:t xml:space="preserve"> wat Defensie nodig heeft in voorbereiding op en in tijden van een conflict. De groei van Defensie en samenwerking met </w:t>
      </w:r>
      <w:r w:rsidRPr="009B36DB" w:rsidR="00FD1645">
        <w:t>m</w:t>
      </w:r>
      <w:r w:rsidRPr="009B36DB" w:rsidR="00106F25">
        <w:t>aatschappelijke partners</w:t>
      </w:r>
      <w:r w:rsidRPr="009B36DB">
        <w:t xml:space="preserve"> maakt dat de krijgsmacht beter is voorbereid op een militair conflict.</w:t>
      </w:r>
      <w:r w:rsidRPr="009B36DB" w:rsidR="00376FD4">
        <w:rPr>
          <w:bCs/>
        </w:rPr>
        <w:t xml:space="preserve"> </w:t>
      </w:r>
    </w:p>
    <w:p w:rsidR="00925B30" w:rsidP="00376FD4" w:rsidRDefault="00925B30" w14:paraId="137525F6" w14:textId="77777777">
      <w:pPr>
        <w:spacing w:line="240" w:lineRule="auto"/>
        <w:rPr>
          <w:bCs/>
        </w:rPr>
      </w:pPr>
    </w:p>
    <w:p w:rsidRPr="00847E21" w:rsidR="00925B30" w:rsidP="00376FD4" w:rsidRDefault="00925B30" w14:paraId="66354413" w14:textId="4695224D">
      <w:pPr>
        <w:spacing w:line="240" w:lineRule="auto"/>
        <w:rPr>
          <w:b/>
          <w:u w:val="single"/>
        </w:rPr>
      </w:pPr>
      <w:r w:rsidRPr="00847E21">
        <w:rPr>
          <w:b/>
          <w:u w:val="single"/>
        </w:rPr>
        <w:t>Vooruitblik</w:t>
      </w:r>
    </w:p>
    <w:p w:rsidRPr="009B36DB" w:rsidR="00AF197E" w:rsidP="00AF197E" w:rsidRDefault="00AF197E" w14:paraId="7A9D23A8" w14:textId="3D51A8BB">
      <w:pPr>
        <w:spacing w:line="240" w:lineRule="auto"/>
      </w:pPr>
    </w:p>
    <w:p w:rsidR="00D21CD9" w:rsidP="00164D86" w:rsidRDefault="00E52555" w14:paraId="5A24D356" w14:textId="6C21AD75">
      <w:pPr>
        <w:pStyle w:val="Geenafstand"/>
        <w:rPr>
          <w:rFonts w:ascii="Verdana" w:hAnsi="Verdana"/>
          <w:sz w:val="18"/>
          <w:szCs w:val="18"/>
        </w:rPr>
      </w:pPr>
      <w:r w:rsidRPr="00021914">
        <w:rPr>
          <w:rFonts w:ascii="Verdana" w:hAnsi="Verdana"/>
          <w:bCs/>
          <w:sz w:val="18"/>
          <w:szCs w:val="18"/>
        </w:rPr>
        <w:t>Het kabinet is hard aan de slag met de uitwerking van de weerbaarheid</w:t>
      </w:r>
      <w:r w:rsidRPr="00021914" w:rsidR="00D46BCF">
        <w:rPr>
          <w:rFonts w:ascii="Verdana" w:hAnsi="Verdana"/>
          <w:bCs/>
          <w:sz w:val="18"/>
          <w:szCs w:val="18"/>
        </w:rPr>
        <w:t>s</w:t>
      </w:r>
      <w:r w:rsidRPr="00021914">
        <w:rPr>
          <w:rFonts w:ascii="Verdana" w:hAnsi="Verdana"/>
          <w:bCs/>
          <w:sz w:val="18"/>
          <w:szCs w:val="18"/>
        </w:rPr>
        <w:t xml:space="preserve">opgave. </w:t>
      </w:r>
      <w:r w:rsidRPr="00021914" w:rsidR="007E5933">
        <w:rPr>
          <w:rFonts w:ascii="Verdana" w:hAnsi="Verdana"/>
          <w:sz w:val="18"/>
          <w:szCs w:val="18"/>
        </w:rPr>
        <w:t xml:space="preserve">Hierbij </w:t>
      </w:r>
      <w:r w:rsidRPr="00021914" w:rsidR="003B2094">
        <w:rPr>
          <w:rFonts w:ascii="Verdana" w:hAnsi="Verdana"/>
          <w:sz w:val="18"/>
          <w:szCs w:val="18"/>
        </w:rPr>
        <w:t xml:space="preserve">onderzoekt het kabinet </w:t>
      </w:r>
      <w:r w:rsidRPr="00021914">
        <w:rPr>
          <w:rFonts w:ascii="Verdana" w:hAnsi="Verdana"/>
          <w:sz w:val="18"/>
          <w:szCs w:val="18"/>
        </w:rPr>
        <w:t xml:space="preserve">ook </w:t>
      </w:r>
      <w:r w:rsidRPr="00021914" w:rsidR="003B2094">
        <w:rPr>
          <w:rFonts w:ascii="Verdana" w:hAnsi="Verdana"/>
          <w:sz w:val="18"/>
          <w:szCs w:val="18"/>
        </w:rPr>
        <w:t xml:space="preserve">de nationale doorvertaling en </w:t>
      </w:r>
      <w:r w:rsidRPr="00021914" w:rsidR="00D46BCF">
        <w:rPr>
          <w:rFonts w:ascii="Verdana" w:hAnsi="Verdana"/>
          <w:sz w:val="18"/>
          <w:szCs w:val="18"/>
        </w:rPr>
        <w:t>financiële</w:t>
      </w:r>
      <w:r w:rsidRPr="00021914" w:rsidR="003B2094">
        <w:rPr>
          <w:rFonts w:ascii="Verdana" w:hAnsi="Verdana"/>
          <w:sz w:val="18"/>
          <w:szCs w:val="18"/>
        </w:rPr>
        <w:t xml:space="preserve"> implicaties van </w:t>
      </w:r>
      <w:r w:rsidRPr="00021914" w:rsidR="007E5933">
        <w:rPr>
          <w:rFonts w:ascii="Verdana" w:hAnsi="Verdana"/>
          <w:sz w:val="18"/>
          <w:szCs w:val="18"/>
        </w:rPr>
        <w:t xml:space="preserve">de nieuwe </w:t>
      </w:r>
      <w:r w:rsidRPr="00021914" w:rsidR="007E5933">
        <w:rPr>
          <w:rFonts w:ascii="Verdana" w:hAnsi="Verdana"/>
          <w:i/>
          <w:sz w:val="18"/>
          <w:szCs w:val="18"/>
        </w:rPr>
        <w:t>NATO</w:t>
      </w:r>
      <w:r w:rsidRPr="00021914" w:rsidR="007E5933">
        <w:rPr>
          <w:rFonts w:ascii="Verdana" w:hAnsi="Verdana"/>
          <w:sz w:val="18"/>
          <w:szCs w:val="18"/>
        </w:rPr>
        <w:t xml:space="preserve"> </w:t>
      </w:r>
      <w:proofErr w:type="spellStart"/>
      <w:r w:rsidRPr="00021914" w:rsidR="007E5933">
        <w:rPr>
          <w:rFonts w:ascii="Verdana" w:hAnsi="Verdana"/>
          <w:i/>
          <w:iCs/>
          <w:sz w:val="18"/>
          <w:szCs w:val="18"/>
        </w:rPr>
        <w:t>Defence</w:t>
      </w:r>
      <w:proofErr w:type="spellEnd"/>
      <w:r w:rsidRPr="00021914" w:rsidR="007E5933">
        <w:rPr>
          <w:rFonts w:ascii="Verdana" w:hAnsi="Verdana"/>
          <w:i/>
          <w:iCs/>
          <w:sz w:val="18"/>
          <w:szCs w:val="18"/>
        </w:rPr>
        <w:t xml:space="preserve"> Investment </w:t>
      </w:r>
      <w:proofErr w:type="spellStart"/>
      <w:r w:rsidRPr="00021914" w:rsidR="007E5933">
        <w:rPr>
          <w:rFonts w:ascii="Verdana" w:hAnsi="Verdana"/>
          <w:i/>
          <w:iCs/>
          <w:sz w:val="18"/>
          <w:szCs w:val="18"/>
        </w:rPr>
        <w:t>Pledge</w:t>
      </w:r>
      <w:proofErr w:type="spellEnd"/>
      <w:r w:rsidRPr="00021914" w:rsidR="007E5933">
        <w:rPr>
          <w:rFonts w:ascii="Verdana" w:hAnsi="Verdana"/>
          <w:sz w:val="18"/>
          <w:szCs w:val="18"/>
        </w:rPr>
        <w:t>.</w:t>
      </w:r>
      <w:r w:rsidRPr="00021914" w:rsidR="00A1336E">
        <w:rPr>
          <w:rFonts w:ascii="Verdana" w:hAnsi="Verdana"/>
          <w:sz w:val="18"/>
          <w:szCs w:val="18"/>
        </w:rPr>
        <w:t xml:space="preserve"> </w:t>
      </w:r>
      <w:r w:rsidRPr="00021914" w:rsidR="00321540">
        <w:rPr>
          <w:rFonts w:ascii="Verdana" w:hAnsi="Verdana"/>
          <w:sz w:val="18"/>
          <w:szCs w:val="18"/>
        </w:rPr>
        <w:t>Tijdens de NAVO Top van 24-25 juni jl. is</w:t>
      </w:r>
      <w:r w:rsidRPr="00021914" w:rsidR="00A1336E">
        <w:rPr>
          <w:rFonts w:ascii="Verdana" w:hAnsi="Verdana"/>
          <w:sz w:val="18"/>
          <w:szCs w:val="18"/>
        </w:rPr>
        <w:t xml:space="preserve"> afgesproken om 1,5% van het BBP aan te wenden voor uitgaven aan de weerbaarheid van de maatschappij, waaronder de bescherming van kritieke infrastructuur, civiele paraatheid en cyberverdediging en het versterken van de defensie-industrie en innovatie.</w:t>
      </w:r>
      <w:r w:rsidRPr="00021914" w:rsidR="00DC3894">
        <w:rPr>
          <w:rFonts w:ascii="Verdana" w:hAnsi="Verdana"/>
          <w:sz w:val="18"/>
          <w:szCs w:val="18"/>
        </w:rPr>
        <w:t xml:space="preserve"> </w:t>
      </w:r>
    </w:p>
    <w:p w:rsidR="00021914" w:rsidP="00164D86" w:rsidRDefault="00021914" w14:paraId="2B9FBF2F" w14:textId="77777777">
      <w:pPr>
        <w:pStyle w:val="Geenafstand"/>
        <w:rPr>
          <w:rFonts w:ascii="Verdana" w:hAnsi="Verdana"/>
          <w:sz w:val="18"/>
          <w:szCs w:val="18"/>
        </w:rPr>
      </w:pPr>
    </w:p>
    <w:p w:rsidRPr="009B36DB" w:rsidR="007E5933" w:rsidP="00164D86" w:rsidRDefault="00DC3894" w14:paraId="72DFBA1B" w14:textId="0E81FBA6">
      <w:pPr>
        <w:pStyle w:val="Geenafstand"/>
        <w:rPr>
          <w:rFonts w:ascii="Verdana" w:hAnsi="Verdana"/>
          <w:sz w:val="18"/>
          <w:szCs w:val="18"/>
        </w:rPr>
      </w:pPr>
      <w:r w:rsidRPr="009B36DB">
        <w:rPr>
          <w:rFonts w:ascii="Verdana" w:hAnsi="Verdana"/>
          <w:sz w:val="18"/>
          <w:szCs w:val="18"/>
        </w:rPr>
        <w:t>Daarnaast is een belangrijk onderdeel van de brede weerbaarheidsopgave het waarborgen en stimuleren van de stabiliteit, continuïteit en het herstelvermogen van de samenleving.</w:t>
      </w:r>
      <w:r w:rsidRPr="009B36DB">
        <w:rPr>
          <w:rFonts w:ascii="Verdana" w:hAnsi="Verdana" w:eastAsia="DejaVu Sans" w:cs="Lohit Hindi"/>
          <w:color w:val="000000"/>
          <w:kern w:val="0"/>
          <w:sz w:val="18"/>
          <w:szCs w:val="18"/>
          <w:lang w:eastAsia="nl-NL"/>
          <w14:ligatures w14:val="none"/>
        </w:rPr>
        <w:t xml:space="preserve"> </w:t>
      </w:r>
      <w:r w:rsidRPr="009B36DB">
        <w:rPr>
          <w:rFonts w:ascii="Verdana" w:hAnsi="Verdana"/>
          <w:sz w:val="18"/>
          <w:szCs w:val="18"/>
        </w:rPr>
        <w:t xml:space="preserve">Daarom worden mensen uit alle geledingen van de samenleving, inclusief jongeren en kwetsbare groepen, betrokken bij het vervolg van de brede weerbaarheidsstrategie. Dit helpt ook bij een goede balans tussen het veiligheidsbelang enerzijds en andere grondrechten en belangen die noodzakelijk zijn voor </w:t>
      </w:r>
      <w:r w:rsidR="00925B30">
        <w:rPr>
          <w:rFonts w:ascii="Verdana" w:hAnsi="Verdana"/>
          <w:sz w:val="18"/>
          <w:szCs w:val="18"/>
        </w:rPr>
        <w:t>democratie</w:t>
      </w:r>
      <w:r w:rsidRPr="009B36DB">
        <w:rPr>
          <w:rFonts w:ascii="Verdana" w:hAnsi="Verdana"/>
          <w:sz w:val="18"/>
          <w:szCs w:val="18"/>
        </w:rPr>
        <w:t xml:space="preserve"> en continuïteit van de samenleving anderzijds. Het</w:t>
      </w:r>
      <w:r w:rsidR="00DB6ECF">
        <w:rPr>
          <w:rFonts w:ascii="Verdana" w:hAnsi="Verdana"/>
          <w:sz w:val="18"/>
          <w:szCs w:val="18"/>
        </w:rPr>
        <w:t xml:space="preserve"> </w:t>
      </w:r>
      <w:r w:rsidRPr="009B36DB" w:rsidR="007E5933">
        <w:rPr>
          <w:rFonts w:ascii="Verdana" w:hAnsi="Verdana"/>
          <w:sz w:val="18"/>
          <w:szCs w:val="18"/>
        </w:rPr>
        <w:t>intensieve werk met departementen en maatschappelijke partners</w:t>
      </w:r>
      <w:r w:rsidRPr="009B36DB">
        <w:rPr>
          <w:rFonts w:ascii="Verdana" w:hAnsi="Verdana"/>
          <w:sz w:val="18"/>
          <w:szCs w:val="18"/>
        </w:rPr>
        <w:t xml:space="preserve"> gaat </w:t>
      </w:r>
      <w:r w:rsidRPr="009B36DB" w:rsidR="007E5933">
        <w:rPr>
          <w:rFonts w:ascii="Verdana" w:hAnsi="Verdana"/>
          <w:sz w:val="18"/>
          <w:szCs w:val="18"/>
        </w:rPr>
        <w:t xml:space="preserve">door om volgende stappen naar een </w:t>
      </w:r>
      <w:r w:rsidRPr="009B36DB" w:rsidR="00A87D4F">
        <w:rPr>
          <w:rFonts w:ascii="Verdana" w:hAnsi="Verdana"/>
          <w:sz w:val="18"/>
          <w:szCs w:val="18"/>
        </w:rPr>
        <w:t xml:space="preserve">nog beter </w:t>
      </w:r>
      <w:r w:rsidRPr="009B36DB" w:rsidR="007E5933">
        <w:rPr>
          <w:rFonts w:ascii="Verdana" w:hAnsi="Verdana"/>
          <w:sz w:val="18"/>
          <w:szCs w:val="18"/>
        </w:rPr>
        <w:t xml:space="preserve">weerbare maatschappij vorm te geven. </w:t>
      </w:r>
    </w:p>
    <w:p w:rsidRPr="009B36DB" w:rsidR="00392622" w:rsidRDefault="00392622" w14:paraId="13B4E629" w14:textId="77777777"/>
    <w:p w:rsidRPr="009B36DB" w:rsidR="00164D86" w:rsidRDefault="00164D86" w14:paraId="79C99309" w14:textId="77777777"/>
    <w:p w:rsidRPr="009B36DB" w:rsidR="00392622" w:rsidRDefault="00392622" w14:paraId="1DEE6134" w14:textId="77777777">
      <w:pPr>
        <w:pStyle w:val="WitregelW1bodytekst"/>
      </w:pPr>
    </w:p>
    <w:p w:rsidRPr="009B36DB" w:rsidR="00396045" w:rsidP="00396045" w:rsidRDefault="006E08B1" w14:paraId="4FD5E08C" w14:textId="76D56805">
      <w:pPr>
        <w:spacing w:line="240" w:lineRule="auto"/>
        <w:rPr>
          <w:rFonts w:eastAsia="Calibri" w:cs="Calibri"/>
        </w:rPr>
      </w:pPr>
      <w:r>
        <w:rPr>
          <w:rFonts w:eastAsia="Calibri" w:cs="Calibri"/>
        </w:rPr>
        <w:t xml:space="preserve">De </w:t>
      </w:r>
      <w:r w:rsidRPr="009B36DB" w:rsidR="00396045">
        <w:rPr>
          <w:rFonts w:eastAsia="Calibri" w:cs="Calibri"/>
        </w:rPr>
        <w:t>Minister van Justitie en Veiligheid</w:t>
      </w:r>
      <w:r w:rsidR="009B36DB">
        <w:rPr>
          <w:rFonts w:eastAsia="Calibri" w:cs="Calibri"/>
        </w:rPr>
        <w:t>,</w:t>
      </w:r>
      <w:r w:rsidRPr="009B36DB" w:rsidR="00396045">
        <w:rPr>
          <w:rFonts w:eastAsia="Calibri" w:cs="Calibri"/>
        </w:rPr>
        <w:tab/>
      </w:r>
      <w:r w:rsidRPr="009B36DB" w:rsidR="00396045">
        <w:rPr>
          <w:rFonts w:eastAsia="Calibri" w:cs="Calibri"/>
        </w:rPr>
        <w:tab/>
      </w:r>
      <w:r w:rsidRPr="009B36DB" w:rsidR="00396045">
        <w:rPr>
          <w:rFonts w:eastAsia="Calibri" w:cs="Calibri"/>
        </w:rPr>
        <w:tab/>
      </w:r>
      <w:r>
        <w:rPr>
          <w:rFonts w:eastAsia="Calibri" w:cs="Calibri"/>
        </w:rPr>
        <w:t xml:space="preserve">De </w:t>
      </w:r>
      <w:r w:rsidRPr="009B36DB" w:rsidR="00396045">
        <w:rPr>
          <w:rFonts w:eastAsia="Calibri" w:cs="Calibri"/>
        </w:rPr>
        <w:t>Minister van Defensie</w:t>
      </w:r>
      <w:r w:rsidR="009B36DB">
        <w:rPr>
          <w:rFonts w:eastAsia="Calibri" w:cs="Calibri"/>
        </w:rPr>
        <w:t>,</w:t>
      </w:r>
    </w:p>
    <w:p w:rsidR="00957CBA" w:rsidP="00396045" w:rsidRDefault="00957CBA" w14:paraId="4600AE9B" w14:textId="30678EC5">
      <w:pPr>
        <w:spacing w:line="240" w:lineRule="auto"/>
        <w:rPr>
          <w:rFonts w:eastAsia="Calibri" w:cs="Calibri"/>
          <w:noProof/>
        </w:rPr>
      </w:pPr>
    </w:p>
    <w:p w:rsidR="00957CBA" w:rsidP="00396045" w:rsidRDefault="00957CBA" w14:paraId="29DF328B" w14:textId="77777777">
      <w:pPr>
        <w:spacing w:line="240" w:lineRule="auto"/>
        <w:rPr>
          <w:rFonts w:eastAsia="Calibri" w:cs="Calibri"/>
          <w:noProof/>
        </w:rPr>
      </w:pPr>
    </w:p>
    <w:p w:rsidR="00957CBA" w:rsidP="00396045" w:rsidRDefault="00957CBA" w14:paraId="7B0DC722" w14:textId="77777777">
      <w:pPr>
        <w:spacing w:line="240" w:lineRule="auto"/>
        <w:rPr>
          <w:rFonts w:eastAsia="Calibri" w:cs="Calibri"/>
          <w:noProof/>
        </w:rPr>
      </w:pPr>
    </w:p>
    <w:p w:rsidRPr="009B36DB" w:rsidR="00957CBA" w:rsidP="00396045" w:rsidRDefault="00957CBA" w14:paraId="612F6548" w14:textId="77777777">
      <w:pPr>
        <w:spacing w:line="240" w:lineRule="auto"/>
        <w:rPr>
          <w:rFonts w:eastAsia="Calibri" w:cs="Calibri"/>
        </w:rPr>
      </w:pPr>
    </w:p>
    <w:p w:rsidRPr="009B36DB" w:rsidR="00396045" w:rsidP="00396045" w:rsidRDefault="00396045" w14:paraId="29511B56" w14:textId="53EB60E9">
      <w:pPr>
        <w:spacing w:line="240" w:lineRule="auto"/>
      </w:pPr>
      <w:r w:rsidRPr="009B36DB">
        <w:rPr>
          <w:rFonts w:eastAsia="Calibri" w:cs="Calibri"/>
        </w:rPr>
        <w:t>D.M. van Weel</w:t>
      </w:r>
      <w:r w:rsidRPr="009B36DB">
        <w:rPr>
          <w:rFonts w:eastAsia="Calibri" w:cs="Calibri"/>
        </w:rPr>
        <w:tab/>
      </w:r>
      <w:r w:rsidRPr="009B36DB">
        <w:rPr>
          <w:rFonts w:eastAsia="Calibri" w:cs="Calibri"/>
        </w:rPr>
        <w:tab/>
      </w:r>
      <w:r w:rsidRPr="009B36DB">
        <w:rPr>
          <w:rFonts w:eastAsia="Calibri" w:cs="Calibri"/>
        </w:rPr>
        <w:tab/>
      </w:r>
      <w:r w:rsidRPr="009B36DB">
        <w:rPr>
          <w:rFonts w:eastAsia="Calibri" w:cs="Calibri"/>
        </w:rPr>
        <w:tab/>
      </w:r>
      <w:r w:rsidRPr="009B36DB">
        <w:rPr>
          <w:rFonts w:eastAsia="Calibri" w:cs="Calibri"/>
        </w:rPr>
        <w:tab/>
      </w:r>
      <w:r w:rsidRPr="009B36DB">
        <w:rPr>
          <w:rFonts w:eastAsia="Calibri" w:cs="Calibri"/>
        </w:rPr>
        <w:tab/>
      </w:r>
      <w:r w:rsidR="00E112E0">
        <w:rPr>
          <w:rFonts w:eastAsia="Calibri" w:cs="Calibri"/>
        </w:rPr>
        <w:t>R</w:t>
      </w:r>
      <w:r w:rsidRPr="009B36DB" w:rsidR="00C35DCF">
        <w:rPr>
          <w:rFonts w:eastAsia="Calibri" w:cs="Calibri"/>
        </w:rPr>
        <w:t>.P.</w:t>
      </w:r>
      <w:r w:rsidRPr="009B36DB">
        <w:rPr>
          <w:rFonts w:eastAsia="Calibri" w:cs="Calibri"/>
        </w:rPr>
        <w:t xml:space="preserve"> Brekelmans</w:t>
      </w:r>
    </w:p>
    <w:p w:rsidRPr="009B36DB" w:rsidR="00396045" w:rsidP="00396045" w:rsidRDefault="00396045" w14:paraId="27927109" w14:textId="0CA44C8F">
      <w:pPr>
        <w:spacing w:line="240" w:lineRule="auto"/>
        <w:rPr>
          <w:rFonts w:eastAsia="Calibri" w:cs="Calibri"/>
        </w:rPr>
      </w:pPr>
    </w:p>
    <w:p w:rsidRPr="009B36DB" w:rsidR="00396045" w:rsidP="00396045" w:rsidRDefault="00396045" w14:paraId="1619BEED" w14:textId="77777777">
      <w:pPr>
        <w:spacing w:line="240" w:lineRule="auto"/>
        <w:rPr>
          <w:rFonts w:eastAsia="Calibri" w:cs="Calibri"/>
        </w:rPr>
      </w:pPr>
    </w:p>
    <w:p w:rsidRPr="009B36DB" w:rsidR="00396045" w:rsidP="00396045" w:rsidRDefault="00396045" w14:paraId="380721FD" w14:textId="77777777">
      <w:pPr>
        <w:spacing w:line="240" w:lineRule="auto"/>
        <w:rPr>
          <w:rFonts w:eastAsia="Calibri" w:cs="Calibri"/>
        </w:rPr>
      </w:pPr>
    </w:p>
    <w:p w:rsidRPr="009B36DB" w:rsidR="00396045" w:rsidP="00396045" w:rsidRDefault="00396045" w14:paraId="04AFB7D6" w14:textId="77777777">
      <w:pPr>
        <w:spacing w:line="240" w:lineRule="auto"/>
        <w:rPr>
          <w:rFonts w:eastAsia="Calibri" w:cs="Calibri"/>
        </w:rPr>
      </w:pPr>
      <w:r w:rsidRPr="009B36DB">
        <w:rPr>
          <w:rFonts w:eastAsia="Calibri" w:cs="Calibri"/>
        </w:rPr>
        <w:t xml:space="preserve">De Staatssecretaris van Defensie, </w:t>
      </w:r>
    </w:p>
    <w:p w:rsidR="00396045" w:rsidP="00396045" w:rsidRDefault="00396045" w14:paraId="642C46CF" w14:textId="77777777">
      <w:pPr>
        <w:spacing w:line="240" w:lineRule="auto"/>
        <w:rPr>
          <w:rFonts w:eastAsia="Calibri" w:cs="Calibri"/>
        </w:rPr>
      </w:pPr>
    </w:p>
    <w:p w:rsidR="009B36DB" w:rsidP="00396045" w:rsidRDefault="009B36DB" w14:paraId="34C509D6" w14:textId="77777777">
      <w:pPr>
        <w:spacing w:line="240" w:lineRule="auto"/>
        <w:rPr>
          <w:rFonts w:eastAsia="Calibri" w:cs="Calibri"/>
        </w:rPr>
      </w:pPr>
    </w:p>
    <w:p w:rsidRPr="009B36DB" w:rsidR="009B36DB" w:rsidP="00396045" w:rsidRDefault="009B36DB" w14:paraId="420BBD2C" w14:textId="77777777">
      <w:pPr>
        <w:spacing w:line="240" w:lineRule="auto"/>
        <w:rPr>
          <w:rFonts w:eastAsia="Calibri" w:cs="Calibri"/>
        </w:rPr>
      </w:pPr>
    </w:p>
    <w:p w:rsidRPr="009B36DB" w:rsidR="00396045" w:rsidP="00396045" w:rsidRDefault="00396045" w14:paraId="11A56AA3" w14:textId="77777777">
      <w:pPr>
        <w:spacing w:line="240" w:lineRule="auto"/>
        <w:rPr>
          <w:rFonts w:eastAsia="Calibri" w:cs="Calibri"/>
        </w:rPr>
      </w:pPr>
    </w:p>
    <w:p w:rsidRPr="009B36DB" w:rsidR="00396045" w:rsidP="00396045" w:rsidRDefault="00396045" w14:paraId="11F8B739" w14:textId="77777777">
      <w:pPr>
        <w:spacing w:line="240" w:lineRule="auto"/>
      </w:pPr>
      <w:r w:rsidRPr="009B36DB">
        <w:rPr>
          <w:rFonts w:eastAsia="Calibri" w:cs="Calibri"/>
        </w:rPr>
        <w:t>G.P. Tuinman</w:t>
      </w:r>
    </w:p>
    <w:p w:rsidR="00392622" w:rsidRDefault="00392622" w14:paraId="020B6CDF" w14:textId="77777777"/>
    <w:p w:rsidRPr="00957CBA" w:rsidR="00957CBA" w:rsidP="00957CBA" w:rsidRDefault="00957CBA" w14:paraId="60407A16" w14:textId="77777777"/>
    <w:p w:rsidRPr="00957CBA" w:rsidR="00957CBA" w:rsidP="00957CBA" w:rsidRDefault="00957CBA" w14:paraId="099E6805" w14:textId="77777777"/>
    <w:p w:rsidRPr="00957CBA" w:rsidR="00957CBA" w:rsidP="00957CBA" w:rsidRDefault="00957CBA" w14:paraId="044BD3E8" w14:textId="77777777"/>
    <w:p w:rsidR="00957CBA" w:rsidP="00957CBA" w:rsidRDefault="00957CBA" w14:paraId="4FD1B998" w14:textId="77777777"/>
    <w:p w:rsidRPr="00957CBA" w:rsidR="00957CBA" w:rsidP="00957CBA" w:rsidRDefault="00957CBA" w14:paraId="4A8A3F16" w14:textId="34A2FC18">
      <w:pPr>
        <w:tabs>
          <w:tab w:val="left" w:pos="2855"/>
        </w:tabs>
      </w:pPr>
      <w:r>
        <w:tab/>
      </w:r>
    </w:p>
    <w:sectPr w:rsidRPr="00957CBA" w:rsidR="00957CBA">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27C78" w14:textId="77777777" w:rsidR="00E47277" w:rsidRDefault="00E47277">
      <w:pPr>
        <w:spacing w:line="240" w:lineRule="auto"/>
      </w:pPr>
      <w:r>
        <w:separator/>
      </w:r>
    </w:p>
  </w:endnote>
  <w:endnote w:type="continuationSeparator" w:id="0">
    <w:p w14:paraId="49FB5747" w14:textId="77777777" w:rsidR="00E47277" w:rsidRDefault="00E47277">
      <w:pPr>
        <w:spacing w:line="240" w:lineRule="auto"/>
      </w:pPr>
      <w:r>
        <w:continuationSeparator/>
      </w:r>
    </w:p>
  </w:endnote>
  <w:endnote w:type="continuationNotice" w:id="1">
    <w:p w14:paraId="7C919EBF" w14:textId="77777777" w:rsidR="00E47277" w:rsidRDefault="00E472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23EF" w14:textId="77777777" w:rsidR="00F6289B" w:rsidRDefault="00F6289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4661" w14:textId="77777777" w:rsidR="00E47277" w:rsidRDefault="00E47277">
      <w:pPr>
        <w:spacing w:line="240" w:lineRule="auto"/>
      </w:pPr>
      <w:r>
        <w:separator/>
      </w:r>
    </w:p>
  </w:footnote>
  <w:footnote w:type="continuationSeparator" w:id="0">
    <w:p w14:paraId="6B9E6D02" w14:textId="77777777" w:rsidR="00E47277" w:rsidRDefault="00E47277">
      <w:pPr>
        <w:spacing w:line="240" w:lineRule="auto"/>
      </w:pPr>
      <w:r>
        <w:continuationSeparator/>
      </w:r>
    </w:p>
  </w:footnote>
  <w:footnote w:type="continuationNotice" w:id="1">
    <w:p w14:paraId="31ADE743" w14:textId="77777777" w:rsidR="00E47277" w:rsidRDefault="00E47277">
      <w:pPr>
        <w:spacing w:line="240" w:lineRule="auto"/>
      </w:pPr>
    </w:p>
  </w:footnote>
  <w:footnote w:id="2">
    <w:p w14:paraId="7E01C8B6" w14:textId="77777777" w:rsidR="00FD0ADE" w:rsidRPr="00BD13D0" w:rsidRDefault="00FD0ADE" w:rsidP="00FD0ADE">
      <w:pPr>
        <w:pStyle w:val="Voetnoottekst"/>
        <w:rPr>
          <w:color w:val="auto"/>
          <w:sz w:val="14"/>
          <w:szCs w:val="14"/>
        </w:rPr>
      </w:pPr>
      <w:r w:rsidRPr="00164D86">
        <w:rPr>
          <w:rStyle w:val="Voetnootmarkering"/>
          <w:color w:val="auto"/>
          <w:sz w:val="14"/>
          <w:szCs w:val="14"/>
        </w:rPr>
        <w:footnoteRef/>
      </w:r>
      <w:r w:rsidRPr="00164D86">
        <w:rPr>
          <w:color w:val="auto"/>
          <w:sz w:val="14"/>
          <w:szCs w:val="14"/>
        </w:rPr>
        <w:t xml:space="preserve"> De NAVO-</w:t>
      </w:r>
      <w:r w:rsidRPr="00164D86">
        <w:rPr>
          <w:rFonts w:eastAsia="MS Mincho" w:cs="Arial"/>
          <w:bCs/>
          <w:sz w:val="14"/>
          <w:szCs w:val="14"/>
        </w:rPr>
        <w:t xml:space="preserve">weerbaarheidsdoelstellingen zijn een intensivering van de 7 Baseline </w:t>
      </w:r>
      <w:proofErr w:type="spellStart"/>
      <w:r w:rsidRPr="00164D86">
        <w:rPr>
          <w:rFonts w:eastAsia="MS Mincho" w:cs="Arial"/>
          <w:bCs/>
          <w:sz w:val="14"/>
          <w:szCs w:val="14"/>
        </w:rPr>
        <w:t>Requirements</w:t>
      </w:r>
      <w:proofErr w:type="spellEnd"/>
      <w:r w:rsidRPr="00164D86">
        <w:rPr>
          <w:rFonts w:eastAsia="MS Mincho" w:cs="Arial"/>
          <w:bCs/>
          <w:sz w:val="14"/>
          <w:szCs w:val="14"/>
        </w:rPr>
        <w:t xml:space="preserve"> en zien toe op de continuïteit van de overheid, energievoorziening, grootschalige opvang van personen, </w:t>
      </w:r>
      <w:r w:rsidRPr="00BD13D0">
        <w:rPr>
          <w:rFonts w:eastAsia="MS Mincho" w:cs="Arial"/>
          <w:bCs/>
          <w:sz w:val="14"/>
          <w:szCs w:val="14"/>
        </w:rPr>
        <w:t>levensbehoeften, opvang van gewonden, (</w:t>
      </w:r>
      <w:proofErr w:type="spellStart"/>
      <w:r w:rsidRPr="00BD13D0">
        <w:rPr>
          <w:rFonts w:eastAsia="MS Mincho" w:cs="Arial"/>
          <w:bCs/>
          <w:sz w:val="14"/>
          <w:szCs w:val="14"/>
        </w:rPr>
        <w:t>tele</w:t>
      </w:r>
      <w:proofErr w:type="spellEnd"/>
      <w:r w:rsidRPr="00BD13D0">
        <w:rPr>
          <w:rFonts w:eastAsia="MS Mincho" w:cs="Arial"/>
          <w:bCs/>
          <w:sz w:val="14"/>
          <w:szCs w:val="14"/>
        </w:rPr>
        <w:t>-)communicatie en transport.</w:t>
      </w:r>
    </w:p>
  </w:footnote>
  <w:footnote w:id="3">
    <w:p w14:paraId="11DA45D9" w14:textId="25E6F2EE" w:rsidR="00FD0ADE" w:rsidRPr="00BD13D0" w:rsidRDefault="00FD0ADE" w:rsidP="00FD0ADE">
      <w:pPr>
        <w:pStyle w:val="Voetnoottekst"/>
        <w:rPr>
          <w:color w:val="auto"/>
          <w:sz w:val="14"/>
          <w:szCs w:val="14"/>
          <w:lang w:val="en-US"/>
        </w:rPr>
      </w:pPr>
      <w:r w:rsidRPr="00BD13D0">
        <w:rPr>
          <w:rStyle w:val="Voetnootmarkering"/>
          <w:color w:val="auto"/>
          <w:sz w:val="14"/>
          <w:szCs w:val="14"/>
        </w:rPr>
        <w:footnoteRef/>
      </w:r>
      <w:r w:rsidRPr="00BD13D0">
        <w:rPr>
          <w:color w:val="auto"/>
          <w:sz w:val="14"/>
          <w:szCs w:val="14"/>
          <w:lang w:val="en-US"/>
        </w:rPr>
        <w:t xml:space="preserve"> </w:t>
      </w:r>
      <w:r w:rsidRPr="00FD0ADE">
        <w:rPr>
          <w:color w:val="auto"/>
          <w:sz w:val="14"/>
          <w:szCs w:val="14"/>
          <w:lang w:val="en-US"/>
        </w:rPr>
        <w:t xml:space="preserve">Preparedness Union Strategy </w:t>
      </w:r>
      <w:r w:rsidRPr="006F59E9">
        <w:rPr>
          <w:color w:val="auto"/>
          <w:sz w:val="14"/>
          <w:szCs w:val="14"/>
          <w:lang w:val="en-US"/>
        </w:rPr>
        <w:t xml:space="preserve">EUR-Lex </w:t>
      </w:r>
      <w:proofErr w:type="spellStart"/>
      <w:r w:rsidRPr="006F59E9">
        <w:rPr>
          <w:color w:val="auto"/>
          <w:sz w:val="14"/>
          <w:szCs w:val="14"/>
          <w:lang w:val="en-US"/>
        </w:rPr>
        <w:t>EUR-Lex</w:t>
      </w:r>
      <w:proofErr w:type="spellEnd"/>
      <w:r w:rsidRPr="006F59E9">
        <w:rPr>
          <w:color w:val="auto"/>
          <w:sz w:val="14"/>
          <w:szCs w:val="14"/>
          <w:lang w:val="en-US"/>
        </w:rPr>
        <w:t xml:space="preserve"> - 52025JC0130 </w:t>
      </w:r>
    </w:p>
  </w:footnote>
  <w:footnote w:id="4">
    <w:p w14:paraId="1F2ECA26" w14:textId="77777777" w:rsidR="001402B9" w:rsidRPr="00376443" w:rsidRDefault="001402B9" w:rsidP="001402B9">
      <w:pPr>
        <w:pStyle w:val="Voetnoottekst"/>
        <w:rPr>
          <w:sz w:val="16"/>
          <w:szCs w:val="16"/>
        </w:rPr>
      </w:pPr>
      <w:r w:rsidRPr="00EF0CB8">
        <w:rPr>
          <w:rStyle w:val="Voetnootmarkering"/>
          <w:sz w:val="16"/>
          <w:szCs w:val="16"/>
        </w:rPr>
        <w:footnoteRef/>
      </w:r>
      <w:r w:rsidRPr="00EF0CB8">
        <w:rPr>
          <w:sz w:val="16"/>
          <w:szCs w:val="16"/>
        </w:rPr>
        <w:t xml:space="preserve"> </w:t>
      </w:r>
      <w:r w:rsidRPr="00376443">
        <w:rPr>
          <w:color w:val="211D1F"/>
          <w:sz w:val="16"/>
          <w:szCs w:val="16"/>
        </w:rPr>
        <w:t>Kamerstukken II, 2024–2025, 32 852, nr. 333</w:t>
      </w:r>
    </w:p>
  </w:footnote>
  <w:footnote w:id="5">
    <w:p w14:paraId="55C5C0ED" w14:textId="77777777" w:rsidR="00FD0ADE" w:rsidRPr="00EF0CB8" w:rsidRDefault="00FD0ADE" w:rsidP="00FD0ADE">
      <w:pPr>
        <w:pStyle w:val="Voetnoottekst"/>
        <w:rPr>
          <w:color w:val="auto"/>
          <w:sz w:val="16"/>
          <w:szCs w:val="16"/>
        </w:rPr>
      </w:pPr>
      <w:r w:rsidRPr="00EF0CB8">
        <w:rPr>
          <w:rStyle w:val="Voetnootmarkering"/>
          <w:color w:val="auto"/>
          <w:sz w:val="16"/>
          <w:szCs w:val="16"/>
        </w:rPr>
        <w:footnoteRef/>
      </w:r>
      <w:r w:rsidRPr="00EF0CB8">
        <w:rPr>
          <w:color w:val="auto"/>
          <w:sz w:val="16"/>
          <w:szCs w:val="16"/>
        </w:rPr>
        <w:t xml:space="preserve"> Toezegging van minister van Justitie en Veiligheid om voor de zomer van 2025</w:t>
      </w:r>
      <w:r>
        <w:rPr>
          <w:color w:val="auto"/>
          <w:sz w:val="16"/>
          <w:szCs w:val="16"/>
        </w:rPr>
        <w:t xml:space="preserve"> </w:t>
      </w:r>
      <w:r w:rsidRPr="00EF0CB8">
        <w:rPr>
          <w:color w:val="auto"/>
          <w:sz w:val="16"/>
          <w:szCs w:val="16"/>
        </w:rPr>
        <w:t>de Kamer schriftelijk te zullen informeren over de opzet van het onderzoek naar de cognitieve dimensie van hybride dreigingen (TZ202504-141)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71ED" w14:textId="77777777" w:rsidR="00F6289B" w:rsidRDefault="00F6289B">
    <w:r>
      <w:rPr>
        <w:noProof/>
      </w:rPr>
      <mc:AlternateContent>
        <mc:Choice Requires="wps">
          <w:drawing>
            <wp:anchor distT="0" distB="0" distL="0" distR="0" simplePos="0" relativeHeight="251658240" behindDoc="0" locked="1" layoutInCell="1" allowOverlap="1" wp14:anchorId="53A561D7" wp14:editId="0AA7553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0FA96C" w14:textId="77777777" w:rsidR="00F6289B" w:rsidRDefault="00F6289B">
                          <w:pPr>
                            <w:pStyle w:val="Referentiegegevensbold"/>
                          </w:pPr>
                          <w:r>
                            <w:t>Datum</w:t>
                          </w:r>
                        </w:p>
                        <w:p w14:paraId="66E344DC" w14:textId="170423C9" w:rsidR="00F6289B" w:rsidRDefault="00E47277">
                          <w:pPr>
                            <w:pStyle w:val="Referentiegegevens"/>
                          </w:pPr>
                          <w:sdt>
                            <w:sdtPr>
                              <w:id w:val="-427047023"/>
                              <w:date w:fullDate="2025-07-11T00:00:00Z">
                                <w:dateFormat w:val="d MMMM yyyy"/>
                                <w:lid w:val="nl"/>
                                <w:storeMappedDataAs w:val="dateTime"/>
                                <w:calendar w:val="gregorian"/>
                              </w:date>
                            </w:sdtPr>
                            <w:sdtEndPr/>
                            <w:sdtContent>
                              <w:r w:rsidR="002462D1">
                                <w:t>11 juli 2025</w:t>
                              </w:r>
                            </w:sdtContent>
                          </w:sdt>
                        </w:p>
                        <w:p w14:paraId="37D5A7B4" w14:textId="77777777" w:rsidR="00F6289B" w:rsidRDefault="00F6289B">
                          <w:pPr>
                            <w:pStyle w:val="WitregelW1"/>
                          </w:pPr>
                        </w:p>
                        <w:p w14:paraId="1A8F80EE" w14:textId="77777777" w:rsidR="00F6289B" w:rsidRDefault="00F6289B">
                          <w:pPr>
                            <w:pStyle w:val="Referentiegegevensbold"/>
                          </w:pPr>
                          <w:r>
                            <w:t>Onze referentie</w:t>
                          </w:r>
                        </w:p>
                        <w:p w14:paraId="0E51EA74" w14:textId="2F84BB09" w:rsidR="00F6289B" w:rsidRDefault="006E08B1">
                          <w:pPr>
                            <w:pStyle w:val="Referentiegegevens"/>
                          </w:pPr>
                          <w:r>
                            <w:t>6549113</w:t>
                          </w:r>
                        </w:p>
                      </w:txbxContent>
                    </wps:txbx>
                    <wps:bodyPr vert="horz" wrap="square" lIns="0" tIns="0" rIns="0" bIns="0" anchor="t" anchorCtr="0"/>
                  </wps:wsp>
                </a:graphicData>
              </a:graphic>
            </wp:anchor>
          </w:drawing>
        </mc:Choice>
        <mc:Fallback>
          <w:pict>
            <v:shapetype w14:anchorId="53A561D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F0FA96C" w14:textId="77777777" w:rsidR="00F6289B" w:rsidRDefault="00F6289B">
                    <w:pPr>
                      <w:pStyle w:val="Referentiegegevensbold"/>
                    </w:pPr>
                    <w:r>
                      <w:t>Datum</w:t>
                    </w:r>
                  </w:p>
                  <w:p w14:paraId="66E344DC" w14:textId="170423C9" w:rsidR="00F6289B" w:rsidRDefault="00E47277">
                    <w:pPr>
                      <w:pStyle w:val="Referentiegegevens"/>
                    </w:pPr>
                    <w:sdt>
                      <w:sdtPr>
                        <w:id w:val="-427047023"/>
                        <w:date w:fullDate="2025-07-11T00:00:00Z">
                          <w:dateFormat w:val="d MMMM yyyy"/>
                          <w:lid w:val="nl"/>
                          <w:storeMappedDataAs w:val="dateTime"/>
                          <w:calendar w:val="gregorian"/>
                        </w:date>
                      </w:sdtPr>
                      <w:sdtEndPr/>
                      <w:sdtContent>
                        <w:r w:rsidR="002462D1">
                          <w:t>11 juli 2025</w:t>
                        </w:r>
                      </w:sdtContent>
                    </w:sdt>
                  </w:p>
                  <w:p w14:paraId="37D5A7B4" w14:textId="77777777" w:rsidR="00F6289B" w:rsidRDefault="00F6289B">
                    <w:pPr>
                      <w:pStyle w:val="WitregelW1"/>
                    </w:pPr>
                  </w:p>
                  <w:p w14:paraId="1A8F80EE" w14:textId="77777777" w:rsidR="00F6289B" w:rsidRDefault="00F6289B">
                    <w:pPr>
                      <w:pStyle w:val="Referentiegegevensbold"/>
                    </w:pPr>
                    <w:r>
                      <w:t>Onze referentie</w:t>
                    </w:r>
                  </w:p>
                  <w:p w14:paraId="0E51EA74" w14:textId="2F84BB09" w:rsidR="00F6289B" w:rsidRDefault="006E08B1">
                    <w:pPr>
                      <w:pStyle w:val="Referentiegegevens"/>
                    </w:pPr>
                    <w:r>
                      <w:t>6549113</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07DE0B9" wp14:editId="0822F1B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AF5120D" w14:textId="55C91D86" w:rsidR="00F6289B" w:rsidRDefault="00F6289B">
                          <w:pPr>
                            <w:pStyle w:val="Rubricering"/>
                          </w:pPr>
                        </w:p>
                      </w:txbxContent>
                    </wps:txbx>
                    <wps:bodyPr vert="horz" wrap="square" lIns="0" tIns="0" rIns="0" bIns="0" anchor="t" anchorCtr="0"/>
                  </wps:wsp>
                </a:graphicData>
              </a:graphic>
            </wp:anchor>
          </w:drawing>
        </mc:Choice>
        <mc:Fallback>
          <w:pict>
            <v:shape w14:anchorId="507DE0B9" id="46fef06f-aa3c-11ea-a756-beb5f67e67be" o:spid="_x0000_s1027" type="#_x0000_t202" style="position:absolute;margin-left:79.35pt;margin-top:802.75pt;width:377pt;height:12.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AF5120D" w14:textId="55C91D86" w:rsidR="00F6289B" w:rsidRDefault="00F6289B">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F9F275C" wp14:editId="57B5CB4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A628E42" w14:textId="02914F84" w:rsidR="00F6289B" w:rsidRDefault="00F6289B">
                          <w:pPr>
                            <w:pStyle w:val="Referentiegegevens"/>
                          </w:pPr>
                          <w:r>
                            <w:t xml:space="preserve">Pagina </w:t>
                          </w:r>
                          <w:r>
                            <w:fldChar w:fldCharType="begin"/>
                          </w:r>
                          <w:r>
                            <w:instrText>PAGE</w:instrText>
                          </w:r>
                          <w:r>
                            <w:fldChar w:fldCharType="separate"/>
                          </w:r>
                          <w:r w:rsidR="00016F71">
                            <w:rPr>
                              <w:noProof/>
                            </w:rPr>
                            <w:t>3</w:t>
                          </w:r>
                          <w:r>
                            <w:fldChar w:fldCharType="end"/>
                          </w:r>
                          <w:r>
                            <w:t xml:space="preserve"> van </w:t>
                          </w:r>
                          <w:r>
                            <w:fldChar w:fldCharType="begin"/>
                          </w:r>
                          <w:r>
                            <w:instrText>NUMPAGES</w:instrText>
                          </w:r>
                          <w:r>
                            <w:fldChar w:fldCharType="separate"/>
                          </w:r>
                          <w:r w:rsidR="00016F71">
                            <w:rPr>
                              <w:noProof/>
                            </w:rPr>
                            <w:t>3</w:t>
                          </w:r>
                          <w:r>
                            <w:fldChar w:fldCharType="end"/>
                          </w:r>
                        </w:p>
                      </w:txbxContent>
                    </wps:txbx>
                    <wps:bodyPr vert="horz" wrap="square" lIns="0" tIns="0" rIns="0" bIns="0" anchor="t" anchorCtr="0"/>
                  </wps:wsp>
                </a:graphicData>
              </a:graphic>
            </wp:anchor>
          </w:drawing>
        </mc:Choice>
        <mc:Fallback>
          <w:pict>
            <v:shape w14:anchorId="3F9F275C" id="46fef0b8-aa3c-11ea-a756-beb5f67e67be" o:spid="_x0000_s1028" type="#_x0000_t202" style="position:absolute;margin-left:466.25pt;margin-top:802.75pt;width:101.25pt;height:12.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A628E42" w14:textId="02914F84" w:rsidR="00F6289B" w:rsidRDefault="00F6289B">
                    <w:pPr>
                      <w:pStyle w:val="Referentiegegevens"/>
                    </w:pPr>
                    <w:r>
                      <w:t xml:space="preserve">Pagina </w:t>
                    </w:r>
                    <w:r>
                      <w:fldChar w:fldCharType="begin"/>
                    </w:r>
                    <w:r>
                      <w:instrText>PAGE</w:instrText>
                    </w:r>
                    <w:r>
                      <w:fldChar w:fldCharType="separate"/>
                    </w:r>
                    <w:r w:rsidR="00016F71">
                      <w:rPr>
                        <w:noProof/>
                      </w:rPr>
                      <w:t>3</w:t>
                    </w:r>
                    <w:r>
                      <w:fldChar w:fldCharType="end"/>
                    </w:r>
                    <w:r>
                      <w:t xml:space="preserve"> van </w:t>
                    </w:r>
                    <w:r>
                      <w:fldChar w:fldCharType="begin"/>
                    </w:r>
                    <w:r>
                      <w:instrText>NUMPAGES</w:instrText>
                    </w:r>
                    <w:r>
                      <w:fldChar w:fldCharType="separate"/>
                    </w:r>
                    <w:r w:rsidR="00016F71">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B26A" w14:textId="77777777" w:rsidR="00F6289B" w:rsidRDefault="00F6289B">
    <w:pPr>
      <w:spacing w:after="6377" w:line="14" w:lineRule="exact"/>
    </w:pPr>
    <w:r>
      <w:rPr>
        <w:noProof/>
      </w:rPr>
      <mc:AlternateContent>
        <mc:Choice Requires="wps">
          <w:drawing>
            <wp:anchor distT="0" distB="0" distL="0" distR="0" simplePos="0" relativeHeight="251658243" behindDoc="0" locked="1" layoutInCell="1" allowOverlap="1" wp14:anchorId="7443B72F" wp14:editId="7ADB7D9C">
              <wp:simplePos x="0" y="0"/>
              <wp:positionH relativeFrom="margin">
                <wp:align>right</wp:align>
              </wp:positionH>
              <wp:positionV relativeFrom="page">
                <wp:posOffset>1952625</wp:posOffset>
              </wp:positionV>
              <wp:extent cx="4787900" cy="723900"/>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723900"/>
                      </a:xfrm>
                      <a:prstGeom prst="rect">
                        <a:avLst/>
                      </a:prstGeom>
                      <a:noFill/>
                    </wps:spPr>
                    <wps:txbx>
                      <w:txbxContent>
                        <w:p w14:paraId="5F081A74" w14:textId="77777777" w:rsidR="006E08B1" w:rsidRDefault="00F6289B">
                          <w:r>
                            <w:t xml:space="preserve">Aan de Voorzitter van de Tweede Kamer </w:t>
                          </w:r>
                        </w:p>
                        <w:p w14:paraId="6E5E0E7A" w14:textId="6FE5D422" w:rsidR="00F6289B" w:rsidRDefault="00F6289B">
                          <w:r>
                            <w:t>der Staten-Generaal</w:t>
                          </w:r>
                        </w:p>
                        <w:p w14:paraId="295E4041" w14:textId="77777777" w:rsidR="00F6289B" w:rsidRDefault="00F6289B">
                          <w:r>
                            <w:t xml:space="preserve">Postbus 20018 </w:t>
                          </w:r>
                        </w:p>
                        <w:p w14:paraId="1FD3C0AD" w14:textId="77777777" w:rsidR="00F6289B" w:rsidRDefault="00F6289B">
                          <w:r>
                            <w:t>2500 EA  DEN HAAG</w:t>
                          </w:r>
                        </w:p>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7443B72F" id="_x0000_t202" coordsize="21600,21600" o:spt="202" path="m,l,21600r21600,l21600,xe">
              <v:stroke joinstyle="miter"/>
              <v:path gradientshapeok="t" o:connecttype="rect"/>
            </v:shapetype>
            <v:shape id="46feeb64-aa3c-11ea-a756-beb5f67e67be" o:spid="_x0000_s1029" type="#_x0000_t202" style="position:absolute;margin-left:325.8pt;margin-top:153.75pt;width:377pt;height:57pt;z-index:251658243;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" filled="f" stroked="f">
              <v:textbox inset="0,0,0,0">
                <w:txbxContent>
                  <w:p w14:paraId="5F081A74" w14:textId="77777777" w:rsidR="006E08B1" w:rsidRDefault="00F6289B">
                    <w:r>
                      <w:t xml:space="preserve">Aan de Voorzitter van de Tweede Kamer </w:t>
                    </w:r>
                  </w:p>
                  <w:p w14:paraId="6E5E0E7A" w14:textId="6FE5D422" w:rsidR="00F6289B" w:rsidRDefault="00F6289B">
                    <w:r>
                      <w:t>der Staten-Generaal</w:t>
                    </w:r>
                  </w:p>
                  <w:p w14:paraId="295E4041" w14:textId="77777777" w:rsidR="00F6289B" w:rsidRDefault="00F6289B">
                    <w:r>
                      <w:t xml:space="preserve">Postbus 20018 </w:t>
                    </w:r>
                  </w:p>
                  <w:p w14:paraId="1FD3C0AD" w14:textId="77777777" w:rsidR="00F6289B" w:rsidRDefault="00F6289B">
                    <w:r>
                      <w:t>2500 EA  DEN HAAG</w:t>
                    </w:r>
                  </w:p>
                </w:txbxContent>
              </v:textbox>
              <w10:wrap anchorx="margin" anchory="page"/>
              <w10:anchorlock/>
            </v:shape>
          </w:pict>
        </mc:Fallback>
      </mc:AlternateContent>
    </w:r>
    <w:r>
      <w:rPr>
        <w:noProof/>
      </w:rPr>
      <mc:AlternateContent>
        <mc:Choice Requires="wps">
          <w:drawing>
            <wp:anchor distT="0" distB="0" distL="0" distR="0" simplePos="0" relativeHeight="251658244" behindDoc="0" locked="1" layoutInCell="1" allowOverlap="1" wp14:anchorId="372B12E0" wp14:editId="1DFE7A0A">
              <wp:simplePos x="0" y="0"/>
              <wp:positionH relativeFrom="margin">
                <wp:align>right</wp:align>
              </wp:positionH>
              <wp:positionV relativeFrom="page">
                <wp:posOffset>3009900</wp:posOffset>
              </wp:positionV>
              <wp:extent cx="4787900" cy="6096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096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6289B" w14:paraId="0177203B" w14:textId="77777777">
                            <w:trPr>
                              <w:trHeight w:val="240"/>
                            </w:trPr>
                            <w:tc>
                              <w:tcPr>
                                <w:tcW w:w="1140" w:type="dxa"/>
                              </w:tcPr>
                              <w:p w14:paraId="49279C31" w14:textId="77777777" w:rsidR="00F6289B" w:rsidRPr="003B2094" w:rsidRDefault="00F6289B">
                                <w:pPr>
                                  <w:rPr>
                                    <w:sz w:val="16"/>
                                    <w:szCs w:val="16"/>
                                  </w:rPr>
                                </w:pPr>
                                <w:r w:rsidRPr="003B2094">
                                  <w:rPr>
                                    <w:sz w:val="16"/>
                                    <w:szCs w:val="16"/>
                                  </w:rPr>
                                  <w:t>Datum</w:t>
                                </w:r>
                              </w:p>
                            </w:tc>
                            <w:tc>
                              <w:tcPr>
                                <w:tcW w:w="5918" w:type="dxa"/>
                              </w:tcPr>
                              <w:p w14:paraId="0F9FD33A" w14:textId="1F860EDB" w:rsidR="00F6289B" w:rsidRPr="009B36DB" w:rsidRDefault="00E47277">
                                <w:sdt>
                                  <w:sdtPr>
                                    <w:id w:val="-27034320"/>
                                    <w:date w:fullDate="2025-07-11T00:00:00Z">
                                      <w:dateFormat w:val="d MMMM yyyy"/>
                                      <w:lid w:val="nl"/>
                                      <w:storeMappedDataAs w:val="dateTime"/>
                                      <w:calendar w:val="gregorian"/>
                                    </w:date>
                                  </w:sdtPr>
                                  <w:sdtEndPr/>
                                  <w:sdtContent>
                                    <w:r w:rsidR="00F6289B" w:rsidRPr="009B36DB">
                                      <w:rPr>
                                        <w:lang w:val="nl"/>
                                      </w:rPr>
                                      <w:t>11 juli 2025</w:t>
                                    </w:r>
                                  </w:sdtContent>
                                </w:sdt>
                              </w:p>
                            </w:tc>
                          </w:tr>
                          <w:tr w:rsidR="00F6289B" w14:paraId="013058C4" w14:textId="77777777">
                            <w:trPr>
                              <w:trHeight w:val="240"/>
                            </w:trPr>
                            <w:tc>
                              <w:tcPr>
                                <w:tcW w:w="1140" w:type="dxa"/>
                              </w:tcPr>
                              <w:p w14:paraId="521C27D6" w14:textId="77777777" w:rsidR="00F6289B" w:rsidRPr="003B2094" w:rsidRDefault="00F6289B">
                                <w:pPr>
                                  <w:rPr>
                                    <w:sz w:val="16"/>
                                    <w:szCs w:val="16"/>
                                  </w:rPr>
                                </w:pPr>
                                <w:r w:rsidRPr="003B2094">
                                  <w:rPr>
                                    <w:sz w:val="16"/>
                                    <w:szCs w:val="16"/>
                                  </w:rPr>
                                  <w:t>Betreft</w:t>
                                </w:r>
                              </w:p>
                            </w:tc>
                            <w:tc>
                              <w:tcPr>
                                <w:tcW w:w="5918" w:type="dxa"/>
                              </w:tcPr>
                              <w:p w14:paraId="1D31239F" w14:textId="4AC69D37" w:rsidR="00F6289B" w:rsidRPr="009B36DB" w:rsidRDefault="005941EF">
                                <w:r>
                                  <w:t>M</w:t>
                                </w:r>
                                <w:r w:rsidRPr="009B36DB">
                                  <w:t xml:space="preserve">aatschappelijke </w:t>
                                </w:r>
                                <w:r w:rsidR="00F6289B" w:rsidRPr="009B36DB">
                                  <w:t>weerbaarheid en militaire paraatheid tegen militaire en hybride dreigingen</w:t>
                                </w:r>
                              </w:p>
                            </w:tc>
                          </w:tr>
                        </w:tbl>
                        <w:p w14:paraId="36CA0E0D" w14:textId="77777777" w:rsidR="00F6289B" w:rsidRDefault="00F6289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72B12E0" id="46feebd0-aa3c-11ea-a756-beb5f67e67be" o:spid="_x0000_s1030" type="#_x0000_t202" style="position:absolute;margin-left:325.8pt;margin-top:237pt;width:377pt;height:48pt;z-index:25165824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6289B" w14:paraId="0177203B" w14:textId="77777777">
                      <w:trPr>
                        <w:trHeight w:val="240"/>
                      </w:trPr>
                      <w:tc>
                        <w:tcPr>
                          <w:tcW w:w="1140" w:type="dxa"/>
                        </w:tcPr>
                        <w:p w14:paraId="49279C31" w14:textId="77777777" w:rsidR="00F6289B" w:rsidRPr="003B2094" w:rsidRDefault="00F6289B">
                          <w:pPr>
                            <w:rPr>
                              <w:sz w:val="16"/>
                              <w:szCs w:val="16"/>
                            </w:rPr>
                          </w:pPr>
                          <w:r w:rsidRPr="003B2094">
                            <w:rPr>
                              <w:sz w:val="16"/>
                              <w:szCs w:val="16"/>
                            </w:rPr>
                            <w:t>Datum</w:t>
                          </w:r>
                        </w:p>
                      </w:tc>
                      <w:tc>
                        <w:tcPr>
                          <w:tcW w:w="5918" w:type="dxa"/>
                        </w:tcPr>
                        <w:p w14:paraId="0F9FD33A" w14:textId="1F860EDB" w:rsidR="00F6289B" w:rsidRPr="009B36DB" w:rsidRDefault="00E47277">
                          <w:sdt>
                            <w:sdtPr>
                              <w:id w:val="-27034320"/>
                              <w:date w:fullDate="2025-07-11T00:00:00Z">
                                <w:dateFormat w:val="d MMMM yyyy"/>
                                <w:lid w:val="nl"/>
                                <w:storeMappedDataAs w:val="dateTime"/>
                                <w:calendar w:val="gregorian"/>
                              </w:date>
                            </w:sdtPr>
                            <w:sdtEndPr/>
                            <w:sdtContent>
                              <w:r w:rsidR="00F6289B" w:rsidRPr="009B36DB">
                                <w:rPr>
                                  <w:lang w:val="nl"/>
                                </w:rPr>
                                <w:t>11 juli 2025</w:t>
                              </w:r>
                            </w:sdtContent>
                          </w:sdt>
                        </w:p>
                      </w:tc>
                    </w:tr>
                    <w:tr w:rsidR="00F6289B" w14:paraId="013058C4" w14:textId="77777777">
                      <w:trPr>
                        <w:trHeight w:val="240"/>
                      </w:trPr>
                      <w:tc>
                        <w:tcPr>
                          <w:tcW w:w="1140" w:type="dxa"/>
                        </w:tcPr>
                        <w:p w14:paraId="521C27D6" w14:textId="77777777" w:rsidR="00F6289B" w:rsidRPr="003B2094" w:rsidRDefault="00F6289B">
                          <w:pPr>
                            <w:rPr>
                              <w:sz w:val="16"/>
                              <w:szCs w:val="16"/>
                            </w:rPr>
                          </w:pPr>
                          <w:r w:rsidRPr="003B2094">
                            <w:rPr>
                              <w:sz w:val="16"/>
                              <w:szCs w:val="16"/>
                            </w:rPr>
                            <w:t>Betreft</w:t>
                          </w:r>
                        </w:p>
                      </w:tc>
                      <w:tc>
                        <w:tcPr>
                          <w:tcW w:w="5918" w:type="dxa"/>
                        </w:tcPr>
                        <w:p w14:paraId="1D31239F" w14:textId="4AC69D37" w:rsidR="00F6289B" w:rsidRPr="009B36DB" w:rsidRDefault="005941EF">
                          <w:r>
                            <w:t>M</w:t>
                          </w:r>
                          <w:r w:rsidRPr="009B36DB">
                            <w:t xml:space="preserve">aatschappelijke </w:t>
                          </w:r>
                          <w:r w:rsidR="00F6289B" w:rsidRPr="009B36DB">
                            <w:t>weerbaarheid en militaire paraatheid tegen militaire en hybride dreigingen</w:t>
                          </w:r>
                        </w:p>
                      </w:tc>
                    </w:tr>
                  </w:tbl>
                  <w:p w14:paraId="36CA0E0D" w14:textId="77777777" w:rsidR="00F6289B" w:rsidRDefault="00F6289B"/>
                </w:txbxContent>
              </v:textbox>
              <w10:wrap anchorx="margin" anchory="page"/>
              <w10:anchorlock/>
            </v:shape>
          </w:pict>
        </mc:Fallback>
      </mc:AlternateContent>
    </w:r>
    <w:r>
      <w:rPr>
        <w:noProof/>
      </w:rPr>
      <mc:AlternateContent>
        <mc:Choice Requires="wps">
          <w:drawing>
            <wp:anchor distT="0" distB="0" distL="0" distR="0" simplePos="0" relativeHeight="251658245" behindDoc="0" locked="1" layoutInCell="1" allowOverlap="1" wp14:anchorId="66FB12AA" wp14:editId="4907E6D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16CF88" w14:textId="77777777" w:rsidR="00A71D8F" w:rsidRDefault="00A71D8F">
                          <w:pPr>
                            <w:pStyle w:val="Referentiegegevens"/>
                            <w:rPr>
                              <w:lang w:val="de-DE"/>
                            </w:rPr>
                          </w:pPr>
                        </w:p>
                        <w:p w14:paraId="44FB9B47" w14:textId="70E44CBC" w:rsidR="00A71D8F" w:rsidRPr="00A71D8F" w:rsidRDefault="00A71D8F" w:rsidP="00A71D8F">
                          <w:pPr>
                            <w:pStyle w:val="Referentiegegevensbold"/>
                          </w:pPr>
                          <w:r>
                            <w:t>Ministerie van Justitie en Veiligheid</w:t>
                          </w:r>
                        </w:p>
                        <w:p w14:paraId="448C0E09" w14:textId="7B2491D5" w:rsidR="00F6289B" w:rsidRPr="006E08B1" w:rsidRDefault="00F6289B">
                          <w:pPr>
                            <w:pStyle w:val="Referentiegegevens"/>
                          </w:pPr>
                          <w:r w:rsidRPr="006E08B1">
                            <w:t>www.rijksoverheid.nl/jenv</w:t>
                          </w:r>
                        </w:p>
                        <w:p w14:paraId="4C034656" w14:textId="77777777" w:rsidR="00F6289B" w:rsidRPr="006E08B1" w:rsidRDefault="00F6289B">
                          <w:pPr>
                            <w:pStyle w:val="WitregelW2"/>
                          </w:pPr>
                        </w:p>
                        <w:p w14:paraId="34AE3918" w14:textId="77777777" w:rsidR="00F6289B" w:rsidRPr="00A534A9" w:rsidRDefault="00F6289B">
                          <w:pPr>
                            <w:pStyle w:val="Referentiegegevensbold"/>
                            <w:rPr>
                              <w:lang w:val="de-DE"/>
                            </w:rPr>
                          </w:pPr>
                          <w:proofErr w:type="spellStart"/>
                          <w:r w:rsidRPr="00A534A9">
                            <w:rPr>
                              <w:lang w:val="de-DE"/>
                            </w:rPr>
                            <w:t>Onze</w:t>
                          </w:r>
                          <w:proofErr w:type="spellEnd"/>
                          <w:r w:rsidRPr="00A534A9">
                            <w:rPr>
                              <w:lang w:val="de-DE"/>
                            </w:rPr>
                            <w:t xml:space="preserve"> </w:t>
                          </w:r>
                          <w:proofErr w:type="spellStart"/>
                          <w:r w:rsidRPr="00A534A9">
                            <w:rPr>
                              <w:lang w:val="de-DE"/>
                            </w:rPr>
                            <w:t>referentie</w:t>
                          </w:r>
                          <w:proofErr w:type="spellEnd"/>
                        </w:p>
                        <w:p w14:paraId="1AD11E1F" w14:textId="5121EBAE" w:rsidR="00F6289B" w:rsidRDefault="006E08B1">
                          <w:pPr>
                            <w:pStyle w:val="Referentiegegevens"/>
                          </w:pPr>
                          <w:r>
                            <w:t>6549113</w:t>
                          </w:r>
                        </w:p>
                      </w:txbxContent>
                    </wps:txbx>
                    <wps:bodyPr vert="horz" wrap="square" lIns="0" tIns="0" rIns="0" bIns="0" anchor="t" anchorCtr="0"/>
                  </wps:wsp>
                </a:graphicData>
              </a:graphic>
            </wp:anchor>
          </w:drawing>
        </mc:Choice>
        <mc:Fallback>
          <w:pict>
            <v:shape w14:anchorId="66FB12AA" id="46feec20-aa3c-11ea-a756-beb5f67e67be" o:spid="_x0000_s1031" type="#_x0000_t202" style="position:absolute;margin-left:466.25pt;margin-top:154.75pt;width:100.6pt;height:630.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916CF88" w14:textId="77777777" w:rsidR="00A71D8F" w:rsidRDefault="00A71D8F">
                    <w:pPr>
                      <w:pStyle w:val="Referentiegegevens"/>
                      <w:rPr>
                        <w:lang w:val="de-DE"/>
                      </w:rPr>
                    </w:pPr>
                  </w:p>
                  <w:p w14:paraId="44FB9B47" w14:textId="70E44CBC" w:rsidR="00A71D8F" w:rsidRPr="00A71D8F" w:rsidRDefault="00A71D8F" w:rsidP="00A71D8F">
                    <w:pPr>
                      <w:pStyle w:val="Referentiegegevensbold"/>
                    </w:pPr>
                    <w:r>
                      <w:t>Ministerie van Justitie en Veiligheid</w:t>
                    </w:r>
                  </w:p>
                  <w:p w14:paraId="448C0E09" w14:textId="7B2491D5" w:rsidR="00F6289B" w:rsidRPr="006E08B1" w:rsidRDefault="00F6289B">
                    <w:pPr>
                      <w:pStyle w:val="Referentiegegevens"/>
                    </w:pPr>
                    <w:r w:rsidRPr="006E08B1">
                      <w:t>www.rijksoverheid.nl/jenv</w:t>
                    </w:r>
                  </w:p>
                  <w:p w14:paraId="4C034656" w14:textId="77777777" w:rsidR="00F6289B" w:rsidRPr="006E08B1" w:rsidRDefault="00F6289B">
                    <w:pPr>
                      <w:pStyle w:val="WitregelW2"/>
                    </w:pPr>
                  </w:p>
                  <w:p w14:paraId="34AE3918" w14:textId="77777777" w:rsidR="00F6289B" w:rsidRPr="00A534A9" w:rsidRDefault="00F6289B">
                    <w:pPr>
                      <w:pStyle w:val="Referentiegegevensbold"/>
                      <w:rPr>
                        <w:lang w:val="de-DE"/>
                      </w:rPr>
                    </w:pPr>
                    <w:proofErr w:type="spellStart"/>
                    <w:r w:rsidRPr="00A534A9">
                      <w:rPr>
                        <w:lang w:val="de-DE"/>
                      </w:rPr>
                      <w:t>Onze</w:t>
                    </w:r>
                    <w:proofErr w:type="spellEnd"/>
                    <w:r w:rsidRPr="00A534A9">
                      <w:rPr>
                        <w:lang w:val="de-DE"/>
                      </w:rPr>
                      <w:t xml:space="preserve"> </w:t>
                    </w:r>
                    <w:proofErr w:type="spellStart"/>
                    <w:r w:rsidRPr="00A534A9">
                      <w:rPr>
                        <w:lang w:val="de-DE"/>
                      </w:rPr>
                      <w:t>referentie</w:t>
                    </w:r>
                    <w:proofErr w:type="spellEnd"/>
                  </w:p>
                  <w:p w14:paraId="1AD11E1F" w14:textId="5121EBAE" w:rsidR="00F6289B" w:rsidRDefault="006E08B1">
                    <w:pPr>
                      <w:pStyle w:val="Referentiegegevens"/>
                    </w:pPr>
                    <w:r>
                      <w:t>6549113</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F2E9859" wp14:editId="49975F8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4A10ED" w14:textId="11DE870E" w:rsidR="00F6289B" w:rsidRDefault="00F6289B">
                          <w:pPr>
                            <w:pStyle w:val="Rubricering"/>
                          </w:pPr>
                        </w:p>
                      </w:txbxContent>
                    </wps:txbx>
                    <wps:bodyPr vert="horz" wrap="square" lIns="0" tIns="0" rIns="0" bIns="0" anchor="t" anchorCtr="0"/>
                  </wps:wsp>
                </a:graphicData>
              </a:graphic>
            </wp:anchor>
          </w:drawing>
        </mc:Choice>
        <mc:Fallback>
          <w:pict>
            <v:shape w14:anchorId="4F2E9859" id="46feec6f-aa3c-11ea-a756-beb5f67e67be" o:spid="_x0000_s1032" type="#_x0000_t202" style="position:absolute;margin-left:79.35pt;margin-top:802.7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64A10ED" w14:textId="11DE870E" w:rsidR="00F6289B" w:rsidRDefault="00F6289B">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F39A087" wp14:editId="70D041F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A3622F4" w14:textId="68893AE3" w:rsidR="00F6289B" w:rsidRDefault="00F6289B">
                          <w:pPr>
                            <w:pStyle w:val="Referentiegegevens"/>
                          </w:pPr>
                          <w:r>
                            <w:t xml:space="preserve">Pagina </w:t>
                          </w:r>
                          <w:r>
                            <w:fldChar w:fldCharType="begin"/>
                          </w:r>
                          <w:r>
                            <w:instrText>PAGE</w:instrText>
                          </w:r>
                          <w:r>
                            <w:fldChar w:fldCharType="separate"/>
                          </w:r>
                          <w:r w:rsidR="00016F71">
                            <w:rPr>
                              <w:noProof/>
                            </w:rPr>
                            <w:t>1</w:t>
                          </w:r>
                          <w:r>
                            <w:fldChar w:fldCharType="end"/>
                          </w:r>
                          <w:r>
                            <w:t xml:space="preserve"> van </w:t>
                          </w:r>
                          <w:r>
                            <w:fldChar w:fldCharType="begin"/>
                          </w:r>
                          <w:r>
                            <w:instrText>NUMPAGES</w:instrText>
                          </w:r>
                          <w:r>
                            <w:fldChar w:fldCharType="separate"/>
                          </w:r>
                          <w:r w:rsidR="00016F71">
                            <w:rPr>
                              <w:noProof/>
                            </w:rPr>
                            <w:t>3</w:t>
                          </w:r>
                          <w:r>
                            <w:fldChar w:fldCharType="end"/>
                          </w:r>
                        </w:p>
                      </w:txbxContent>
                    </wps:txbx>
                    <wps:bodyPr vert="horz" wrap="square" lIns="0" tIns="0" rIns="0" bIns="0" anchor="t" anchorCtr="0"/>
                  </wps:wsp>
                </a:graphicData>
              </a:graphic>
            </wp:anchor>
          </w:drawing>
        </mc:Choice>
        <mc:Fallback>
          <w:pict>
            <v:shape w14:anchorId="4F39A087" id="46feecbe-aa3c-11ea-a756-beb5f67e67be" o:spid="_x0000_s1033" type="#_x0000_t202" style="position:absolute;margin-left:466.25pt;margin-top:802.75pt;width:101.25pt;height:12.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A3622F4" w14:textId="68893AE3" w:rsidR="00F6289B" w:rsidRDefault="00F6289B">
                    <w:pPr>
                      <w:pStyle w:val="Referentiegegevens"/>
                    </w:pPr>
                    <w:r>
                      <w:t xml:space="preserve">Pagina </w:t>
                    </w:r>
                    <w:r>
                      <w:fldChar w:fldCharType="begin"/>
                    </w:r>
                    <w:r>
                      <w:instrText>PAGE</w:instrText>
                    </w:r>
                    <w:r>
                      <w:fldChar w:fldCharType="separate"/>
                    </w:r>
                    <w:r w:rsidR="00016F71">
                      <w:rPr>
                        <w:noProof/>
                      </w:rPr>
                      <w:t>1</w:t>
                    </w:r>
                    <w:r>
                      <w:fldChar w:fldCharType="end"/>
                    </w:r>
                    <w:r>
                      <w:t xml:space="preserve"> van </w:t>
                    </w:r>
                    <w:r>
                      <w:fldChar w:fldCharType="begin"/>
                    </w:r>
                    <w:r>
                      <w:instrText>NUMPAGES</w:instrText>
                    </w:r>
                    <w:r>
                      <w:fldChar w:fldCharType="separate"/>
                    </w:r>
                    <w:r w:rsidR="00016F71">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0809D25" wp14:editId="61194F4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77B619F" w14:textId="77777777" w:rsidR="00F6289B" w:rsidRDefault="00F6289B">
                          <w:pPr>
                            <w:spacing w:line="240" w:lineRule="auto"/>
                          </w:pPr>
                          <w:r>
                            <w:rPr>
                              <w:noProof/>
                            </w:rPr>
                            <w:drawing>
                              <wp:inline distT="0" distB="0" distL="0" distR="0" wp14:anchorId="6B55F08A" wp14:editId="5AF9BE5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809D25" id="46feed0e-aa3c-11ea-a756-beb5f67e67be" o:spid="_x0000_s1034"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77B619F" w14:textId="77777777" w:rsidR="00F6289B" w:rsidRDefault="00F6289B">
                    <w:pPr>
                      <w:spacing w:line="240" w:lineRule="auto"/>
                    </w:pPr>
                    <w:r>
                      <w:rPr>
                        <w:noProof/>
                      </w:rPr>
                      <w:drawing>
                        <wp:inline distT="0" distB="0" distL="0" distR="0" wp14:anchorId="6B55F08A" wp14:editId="5AF9BE5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302875F" wp14:editId="3310182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3F8308" w14:textId="77777777" w:rsidR="00F6289B" w:rsidRDefault="00F6289B">
                          <w:pPr>
                            <w:spacing w:line="240" w:lineRule="auto"/>
                          </w:pPr>
                          <w:r>
                            <w:rPr>
                              <w:noProof/>
                            </w:rPr>
                            <w:drawing>
                              <wp:inline distT="0" distB="0" distL="0" distR="0" wp14:anchorId="3A07F223" wp14:editId="5DE0FD1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02875F" id="46feed67-aa3c-11ea-a756-beb5f67e67be" o:spid="_x0000_s1035"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C3F8308" w14:textId="77777777" w:rsidR="00F6289B" w:rsidRDefault="00F6289B">
                    <w:pPr>
                      <w:spacing w:line="240" w:lineRule="auto"/>
                    </w:pPr>
                    <w:r>
                      <w:rPr>
                        <w:noProof/>
                      </w:rPr>
                      <w:drawing>
                        <wp:inline distT="0" distB="0" distL="0" distR="0" wp14:anchorId="3A07F223" wp14:editId="5DE0FD1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B7ABB47" wp14:editId="7E6F4DF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01B5A0" w14:textId="2E086176" w:rsidR="00F6289B" w:rsidRDefault="00F6289B">
                          <w:pPr>
                            <w:pStyle w:val="Referentiegegevens"/>
                          </w:pPr>
                        </w:p>
                      </w:txbxContent>
                    </wps:txbx>
                    <wps:bodyPr vert="horz" wrap="square" lIns="0" tIns="0" rIns="0" bIns="0" anchor="t" anchorCtr="0"/>
                  </wps:wsp>
                </a:graphicData>
              </a:graphic>
            </wp:anchor>
          </w:drawing>
        </mc:Choice>
        <mc:Fallback>
          <w:pict>
            <v:shape w14:anchorId="0B7ABB47" id="5920b9fb-d041-4aa9-8d80-26b233cc0f6e" o:spid="_x0000_s1036" type="#_x0000_t202" style="position:absolute;margin-left:79.6pt;margin-top:135.45pt;width:377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801B5A0" w14:textId="2E086176" w:rsidR="00F6289B" w:rsidRDefault="00F6289B">
                    <w:pPr>
                      <w:pStyle w:val="Referentiegegeven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594A54"/>
    <w:multiLevelType w:val="multilevel"/>
    <w:tmpl w:val="4EA36B6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25A54E9"/>
    <w:multiLevelType w:val="hybridMultilevel"/>
    <w:tmpl w:val="90C44D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A3C60C9"/>
    <w:multiLevelType w:val="hybridMultilevel"/>
    <w:tmpl w:val="8B64EB8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2556AF3"/>
    <w:multiLevelType w:val="hybridMultilevel"/>
    <w:tmpl w:val="4FEC72A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57D5CCF"/>
    <w:multiLevelType w:val="hybridMultilevel"/>
    <w:tmpl w:val="D7AC997E"/>
    <w:lvl w:ilvl="0" w:tplc="04130011">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5" w15:restartNumberingAfterBreak="0">
    <w:nsid w:val="2664E2C5"/>
    <w:multiLevelType w:val="multilevel"/>
    <w:tmpl w:val="CB84C4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1239284"/>
    <w:multiLevelType w:val="multilevel"/>
    <w:tmpl w:val="B5D58B3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4DF568DA"/>
    <w:multiLevelType w:val="multilevel"/>
    <w:tmpl w:val="22F951C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57C07A19"/>
    <w:multiLevelType w:val="multilevel"/>
    <w:tmpl w:val="88F8C9B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66A95C3D"/>
    <w:multiLevelType w:val="multilevel"/>
    <w:tmpl w:val="E0BAB74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6FE908CA"/>
    <w:multiLevelType w:val="hybridMultilevel"/>
    <w:tmpl w:val="233E881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41299570">
    <w:abstractNumId w:val="0"/>
  </w:num>
  <w:num w:numId="2" w16cid:durableId="601036356">
    <w:abstractNumId w:val="7"/>
  </w:num>
  <w:num w:numId="3" w16cid:durableId="787966822">
    <w:abstractNumId w:val="9"/>
  </w:num>
  <w:num w:numId="4" w16cid:durableId="451705984">
    <w:abstractNumId w:val="5"/>
  </w:num>
  <w:num w:numId="5" w16cid:durableId="902252844">
    <w:abstractNumId w:val="8"/>
  </w:num>
  <w:num w:numId="6" w16cid:durableId="397168259">
    <w:abstractNumId w:val="6"/>
  </w:num>
  <w:num w:numId="7" w16cid:durableId="2105296301">
    <w:abstractNumId w:val="3"/>
  </w:num>
  <w:num w:numId="8" w16cid:durableId="847060716">
    <w:abstractNumId w:val="2"/>
  </w:num>
  <w:num w:numId="9" w16cid:durableId="1721905294">
    <w:abstractNumId w:val="4"/>
  </w:num>
  <w:num w:numId="10" w16cid:durableId="521936837">
    <w:abstractNumId w:val="10"/>
  </w:num>
  <w:num w:numId="11" w16cid:durableId="237325386">
    <w:abstractNumId w:val="1"/>
  </w:num>
  <w:num w:numId="12" w16cid:durableId="370082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86"/>
    <w:rsid w:val="00004A53"/>
    <w:rsid w:val="00006BBC"/>
    <w:rsid w:val="0001088E"/>
    <w:rsid w:val="00013174"/>
    <w:rsid w:val="000137FA"/>
    <w:rsid w:val="00016F71"/>
    <w:rsid w:val="00021914"/>
    <w:rsid w:val="00024312"/>
    <w:rsid w:val="0002791F"/>
    <w:rsid w:val="00030793"/>
    <w:rsid w:val="0004130B"/>
    <w:rsid w:val="00080A40"/>
    <w:rsid w:val="00083489"/>
    <w:rsid w:val="00084886"/>
    <w:rsid w:val="000D5AF8"/>
    <w:rsid w:val="000D6B20"/>
    <w:rsid w:val="000D6E56"/>
    <w:rsid w:val="000D70EA"/>
    <w:rsid w:val="000E019F"/>
    <w:rsid w:val="00106F25"/>
    <w:rsid w:val="00130EA4"/>
    <w:rsid w:val="001402B9"/>
    <w:rsid w:val="00142F7C"/>
    <w:rsid w:val="00154188"/>
    <w:rsid w:val="00164D86"/>
    <w:rsid w:val="00176AAE"/>
    <w:rsid w:val="00190CFF"/>
    <w:rsid w:val="001954FC"/>
    <w:rsid w:val="001A56C8"/>
    <w:rsid w:val="001A5D0F"/>
    <w:rsid w:val="001B0E82"/>
    <w:rsid w:val="001D2096"/>
    <w:rsid w:val="001D4FCE"/>
    <w:rsid w:val="001E1693"/>
    <w:rsid w:val="00222EF5"/>
    <w:rsid w:val="0023357C"/>
    <w:rsid w:val="00236151"/>
    <w:rsid w:val="002368C4"/>
    <w:rsid w:val="0023755A"/>
    <w:rsid w:val="00240E0A"/>
    <w:rsid w:val="00244138"/>
    <w:rsid w:val="002462D1"/>
    <w:rsid w:val="00252F25"/>
    <w:rsid w:val="00255A41"/>
    <w:rsid w:val="002745F4"/>
    <w:rsid w:val="00285611"/>
    <w:rsid w:val="002879C0"/>
    <w:rsid w:val="00292547"/>
    <w:rsid w:val="002B3DF8"/>
    <w:rsid w:val="002C68D0"/>
    <w:rsid w:val="002D46DC"/>
    <w:rsid w:val="003038A1"/>
    <w:rsid w:val="00303D01"/>
    <w:rsid w:val="00321540"/>
    <w:rsid w:val="00322171"/>
    <w:rsid w:val="00324B15"/>
    <w:rsid w:val="00326152"/>
    <w:rsid w:val="00326CD1"/>
    <w:rsid w:val="00326E91"/>
    <w:rsid w:val="00342B0F"/>
    <w:rsid w:val="00372FAB"/>
    <w:rsid w:val="00376FD4"/>
    <w:rsid w:val="003847BB"/>
    <w:rsid w:val="00392622"/>
    <w:rsid w:val="00396045"/>
    <w:rsid w:val="003A0F1D"/>
    <w:rsid w:val="003A2BFE"/>
    <w:rsid w:val="003A4841"/>
    <w:rsid w:val="003B2094"/>
    <w:rsid w:val="003B37AA"/>
    <w:rsid w:val="003B7020"/>
    <w:rsid w:val="003D4D2D"/>
    <w:rsid w:val="003E7051"/>
    <w:rsid w:val="003E7280"/>
    <w:rsid w:val="00415120"/>
    <w:rsid w:val="00436EF2"/>
    <w:rsid w:val="004426EA"/>
    <w:rsid w:val="00454126"/>
    <w:rsid w:val="004662BD"/>
    <w:rsid w:val="00471E27"/>
    <w:rsid w:val="0048320E"/>
    <w:rsid w:val="00496A11"/>
    <w:rsid w:val="004A2EB3"/>
    <w:rsid w:val="004A79A8"/>
    <w:rsid w:val="004C4520"/>
    <w:rsid w:val="004E0137"/>
    <w:rsid w:val="004F49BD"/>
    <w:rsid w:val="004F64BF"/>
    <w:rsid w:val="005041DA"/>
    <w:rsid w:val="005049CD"/>
    <w:rsid w:val="00507B21"/>
    <w:rsid w:val="0051797C"/>
    <w:rsid w:val="005245AF"/>
    <w:rsid w:val="00547B02"/>
    <w:rsid w:val="005500CF"/>
    <w:rsid w:val="00553BE8"/>
    <w:rsid w:val="00582228"/>
    <w:rsid w:val="00583E5A"/>
    <w:rsid w:val="005941EF"/>
    <w:rsid w:val="005C34D7"/>
    <w:rsid w:val="005D266D"/>
    <w:rsid w:val="005E6E8B"/>
    <w:rsid w:val="005F3496"/>
    <w:rsid w:val="0060105C"/>
    <w:rsid w:val="006241D8"/>
    <w:rsid w:val="00650D90"/>
    <w:rsid w:val="00654E03"/>
    <w:rsid w:val="00663A33"/>
    <w:rsid w:val="0067440A"/>
    <w:rsid w:val="00675A59"/>
    <w:rsid w:val="006C74F3"/>
    <w:rsid w:val="006C75F3"/>
    <w:rsid w:val="006D7D3B"/>
    <w:rsid w:val="006E08B1"/>
    <w:rsid w:val="006F08BD"/>
    <w:rsid w:val="006F1536"/>
    <w:rsid w:val="006F3EC9"/>
    <w:rsid w:val="006F59E9"/>
    <w:rsid w:val="006F65E7"/>
    <w:rsid w:val="006F7EE0"/>
    <w:rsid w:val="00712C03"/>
    <w:rsid w:val="00713A9E"/>
    <w:rsid w:val="007164BA"/>
    <w:rsid w:val="0072098E"/>
    <w:rsid w:val="0074319E"/>
    <w:rsid w:val="00757483"/>
    <w:rsid w:val="00772FE5"/>
    <w:rsid w:val="00773630"/>
    <w:rsid w:val="007816E3"/>
    <w:rsid w:val="00785AE0"/>
    <w:rsid w:val="00793399"/>
    <w:rsid w:val="007A01F0"/>
    <w:rsid w:val="007A4124"/>
    <w:rsid w:val="007A54E1"/>
    <w:rsid w:val="007B2D29"/>
    <w:rsid w:val="007B4E31"/>
    <w:rsid w:val="007B722A"/>
    <w:rsid w:val="007D13C2"/>
    <w:rsid w:val="007D16D9"/>
    <w:rsid w:val="007E5933"/>
    <w:rsid w:val="007E75B5"/>
    <w:rsid w:val="008029D1"/>
    <w:rsid w:val="008101AD"/>
    <w:rsid w:val="008172D9"/>
    <w:rsid w:val="008173AA"/>
    <w:rsid w:val="00825499"/>
    <w:rsid w:val="008361A5"/>
    <w:rsid w:val="00847E21"/>
    <w:rsid w:val="00855B56"/>
    <w:rsid w:val="008563D1"/>
    <w:rsid w:val="00886432"/>
    <w:rsid w:val="008B237B"/>
    <w:rsid w:val="008B79F8"/>
    <w:rsid w:val="008C7AEC"/>
    <w:rsid w:val="008D3265"/>
    <w:rsid w:val="008E39A0"/>
    <w:rsid w:val="00900367"/>
    <w:rsid w:val="009150D3"/>
    <w:rsid w:val="00925B30"/>
    <w:rsid w:val="0094454C"/>
    <w:rsid w:val="00953BF0"/>
    <w:rsid w:val="00957CBA"/>
    <w:rsid w:val="009721F0"/>
    <w:rsid w:val="0097239C"/>
    <w:rsid w:val="00981B01"/>
    <w:rsid w:val="00985B66"/>
    <w:rsid w:val="00993A08"/>
    <w:rsid w:val="009B1C5B"/>
    <w:rsid w:val="009B36DB"/>
    <w:rsid w:val="009B768B"/>
    <w:rsid w:val="009C49B7"/>
    <w:rsid w:val="009D3B1E"/>
    <w:rsid w:val="009E0930"/>
    <w:rsid w:val="009F5837"/>
    <w:rsid w:val="00A04829"/>
    <w:rsid w:val="00A068E8"/>
    <w:rsid w:val="00A1336E"/>
    <w:rsid w:val="00A177A3"/>
    <w:rsid w:val="00A23EB2"/>
    <w:rsid w:val="00A262F1"/>
    <w:rsid w:val="00A534A9"/>
    <w:rsid w:val="00A62BED"/>
    <w:rsid w:val="00A635D1"/>
    <w:rsid w:val="00A6783C"/>
    <w:rsid w:val="00A71D8F"/>
    <w:rsid w:val="00A87D4F"/>
    <w:rsid w:val="00AB2F78"/>
    <w:rsid w:val="00AB769A"/>
    <w:rsid w:val="00AD2CCB"/>
    <w:rsid w:val="00AD3BE9"/>
    <w:rsid w:val="00AF197E"/>
    <w:rsid w:val="00AF46FC"/>
    <w:rsid w:val="00B04378"/>
    <w:rsid w:val="00B163A6"/>
    <w:rsid w:val="00B17676"/>
    <w:rsid w:val="00B20786"/>
    <w:rsid w:val="00B25B4F"/>
    <w:rsid w:val="00B32E6E"/>
    <w:rsid w:val="00B35866"/>
    <w:rsid w:val="00B3629B"/>
    <w:rsid w:val="00B50492"/>
    <w:rsid w:val="00B640E3"/>
    <w:rsid w:val="00B65A6A"/>
    <w:rsid w:val="00B71BA1"/>
    <w:rsid w:val="00B81274"/>
    <w:rsid w:val="00BA5B27"/>
    <w:rsid w:val="00BB746E"/>
    <w:rsid w:val="00BD0C49"/>
    <w:rsid w:val="00BD13D0"/>
    <w:rsid w:val="00BD1895"/>
    <w:rsid w:val="00C05366"/>
    <w:rsid w:val="00C177AB"/>
    <w:rsid w:val="00C21172"/>
    <w:rsid w:val="00C32FAD"/>
    <w:rsid w:val="00C35DCF"/>
    <w:rsid w:val="00C45A18"/>
    <w:rsid w:val="00C45C13"/>
    <w:rsid w:val="00C555B8"/>
    <w:rsid w:val="00C5687C"/>
    <w:rsid w:val="00C7770B"/>
    <w:rsid w:val="00CA088B"/>
    <w:rsid w:val="00CB11EB"/>
    <w:rsid w:val="00CF035E"/>
    <w:rsid w:val="00CF210E"/>
    <w:rsid w:val="00CF6F7F"/>
    <w:rsid w:val="00D02740"/>
    <w:rsid w:val="00D21CD9"/>
    <w:rsid w:val="00D46BCF"/>
    <w:rsid w:val="00D51A24"/>
    <w:rsid w:val="00D54388"/>
    <w:rsid w:val="00D63304"/>
    <w:rsid w:val="00D71D9E"/>
    <w:rsid w:val="00D76BC0"/>
    <w:rsid w:val="00D80F73"/>
    <w:rsid w:val="00D922E2"/>
    <w:rsid w:val="00DB486E"/>
    <w:rsid w:val="00DB6ECF"/>
    <w:rsid w:val="00DC3894"/>
    <w:rsid w:val="00DF3B7F"/>
    <w:rsid w:val="00E01219"/>
    <w:rsid w:val="00E055D9"/>
    <w:rsid w:val="00E0740F"/>
    <w:rsid w:val="00E112E0"/>
    <w:rsid w:val="00E2102E"/>
    <w:rsid w:val="00E35C95"/>
    <w:rsid w:val="00E4357D"/>
    <w:rsid w:val="00E47277"/>
    <w:rsid w:val="00E52555"/>
    <w:rsid w:val="00E626E5"/>
    <w:rsid w:val="00E7019E"/>
    <w:rsid w:val="00E73E38"/>
    <w:rsid w:val="00EB51D2"/>
    <w:rsid w:val="00EC0F7F"/>
    <w:rsid w:val="00EC202B"/>
    <w:rsid w:val="00EC6B5C"/>
    <w:rsid w:val="00ED5C64"/>
    <w:rsid w:val="00EE09E5"/>
    <w:rsid w:val="00EF19FD"/>
    <w:rsid w:val="00EF4967"/>
    <w:rsid w:val="00EF627C"/>
    <w:rsid w:val="00F019F5"/>
    <w:rsid w:val="00F173DE"/>
    <w:rsid w:val="00F329AF"/>
    <w:rsid w:val="00F370DF"/>
    <w:rsid w:val="00F55614"/>
    <w:rsid w:val="00F6289B"/>
    <w:rsid w:val="00F7170B"/>
    <w:rsid w:val="00FC2156"/>
    <w:rsid w:val="00FD0ADE"/>
    <w:rsid w:val="00FD1645"/>
    <w:rsid w:val="00FE6A82"/>
    <w:rsid w:val="00FF26C6"/>
    <w:rsid w:val="00FF5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0"/>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64D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4D86"/>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164D86"/>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unhideWhenUsed/>
    <w:qFormat/>
    <w:rsid w:val="00164D86"/>
    <w:pPr>
      <w:spacing w:line="240" w:lineRule="auto"/>
    </w:pPr>
    <w:rPr>
      <w:sz w:val="20"/>
      <w:szCs w:val="20"/>
    </w:rPr>
  </w:style>
  <w:style w:type="character" w:customStyle="1" w:styleId="VoetnoottekstChar">
    <w:name w:val="Voetnoottekst Char"/>
    <w:basedOn w:val="Standaardalinea-lettertype"/>
    <w:link w:val="Voetnoottekst"/>
    <w:uiPriority w:val="99"/>
    <w:qFormat/>
    <w:rsid w:val="00164D86"/>
    <w:rPr>
      <w:rFonts w:ascii="Verdana" w:hAnsi="Verdana"/>
      <w:color w:val="000000"/>
    </w:rPr>
  </w:style>
  <w:style w:type="character" w:styleId="Voetnootmarkering">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Standaardalinea-lettertype"/>
    <w:uiPriority w:val="99"/>
    <w:unhideWhenUsed/>
    <w:qFormat/>
    <w:rsid w:val="00164D86"/>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164D86"/>
    <w:rPr>
      <w:rFonts w:asciiTheme="minorHAnsi" w:eastAsiaTheme="minorHAnsi" w:hAnsiTheme="minorHAnsi" w:cstheme="minorBidi"/>
      <w:kern w:val="2"/>
      <w:sz w:val="22"/>
      <w:szCs w:val="22"/>
      <w:lang w:eastAsia="en-US"/>
      <w14:ligatures w14:val="standardContextual"/>
    </w:rPr>
  </w:style>
  <w:style w:type="paragraph" w:styleId="Geenafstand">
    <w:name w:val="No Spacing"/>
    <w:uiPriority w:val="1"/>
    <w:qFormat/>
    <w:rsid w:val="00164D86"/>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F329A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6783C"/>
    <w:rPr>
      <w:sz w:val="16"/>
      <w:szCs w:val="16"/>
    </w:rPr>
  </w:style>
  <w:style w:type="paragraph" w:styleId="Tekstopmerking">
    <w:name w:val="annotation text"/>
    <w:basedOn w:val="Standaard"/>
    <w:link w:val="TekstopmerkingChar"/>
    <w:uiPriority w:val="99"/>
    <w:unhideWhenUsed/>
    <w:rsid w:val="00A6783C"/>
    <w:pPr>
      <w:spacing w:line="240" w:lineRule="auto"/>
    </w:pPr>
    <w:rPr>
      <w:sz w:val="20"/>
      <w:szCs w:val="20"/>
    </w:rPr>
  </w:style>
  <w:style w:type="character" w:customStyle="1" w:styleId="TekstopmerkingChar">
    <w:name w:val="Tekst opmerking Char"/>
    <w:basedOn w:val="Standaardalinea-lettertype"/>
    <w:link w:val="Tekstopmerking"/>
    <w:uiPriority w:val="99"/>
    <w:rsid w:val="00A6783C"/>
    <w:rPr>
      <w:rFonts w:ascii="Verdana" w:hAnsi="Verdana"/>
      <w:color w:val="000000"/>
    </w:rPr>
  </w:style>
  <w:style w:type="paragraph" w:styleId="Ballontekst">
    <w:name w:val="Balloon Text"/>
    <w:basedOn w:val="Standaard"/>
    <w:link w:val="BallontekstChar"/>
    <w:uiPriority w:val="99"/>
    <w:semiHidden/>
    <w:unhideWhenUsed/>
    <w:rsid w:val="0001317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13174"/>
    <w:rPr>
      <w:rFonts w:ascii="Segoe UI" w:hAnsi="Segoe UI" w:cs="Segoe UI"/>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9150D3"/>
    <w:rPr>
      <w:b/>
      <w:bCs/>
    </w:rPr>
  </w:style>
  <w:style w:type="character" w:customStyle="1" w:styleId="OnderwerpvanopmerkingChar">
    <w:name w:val="Onderwerp van opmerking Char"/>
    <w:basedOn w:val="TekstopmerkingChar"/>
    <w:link w:val="Onderwerpvanopmerking"/>
    <w:uiPriority w:val="99"/>
    <w:semiHidden/>
    <w:rsid w:val="009150D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7174">
      <w:bodyDiv w:val="1"/>
      <w:marLeft w:val="0"/>
      <w:marRight w:val="0"/>
      <w:marTop w:val="0"/>
      <w:marBottom w:val="0"/>
      <w:divBdr>
        <w:top w:val="none" w:sz="0" w:space="0" w:color="auto"/>
        <w:left w:val="none" w:sz="0" w:space="0" w:color="auto"/>
        <w:bottom w:val="none" w:sz="0" w:space="0" w:color="auto"/>
        <w:right w:val="none" w:sz="0" w:space="0" w:color="auto"/>
      </w:divBdr>
    </w:div>
    <w:div w:id="341324493">
      <w:bodyDiv w:val="1"/>
      <w:marLeft w:val="0"/>
      <w:marRight w:val="0"/>
      <w:marTop w:val="0"/>
      <w:marBottom w:val="0"/>
      <w:divBdr>
        <w:top w:val="none" w:sz="0" w:space="0" w:color="auto"/>
        <w:left w:val="none" w:sz="0" w:space="0" w:color="auto"/>
        <w:bottom w:val="none" w:sz="0" w:space="0" w:color="auto"/>
        <w:right w:val="none" w:sz="0" w:space="0" w:color="auto"/>
      </w:divBdr>
    </w:div>
    <w:div w:id="904608383">
      <w:bodyDiv w:val="1"/>
      <w:marLeft w:val="0"/>
      <w:marRight w:val="0"/>
      <w:marTop w:val="0"/>
      <w:marBottom w:val="0"/>
      <w:divBdr>
        <w:top w:val="none" w:sz="0" w:space="0" w:color="auto"/>
        <w:left w:val="none" w:sz="0" w:space="0" w:color="auto"/>
        <w:bottom w:val="none" w:sz="0" w:space="0" w:color="auto"/>
        <w:right w:val="none" w:sz="0" w:space="0" w:color="auto"/>
      </w:divBdr>
    </w:div>
    <w:div w:id="920871801">
      <w:bodyDiv w:val="1"/>
      <w:marLeft w:val="0"/>
      <w:marRight w:val="0"/>
      <w:marTop w:val="0"/>
      <w:marBottom w:val="0"/>
      <w:divBdr>
        <w:top w:val="none" w:sz="0" w:space="0" w:color="auto"/>
        <w:left w:val="none" w:sz="0" w:space="0" w:color="auto"/>
        <w:bottom w:val="none" w:sz="0" w:space="0" w:color="auto"/>
        <w:right w:val="none" w:sz="0" w:space="0" w:color="auto"/>
      </w:divBdr>
    </w:div>
    <w:div w:id="990791385">
      <w:bodyDiv w:val="1"/>
      <w:marLeft w:val="0"/>
      <w:marRight w:val="0"/>
      <w:marTop w:val="0"/>
      <w:marBottom w:val="0"/>
      <w:divBdr>
        <w:top w:val="none" w:sz="0" w:space="0" w:color="auto"/>
        <w:left w:val="none" w:sz="0" w:space="0" w:color="auto"/>
        <w:bottom w:val="none" w:sz="0" w:space="0" w:color="auto"/>
        <w:right w:val="none" w:sz="0" w:space="0" w:color="auto"/>
      </w:divBdr>
    </w:div>
    <w:div w:id="1122571487">
      <w:bodyDiv w:val="1"/>
      <w:marLeft w:val="0"/>
      <w:marRight w:val="0"/>
      <w:marTop w:val="0"/>
      <w:marBottom w:val="0"/>
      <w:divBdr>
        <w:top w:val="none" w:sz="0" w:space="0" w:color="auto"/>
        <w:left w:val="none" w:sz="0" w:space="0" w:color="auto"/>
        <w:bottom w:val="none" w:sz="0" w:space="0" w:color="auto"/>
        <w:right w:val="none" w:sz="0" w:space="0" w:color="auto"/>
      </w:divBdr>
    </w:div>
    <w:div w:id="1126656978">
      <w:bodyDiv w:val="1"/>
      <w:marLeft w:val="0"/>
      <w:marRight w:val="0"/>
      <w:marTop w:val="0"/>
      <w:marBottom w:val="0"/>
      <w:divBdr>
        <w:top w:val="none" w:sz="0" w:space="0" w:color="auto"/>
        <w:left w:val="none" w:sz="0" w:space="0" w:color="auto"/>
        <w:bottom w:val="none" w:sz="0" w:space="0" w:color="auto"/>
        <w:right w:val="none" w:sz="0" w:space="0" w:color="auto"/>
      </w:divBdr>
    </w:div>
    <w:div w:id="1656370230">
      <w:bodyDiv w:val="1"/>
      <w:marLeft w:val="0"/>
      <w:marRight w:val="0"/>
      <w:marTop w:val="0"/>
      <w:marBottom w:val="0"/>
      <w:divBdr>
        <w:top w:val="none" w:sz="0" w:space="0" w:color="auto"/>
        <w:left w:val="none" w:sz="0" w:space="0" w:color="auto"/>
        <w:bottom w:val="none" w:sz="0" w:space="0" w:color="auto"/>
        <w:right w:val="none" w:sz="0" w:space="0" w:color="auto"/>
      </w:divBdr>
    </w:div>
    <w:div w:id="1781683778">
      <w:bodyDiv w:val="1"/>
      <w:marLeft w:val="0"/>
      <w:marRight w:val="0"/>
      <w:marTop w:val="0"/>
      <w:marBottom w:val="0"/>
      <w:divBdr>
        <w:top w:val="none" w:sz="0" w:space="0" w:color="auto"/>
        <w:left w:val="none" w:sz="0" w:space="0" w:color="auto"/>
        <w:bottom w:val="none" w:sz="0" w:space="0" w:color="auto"/>
        <w:right w:val="none" w:sz="0" w:space="0" w:color="auto"/>
      </w:divBdr>
    </w:div>
    <w:div w:id="1908876233">
      <w:bodyDiv w:val="1"/>
      <w:marLeft w:val="0"/>
      <w:marRight w:val="0"/>
      <w:marTop w:val="0"/>
      <w:marBottom w:val="0"/>
      <w:divBdr>
        <w:top w:val="none" w:sz="0" w:space="0" w:color="auto"/>
        <w:left w:val="none" w:sz="0" w:space="0" w:color="auto"/>
        <w:bottom w:val="none" w:sz="0" w:space="0" w:color="auto"/>
        <w:right w:val="none" w:sz="0" w:space="0" w:color="auto"/>
      </w:divBdr>
    </w:div>
    <w:div w:id="2066875238">
      <w:bodyDiv w:val="1"/>
      <w:marLeft w:val="0"/>
      <w:marRight w:val="0"/>
      <w:marTop w:val="0"/>
      <w:marBottom w:val="0"/>
      <w:divBdr>
        <w:top w:val="none" w:sz="0" w:space="0" w:color="auto"/>
        <w:left w:val="none" w:sz="0" w:space="0" w:color="auto"/>
        <w:bottom w:val="none" w:sz="0" w:space="0" w:color="auto"/>
        <w:right w:val="none" w:sz="0" w:space="0" w:color="auto"/>
      </w:divBdr>
    </w:div>
    <w:div w:id="2074499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webSetting" Target="webSettings0.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1828</ap:Words>
  <ap:Characters>10056</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2025-07-11T13:25:00.0000000Z</dcterms:created>
  <dcterms:modified xsi:type="dcterms:W3CDTF">2025-07-11T14:02:00.0000000Z</dcterms:modified>
  <dc:description>------------------------</dc:description>
  <dc:subject/>
  <keywords/>
  <version/>
  <category/>
</coreProperties>
</file>