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F0E" w:rsidP="00EE6F0E" w:rsidRDefault="00EE6F0E" w14:paraId="2E04D98E" w14:textId="0D956FC7">
      <w:pPr>
        <w:autoSpaceDE w:val="0"/>
        <w:adjustRightInd w:val="0"/>
        <w:spacing w:line="240" w:lineRule="auto"/>
        <w:rPr>
          <w:rFonts w:eastAsia="DejaVuSerifCondensed" w:cs="DejaVuSerifCondensed"/>
          <w:b/>
          <w:bCs/>
        </w:rPr>
      </w:pPr>
      <w:r>
        <w:rPr>
          <w:rFonts w:eastAsia="DejaVuSerifCondensed" w:cs="DejaVuSerifCondensed"/>
          <w:b/>
          <w:bCs/>
        </w:rPr>
        <w:t>AH 2718</w:t>
      </w:r>
    </w:p>
    <w:p w:rsidR="00EE6F0E" w:rsidP="00EE6F0E" w:rsidRDefault="00EE6F0E" w14:paraId="17BE8DF3" w14:textId="4DE96A47">
      <w:pPr>
        <w:autoSpaceDE w:val="0"/>
        <w:adjustRightInd w:val="0"/>
        <w:spacing w:line="240" w:lineRule="auto"/>
        <w:rPr>
          <w:rFonts w:eastAsia="DejaVuSerifCondensed" w:cs="DejaVuSerifCondensed"/>
          <w:b/>
          <w:bCs/>
        </w:rPr>
      </w:pPr>
      <w:r>
        <w:rPr>
          <w:rFonts w:eastAsia="DejaVuSerifCondensed" w:cs="DejaVuSerifCondensed"/>
          <w:b/>
          <w:bCs/>
        </w:rPr>
        <w:t>2025Z10599</w:t>
      </w:r>
    </w:p>
    <w:p w:rsidR="00EE6F0E" w:rsidP="00EE6F0E" w:rsidRDefault="00EE6F0E" w14:paraId="0545F594" w14:textId="728EBF53">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11 juli 2025)</w:t>
      </w:r>
    </w:p>
    <w:p w:rsidRPr="00EE6F0E" w:rsidR="00EE6F0E" w:rsidP="00EE6F0E" w:rsidRDefault="00EE6F0E" w14:paraId="0C9F8362" w14:textId="08B295AE">
      <w:pPr>
        <w:rPr>
          <w:rFonts w:ascii="Times New Roman" w:hAnsi="Times New Roman"/>
          <w:bCs/>
          <w:sz w:val="24"/>
          <w:szCs w:val="24"/>
        </w:rPr>
      </w:pPr>
      <w:r w:rsidRPr="00EE6F0E">
        <w:rPr>
          <w:rFonts w:ascii="Times New Roman" w:hAnsi="Times New Roman"/>
          <w:bCs/>
          <w:sz w:val="24"/>
          <w:szCs w:val="24"/>
        </w:rPr>
        <w:t>Zie ook Aanhangsel Handelingen, vergaderjaar 2024-2025, nr.</w:t>
      </w:r>
      <w:r>
        <w:rPr>
          <w:rFonts w:ascii="Times New Roman" w:hAnsi="Times New Roman"/>
          <w:bCs/>
          <w:sz w:val="24"/>
          <w:szCs w:val="24"/>
        </w:rPr>
        <w:t xml:space="preserve"> 2472</w:t>
      </w:r>
    </w:p>
    <w:p w:rsidR="00EE6F0E" w:rsidP="00EE6F0E" w:rsidRDefault="00EE6F0E" w14:paraId="0B1AE040" w14:textId="77777777">
      <w:pPr>
        <w:autoSpaceDE w:val="0"/>
        <w:adjustRightInd w:val="0"/>
        <w:spacing w:line="240" w:lineRule="auto"/>
        <w:rPr>
          <w:rFonts w:eastAsia="DejaVuSerifCondensed" w:cs="DejaVuSerifCondensed"/>
          <w:b/>
          <w:bCs/>
        </w:rPr>
      </w:pPr>
    </w:p>
    <w:p w:rsidR="00EE6F0E" w:rsidP="00EE6F0E" w:rsidRDefault="00EE6F0E" w14:paraId="2119AB8D" w14:textId="77777777">
      <w:pPr>
        <w:autoSpaceDE w:val="0"/>
        <w:adjustRightInd w:val="0"/>
        <w:spacing w:line="240" w:lineRule="auto"/>
      </w:pPr>
      <w:r w:rsidRPr="0048250A">
        <w:rPr>
          <w:rFonts w:eastAsia="DejaVuSerifCondensed" w:cs="DejaVuSerifCondensed"/>
          <w:b/>
          <w:bCs/>
        </w:rPr>
        <w:t>Vraag 1</w:t>
      </w:r>
      <w:r w:rsidRPr="00B87167">
        <w:rPr>
          <w:rFonts w:eastAsia="DejaVuSerifCondensed" w:cs="DejaVuSerifCondensed"/>
        </w:rPr>
        <w:t xml:space="preserve"> </w:t>
      </w:r>
      <w:r w:rsidRPr="00B87167">
        <w:rPr>
          <w:rFonts w:eastAsia="DejaVuSerifCondensed" w:cs="DejaVuSerifCondensed"/>
        </w:rPr>
        <w:br/>
      </w:r>
      <w:r w:rsidRPr="00B637AB">
        <w:rPr>
          <w:rFonts w:eastAsia="DejaVuSerifCondensed" w:cs="DejaVuSerifCondensed"/>
          <w:b/>
          <w:bCs/>
        </w:rPr>
        <w:t>Bent u bekend met het bericht “’Gokgedupeerden’ willen hun geld terug van onlinecasino’s: maken ze een kans, ze drukten toch zelf op het knopje?”</w:t>
      </w:r>
      <w:r>
        <w:rPr>
          <w:rFonts w:eastAsia="DejaVuSerifCondensed" w:cs="DejaVuSerifCondensed"/>
        </w:rPr>
        <w:t xml:space="preserve"> </w:t>
      </w:r>
      <w:r>
        <w:rPr>
          <w:rStyle w:val="Voetnootmarkering"/>
          <w:rFonts w:eastAsia="DejaVuSerifCondensed" w:cs="DejaVuSerifCondensed"/>
        </w:rPr>
        <w:footnoteReference w:id="1"/>
      </w:r>
      <w:r>
        <w:rPr>
          <w:rFonts w:eastAsia="DejaVuSerifCondensed" w:cs="DejaVuSerifCondensed"/>
        </w:rPr>
        <w:t xml:space="preserve"> </w:t>
      </w:r>
      <w:r>
        <w:rPr>
          <w:rStyle w:val="Voetnootmarkering"/>
          <w:rFonts w:eastAsia="DejaVuSerifCondensed" w:cs="DejaVuSerifCondensed"/>
        </w:rPr>
        <w:footnoteReference w:id="2"/>
      </w:r>
    </w:p>
    <w:p w:rsidRPr="00B87167" w:rsidR="00EE6F0E" w:rsidP="00EE6F0E" w:rsidRDefault="00EE6F0E" w14:paraId="70D711D1" w14:textId="77777777">
      <w:pPr>
        <w:autoSpaceDE w:val="0"/>
        <w:adjustRightInd w:val="0"/>
        <w:spacing w:line="240" w:lineRule="auto"/>
        <w:rPr>
          <w:rFonts w:eastAsia="DejaVuSerifCondensed" w:cs="DejaVuSerifCondensed"/>
        </w:rPr>
      </w:pPr>
    </w:p>
    <w:p w:rsidRPr="0048250A" w:rsidR="00EE6F0E" w:rsidP="00EE6F0E" w:rsidRDefault="00EE6F0E" w14:paraId="05D377B7"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1</w:t>
      </w:r>
    </w:p>
    <w:p w:rsidR="00EE6F0E" w:rsidP="00EE6F0E" w:rsidRDefault="00EE6F0E" w14:paraId="1CA45377" w14:textId="77777777">
      <w:pPr>
        <w:autoSpaceDE w:val="0"/>
        <w:adjustRightInd w:val="0"/>
        <w:spacing w:line="240" w:lineRule="auto"/>
        <w:rPr>
          <w:rFonts w:eastAsia="DejaVuSerifCondensed" w:cs="DejaVuSerifCondensed"/>
        </w:rPr>
      </w:pPr>
      <w:r>
        <w:t>Ja.</w:t>
      </w:r>
    </w:p>
    <w:p w:rsidRPr="00B87167" w:rsidR="00EE6F0E" w:rsidP="00EE6F0E" w:rsidRDefault="00EE6F0E" w14:paraId="6722C79B" w14:textId="77777777">
      <w:pPr>
        <w:autoSpaceDE w:val="0"/>
        <w:adjustRightInd w:val="0"/>
        <w:spacing w:line="240" w:lineRule="auto"/>
        <w:rPr>
          <w:rFonts w:eastAsia="DejaVuSerifCondensed" w:cs="DejaVuSerifCondensed"/>
        </w:rPr>
      </w:pPr>
    </w:p>
    <w:p w:rsidRPr="0048250A" w:rsidR="00EE6F0E" w:rsidP="00EE6F0E" w:rsidRDefault="00EE6F0E" w14:paraId="3C507B2C"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2</w:t>
      </w:r>
    </w:p>
    <w:p w:rsidRPr="00B637AB" w:rsidR="00EE6F0E" w:rsidP="00EE6F0E" w:rsidRDefault="00EE6F0E" w14:paraId="7692161B" w14:textId="77777777">
      <w:pPr>
        <w:spacing w:line="240" w:lineRule="auto"/>
        <w:rPr>
          <w:b/>
          <w:bCs/>
        </w:rPr>
      </w:pPr>
      <w:r w:rsidRPr="00B637AB">
        <w:rPr>
          <w:b/>
          <w:bCs/>
        </w:rPr>
        <w:t>Kunt u reflecteren op het feit dat gokbedrijf Unibet in de periode voorafgaand aan de legalisering van de onlinekansspelmarkt in 2021 illegaal zeer actief was op de Nederlandse onlinegokmarkt, waarbij duizenden gokkers geld hebben verloren en Unibet hiervoor geen verantwoordelijkheid neemt?</w:t>
      </w:r>
    </w:p>
    <w:p w:rsidRPr="0048250A" w:rsidR="00EE6F0E" w:rsidP="00EE6F0E" w:rsidRDefault="00EE6F0E" w14:paraId="5D6702D1"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3</w:t>
      </w:r>
    </w:p>
    <w:p w:rsidRPr="00B637AB" w:rsidR="00EE6F0E" w:rsidP="00EE6F0E" w:rsidRDefault="00EE6F0E" w14:paraId="53E3F340" w14:textId="77777777">
      <w:pPr>
        <w:rPr>
          <w:b/>
          <w:bCs/>
        </w:rPr>
      </w:pPr>
      <w:r w:rsidRPr="00B637AB">
        <w:rPr>
          <w:b/>
          <w:bCs/>
        </w:rPr>
        <w:t>Vindt u het wenselijk dat gokbedrijven zoals Unibet, PokerStars en Bwin, die jarenlang illegaal online kansspelen hebben aangeboden in Nederland, hierna gewoon een vergunning kunnen krijgen voor de Nederlandse onlinegokmarkt? Zo ja, kunt u dat toelichten?</w:t>
      </w:r>
    </w:p>
    <w:p w:rsidR="00EE6F0E" w:rsidP="00EE6F0E" w:rsidRDefault="00EE6F0E" w14:paraId="6AF7CA98" w14:textId="77777777">
      <w:pPr>
        <w:spacing w:line="240" w:lineRule="auto"/>
      </w:pPr>
      <w:r w:rsidRPr="0048250A">
        <w:rPr>
          <w:rFonts w:eastAsia="DejaVuSerifCondensed" w:cs="DejaVuSerifCondensed"/>
          <w:b/>
          <w:bCs/>
        </w:rPr>
        <w:t>Antwoord op vra</w:t>
      </w:r>
      <w:r>
        <w:rPr>
          <w:rFonts w:eastAsia="DejaVuSerifCondensed" w:cs="DejaVuSerifCondensed"/>
          <w:b/>
          <w:bCs/>
        </w:rPr>
        <w:t>gen</w:t>
      </w:r>
      <w:r w:rsidRPr="0048250A">
        <w:rPr>
          <w:rFonts w:eastAsia="DejaVuSerifCondensed" w:cs="DejaVuSerifCondensed"/>
          <w:b/>
          <w:bCs/>
        </w:rPr>
        <w:t xml:space="preserve"> 2</w:t>
      </w:r>
      <w:r>
        <w:rPr>
          <w:rFonts w:eastAsia="DejaVuSerifCondensed" w:cs="DejaVuSerifCondensed"/>
          <w:b/>
          <w:bCs/>
        </w:rPr>
        <w:t xml:space="preserve"> en 3</w:t>
      </w:r>
      <w:r>
        <w:rPr>
          <w:rFonts w:eastAsia="DejaVuSerifCondensed" w:cs="DejaVuSerifCondensed"/>
          <w:b/>
          <w:bCs/>
        </w:rPr>
        <w:br/>
      </w:r>
      <w:r>
        <w:t>Ik vind het onwenselijk dat partijen zonder vergunning kansspelen aanbieden. Bij illegale aanbieders zijn geen waarborgen voor de bescherming van spelers. Dit heb ik eerder aangegeven in de beantwoording van Kamervragen, gesteld door de leden Van Nispen en Bikker op 14 januari jl.</w:t>
      </w:r>
      <w:r>
        <w:rPr>
          <w:rStyle w:val="Voetnootmarkering"/>
        </w:rPr>
        <w:footnoteReference w:id="3"/>
      </w:r>
      <w:r>
        <w:t xml:space="preserve"> Een belangrijke reden voor legalisering was om spelers waarborgen voor veilig spel en bescherming te kunnen bieden.</w:t>
      </w:r>
      <w:r>
        <w:rPr>
          <w:rStyle w:val="Voetnootmarkering"/>
        </w:rPr>
        <w:footnoteReference w:id="4"/>
      </w:r>
      <w:r w:rsidRPr="000F7CF9">
        <w:t xml:space="preserve"> Door de regulering van de</w:t>
      </w:r>
      <w:r>
        <w:t xml:space="preserve"> </w:t>
      </w:r>
      <w:r w:rsidRPr="000F7CF9">
        <w:t>online kansspelmarkt zijn er nu wettelijke normen waar vergunninghouders</w:t>
      </w:r>
      <w:r>
        <w:t xml:space="preserve"> </w:t>
      </w:r>
      <w:r w:rsidRPr="000F7CF9">
        <w:t>zich aan dienen te houden. Ook kan daardoor de Kansspelautoriteit (Ksa)</w:t>
      </w:r>
      <w:r>
        <w:t xml:space="preserve"> toezicht houden op de naleving binnen de gereguleerde </w:t>
      </w:r>
      <w:r>
        <w:lastRenderedPageBreak/>
        <w:t xml:space="preserve">markt en </w:t>
      </w:r>
      <w:r w:rsidRPr="000F7CF9">
        <w:t>ingrijpen wanneer de wet wordt overtreden</w:t>
      </w:r>
      <w:r>
        <w:t>, zowel binnen het gereguleerde aanbod als ook bij illegaal aanbod</w:t>
      </w:r>
      <w:r w:rsidRPr="000F7CF9">
        <w:t xml:space="preserve">. </w:t>
      </w:r>
    </w:p>
    <w:p w:rsidR="00EE6F0E" w:rsidP="00EE6F0E" w:rsidRDefault="00EE6F0E" w14:paraId="3F241C16" w14:textId="77777777">
      <w:pPr>
        <w:spacing w:line="240" w:lineRule="auto"/>
      </w:pPr>
      <w:r>
        <w:t>Tevens heb ik bij de beantwoording van voornoemde Kamervragen toegelicht dat de</w:t>
      </w:r>
      <w:r w:rsidRPr="00966FC3">
        <w:t xml:space="preserve"> aanvrager van een vergunning </w:t>
      </w:r>
      <w:r>
        <w:t>door de Ksa streng wordt</w:t>
      </w:r>
      <w:r w:rsidRPr="00966FC3">
        <w:t xml:space="preserve"> doorgelicht aan de hand van alle geldende criteria en vergunningseisen conform wet- en regelgeving</w:t>
      </w:r>
      <w:r>
        <w:t xml:space="preserve"> voordat tot afgifte van een vergunning voor kansspelen op afstand wordt overgegaan</w:t>
      </w:r>
      <w:r w:rsidRPr="00966FC3">
        <w:t>. Zonder in de beoordeling van deze casus te treden, geldt dat bij de totstandkoming van de Wet k</w:t>
      </w:r>
      <w:r>
        <w:t xml:space="preserve">ansspelen </w:t>
      </w:r>
      <w:r w:rsidRPr="00966FC3">
        <w:t>o</w:t>
      </w:r>
      <w:r>
        <w:t xml:space="preserve">p </w:t>
      </w:r>
      <w:r w:rsidRPr="00966FC3">
        <w:t>a</w:t>
      </w:r>
      <w:r>
        <w:t>fstand</w:t>
      </w:r>
      <w:r w:rsidRPr="00966FC3">
        <w:t xml:space="preserve"> is besloten dat zonder enige clementie voor aanbieders die in het verleden de wet hebben overtreden, een veilig gecontroleerd en attractief aanbod niet tot stand zou komen. </w:t>
      </w:r>
    </w:p>
    <w:p w:rsidR="00EE6F0E" w:rsidP="00EE6F0E" w:rsidRDefault="00EE6F0E" w14:paraId="67563D00" w14:textId="77777777">
      <w:pPr>
        <w:spacing w:line="240" w:lineRule="auto"/>
      </w:pPr>
      <w:r w:rsidRPr="00966FC3">
        <w:t>Om hier duidelijke grenzen aan te stellen, heeft de Ksa mede naar aanleiding van de motie Postema beleidsregels geïntroduceerd.</w:t>
      </w:r>
      <w:r w:rsidRPr="00966FC3">
        <w:rPr>
          <w:vertAlign w:val="superscript"/>
        </w:rPr>
        <w:t>4</w:t>
      </w:r>
      <w:r w:rsidRPr="00966FC3">
        <w:t xml:space="preserve"> </w:t>
      </w:r>
    </w:p>
    <w:p w:rsidR="00EE6F0E" w:rsidP="00EE6F0E" w:rsidRDefault="00EE6F0E" w14:paraId="726F0E00" w14:textId="77777777">
      <w:pPr>
        <w:spacing w:line="240" w:lineRule="auto"/>
      </w:pPr>
      <w:r>
        <w:t xml:space="preserve">Om voor de coulanceregeling in aanmerking te komen dienden een aanvrager en andere relevante (rechts)personen zich </w:t>
      </w:r>
      <w:r w:rsidRPr="00966FC3">
        <w:t xml:space="preserve">twee jaar en negen maanden voorafgaand aan de datum dat </w:t>
      </w:r>
      <w:r>
        <w:t>zij</w:t>
      </w:r>
      <w:r w:rsidRPr="00966FC3">
        <w:t xml:space="preserve"> een aanvraag indiende</w:t>
      </w:r>
      <w:r>
        <w:t>n</w:t>
      </w:r>
      <w:r w:rsidRPr="00966FC3">
        <w:t xml:space="preserve"> te hebben onthouden van online kansspelaanbod gericht op Nederland.</w:t>
      </w:r>
      <w:r w:rsidRPr="00966FC3">
        <w:rPr>
          <w:vertAlign w:val="superscript"/>
        </w:rPr>
        <w:t>5</w:t>
      </w:r>
      <w:r w:rsidRPr="00966FC3">
        <w:t xml:space="preserve"> </w:t>
      </w:r>
      <w:r w:rsidRPr="00406E1E">
        <w:t xml:space="preserve">Het niet voldoen aan deze criteria heeft er meerdere keren toe geleid dat een vergunning niet verleend werd. </w:t>
      </w:r>
      <w:r>
        <w:t xml:space="preserve">De Ksa beslist als onafhankelijk toezichthouder en zelfstandig </w:t>
      </w:r>
      <w:r w:rsidRPr="005D151C">
        <w:t xml:space="preserve">bestuursorgaan over vergunningaanvragen. Ik merk op dat voor de merknamen Pokerstars en Bwin geen vergunningen voor het aanbieden van online kansspelen in Nederland zijn afgegeven. </w:t>
      </w:r>
    </w:p>
    <w:p w:rsidRPr="0048250A" w:rsidR="00EE6F0E" w:rsidP="00EE6F0E" w:rsidRDefault="00EE6F0E" w14:paraId="2979108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4</w:t>
      </w:r>
    </w:p>
    <w:p w:rsidRPr="003B3383" w:rsidR="00EE6F0E" w:rsidP="00EE6F0E" w:rsidRDefault="00EE6F0E" w14:paraId="247B2478" w14:textId="77777777">
      <w:pPr>
        <w:autoSpaceDE w:val="0"/>
        <w:adjustRightInd w:val="0"/>
        <w:spacing w:line="240" w:lineRule="auto"/>
        <w:rPr>
          <w:b/>
          <w:bCs/>
        </w:rPr>
      </w:pPr>
      <w:r w:rsidRPr="003B3383">
        <w:rPr>
          <w:b/>
          <w:bCs/>
        </w:rPr>
        <w:t>Bent u van mening dat wanneer een gokbedrijf weigert mee te werken aan de aangespannen rechtszaken door gedupeerde gokkers, zoals het weigeren om gokkers te compenseren of transactiegegevens te verstrekken, dit geen consequenties hoeft te hebben voor de vergunning? Zo ja, kunt u dat toelichten?</w:t>
      </w:r>
    </w:p>
    <w:p w:rsidR="00EE6F0E" w:rsidP="00EE6F0E" w:rsidRDefault="00EE6F0E" w14:paraId="2332CFE2" w14:textId="77777777">
      <w:pPr>
        <w:autoSpaceDE w:val="0"/>
        <w:adjustRightInd w:val="0"/>
        <w:spacing w:line="240" w:lineRule="auto"/>
      </w:pPr>
    </w:p>
    <w:p w:rsidRPr="0048250A" w:rsidR="00EE6F0E" w:rsidP="00EE6F0E" w:rsidRDefault="00EE6F0E" w14:paraId="6F5DE518"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w:t>
      </w:r>
      <w:r>
        <w:rPr>
          <w:rFonts w:eastAsia="DejaVuSerifCondensed" w:cs="DejaVuSerifCondensed"/>
          <w:b/>
          <w:bCs/>
        </w:rPr>
        <w:t xml:space="preserve">vraag 4 </w:t>
      </w:r>
    </w:p>
    <w:p w:rsidRPr="00733894" w:rsidR="00EE6F0E" w:rsidP="00EE6F0E" w:rsidRDefault="00EE6F0E" w14:paraId="002ABB50" w14:textId="77777777">
      <w:pPr>
        <w:autoSpaceDE w:val="0"/>
        <w:adjustRightInd w:val="0"/>
        <w:spacing w:line="240" w:lineRule="auto"/>
        <w:rPr>
          <w:rFonts w:eastAsia="DejaVuSerifCondensed" w:cs="DejaVuSerifCondensed"/>
        </w:rPr>
      </w:pPr>
      <w:bookmarkStart w:name="_Hlk183531895" w:id="0"/>
      <w:r>
        <w:rPr>
          <w:rFonts w:eastAsia="DejaVuSerifCondensed" w:cs="DejaVuSerifCondensed"/>
        </w:rPr>
        <w:t>Het is</w:t>
      </w:r>
      <w:r w:rsidRPr="00733894">
        <w:rPr>
          <w:rFonts w:eastAsia="DejaVuSerifCondensed" w:cs="DejaVuSerifCondensed"/>
        </w:rPr>
        <w:t xml:space="preserve"> niet aan mij is om te besluiten over het schorsen of intrekken van een vergunning. De</w:t>
      </w:r>
      <w:r>
        <w:rPr>
          <w:rFonts w:eastAsia="DejaVuSerifCondensed" w:cs="DejaVuSerifCondensed"/>
        </w:rPr>
        <w:t>ze besluiten zijn aan de</w:t>
      </w:r>
      <w:r w:rsidRPr="00733894">
        <w:rPr>
          <w:rFonts w:eastAsia="DejaVuSerifCondensed" w:cs="DejaVuSerifCondensed"/>
        </w:rPr>
        <w:t xml:space="preserve"> Ksa</w:t>
      </w:r>
      <w:r>
        <w:rPr>
          <w:rFonts w:eastAsia="DejaVuSerifCondensed" w:cs="DejaVuSerifCondensed"/>
        </w:rPr>
        <w:t>,</w:t>
      </w:r>
      <w:r w:rsidRPr="00733894">
        <w:rPr>
          <w:rFonts w:eastAsia="DejaVuSerifCondensed" w:cs="DejaVuSerifCondensed"/>
        </w:rPr>
        <w:t xml:space="preserve"> </w:t>
      </w:r>
      <w:r>
        <w:rPr>
          <w:rFonts w:eastAsia="DejaVuSerifCondensed" w:cs="DejaVuSerifCondensed"/>
        </w:rPr>
        <w:t>als</w:t>
      </w:r>
      <w:r w:rsidRPr="00733894">
        <w:rPr>
          <w:rFonts w:eastAsia="DejaVuSerifCondensed" w:cs="DejaVuSerifCondensed"/>
        </w:rPr>
        <w:t xml:space="preserve"> onafhankelijk toezichthouder en zelfstandig bestuursorgaan. </w:t>
      </w:r>
      <w:r w:rsidRPr="00733894">
        <w:rPr>
          <w:rStyle w:val="Verwijzingopmerking"/>
          <w:sz w:val="18"/>
          <w:szCs w:val="18"/>
        </w:rPr>
        <w:t>Mocht</w:t>
      </w:r>
      <w:r>
        <w:rPr>
          <w:rStyle w:val="Verwijzingopmerking"/>
          <w:sz w:val="18"/>
          <w:szCs w:val="18"/>
        </w:rPr>
        <w:t>en</w:t>
      </w:r>
      <w:r w:rsidRPr="00733894">
        <w:rPr>
          <w:rStyle w:val="Verwijzingopmerking"/>
          <w:sz w:val="18"/>
          <w:szCs w:val="18"/>
        </w:rPr>
        <w:t xml:space="preserve"> nieuwe informatie of antecedenten </w:t>
      </w:r>
      <w:r>
        <w:rPr>
          <w:rStyle w:val="Verwijzingopmerking"/>
          <w:sz w:val="18"/>
          <w:szCs w:val="18"/>
        </w:rPr>
        <w:t xml:space="preserve">met betrekking tot een vergunninghouder </w:t>
      </w:r>
      <w:r w:rsidRPr="00733894">
        <w:rPr>
          <w:rStyle w:val="Verwijzingopmerking"/>
          <w:sz w:val="18"/>
          <w:szCs w:val="18"/>
        </w:rPr>
        <w:t xml:space="preserve">leiden tot het inzicht dat de vergunning toentertijd niet </w:t>
      </w:r>
      <w:r>
        <w:rPr>
          <w:rStyle w:val="Verwijzingopmerking"/>
          <w:sz w:val="18"/>
          <w:szCs w:val="18"/>
        </w:rPr>
        <w:t>zou zijn</w:t>
      </w:r>
      <w:r w:rsidRPr="00733894">
        <w:rPr>
          <w:rStyle w:val="Verwijzingopmerking"/>
          <w:sz w:val="18"/>
          <w:szCs w:val="18"/>
        </w:rPr>
        <w:t xml:space="preserve"> verstrekt, kan de Ksa besluiten de vergunning in</w:t>
      </w:r>
      <w:r>
        <w:rPr>
          <w:rStyle w:val="Verwijzingopmerking"/>
          <w:sz w:val="18"/>
          <w:szCs w:val="18"/>
        </w:rPr>
        <w:t xml:space="preserve"> te </w:t>
      </w:r>
      <w:r w:rsidRPr="00733894">
        <w:rPr>
          <w:rStyle w:val="Verwijzingopmerking"/>
          <w:sz w:val="18"/>
          <w:szCs w:val="18"/>
        </w:rPr>
        <w:t>trekken</w:t>
      </w:r>
      <w:r w:rsidRPr="00733894">
        <w:rPr>
          <w:rFonts w:eastAsia="DejaVuSerifCondensed" w:cs="DejaVuSerifCondensed"/>
        </w:rPr>
        <w:t xml:space="preserve">. Daarbij gaat het om het betrouwbaarheidsvereiste vervat in artikel 4b, eerste lid, en specifiek voor kansspelen op afstand artikel 31i van de Wet op de kansspelen (Wok) alsmede de daarop berustende betrouwbaarheidsbepalingen. Dat omvat een betrouwbaarheidsbeoordeling op grond van artikel 3.4 Besluit kansspelen op afstand, waarbij de Ksa bepaalde antecedenten in de beoordeling kan meenemen. </w:t>
      </w:r>
    </w:p>
    <w:p w:rsidR="00EE6F0E" w:rsidP="00EE6F0E" w:rsidRDefault="00EE6F0E" w14:paraId="0260ADA1" w14:textId="77777777">
      <w:pPr>
        <w:autoSpaceDE w:val="0"/>
        <w:adjustRightInd w:val="0"/>
        <w:spacing w:line="240" w:lineRule="auto"/>
        <w:rPr>
          <w:rFonts w:eastAsia="DejaVuSerifCondensed" w:cs="DejaVuSerifCondensed"/>
        </w:rPr>
      </w:pPr>
    </w:p>
    <w:p w:rsidR="00EE6F0E" w:rsidP="00EE6F0E" w:rsidRDefault="00EE6F0E" w14:paraId="51F1AA7E" w14:textId="77777777">
      <w:pPr>
        <w:autoSpaceDE w:val="0"/>
        <w:adjustRightInd w:val="0"/>
        <w:spacing w:line="240" w:lineRule="auto"/>
        <w:rPr>
          <w:rFonts w:eastAsia="DejaVuSerifCondensed" w:cs="DejaVuSerifCondensed"/>
        </w:rPr>
      </w:pPr>
      <w:r>
        <w:rPr>
          <w:rFonts w:eastAsia="DejaVuSerifCondensed" w:cs="DejaVuSerifCondensed"/>
        </w:rPr>
        <w:t xml:space="preserve">De Ksa zal de toezichtservaring over de voorgaande vergunningsperiode met betrekking tot de betreffende vergunninghouder meewegen in de beoordeling van </w:t>
      </w:r>
      <w:r>
        <w:rPr>
          <w:rFonts w:eastAsia="DejaVuSerifCondensed" w:cs="DejaVuSerifCondensed"/>
        </w:rPr>
        <w:lastRenderedPageBreak/>
        <w:t xml:space="preserve">de aanvragen voor een nieuwe vergunning vanaf 2026. Onder andere worden overtredingen en het gedrag van vergunninghouders tijdens de huidige vergunningsperiode mee gewogen in de beoordeling. Wanneer rechterlijke uitspraken niet worden opgevolgd, weegt de Ksa dit mee in de integriteitsbeoordeling. Voor zover bekend is er overigens in Nederland nog geen zaak waarin een vergunde aanbieder van kansspelen op afstand heeft geweigerd om aan een onherroepelijk vonnis van een rechter uitvoering te geven. </w:t>
      </w:r>
    </w:p>
    <w:p w:rsidR="00EE6F0E" w:rsidP="00EE6F0E" w:rsidRDefault="00EE6F0E" w14:paraId="3F26840C" w14:textId="77777777">
      <w:pPr>
        <w:autoSpaceDE w:val="0"/>
        <w:adjustRightInd w:val="0"/>
        <w:spacing w:line="240" w:lineRule="auto"/>
        <w:rPr>
          <w:rFonts w:eastAsia="DejaVuSerifCondensed" w:cs="DejaVuSerifCondensed"/>
        </w:rPr>
      </w:pPr>
    </w:p>
    <w:p w:rsidRPr="0048250A" w:rsidR="00EE6F0E" w:rsidP="00EE6F0E" w:rsidRDefault="00EE6F0E" w14:paraId="43A48392"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5</w:t>
      </w:r>
    </w:p>
    <w:bookmarkEnd w:id="0"/>
    <w:p w:rsidRPr="003B3383" w:rsidR="00EE6F0E" w:rsidP="00EE6F0E" w:rsidRDefault="00EE6F0E" w14:paraId="19584F42" w14:textId="77777777">
      <w:pPr>
        <w:autoSpaceDE w:val="0"/>
        <w:adjustRightInd w:val="0"/>
        <w:spacing w:line="240" w:lineRule="auto"/>
        <w:rPr>
          <w:b/>
          <w:bCs/>
        </w:rPr>
      </w:pPr>
      <w:r w:rsidRPr="003B3383">
        <w:rPr>
          <w:b/>
          <w:bCs/>
        </w:rPr>
        <w:t>Hoe beoordeelt u het feit dat Unibet geen transactiegegevens meer verstrekt om zo de rechtsgang van de gokkers te frustreren?</w:t>
      </w:r>
    </w:p>
    <w:p w:rsidR="00EE6F0E" w:rsidP="00EE6F0E" w:rsidRDefault="00EE6F0E" w14:paraId="6BE55AEF" w14:textId="77777777">
      <w:pPr>
        <w:autoSpaceDE w:val="0"/>
        <w:adjustRightInd w:val="0"/>
        <w:spacing w:line="240" w:lineRule="auto"/>
      </w:pPr>
    </w:p>
    <w:p w:rsidRPr="0048250A" w:rsidR="00EE6F0E" w:rsidP="00EE6F0E" w:rsidRDefault="00EE6F0E" w14:paraId="58DE795C"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6</w:t>
      </w:r>
    </w:p>
    <w:p w:rsidRPr="003B3383" w:rsidR="00EE6F0E" w:rsidP="00EE6F0E" w:rsidRDefault="00EE6F0E" w14:paraId="69E2A60C" w14:textId="77777777">
      <w:pPr>
        <w:autoSpaceDE w:val="0"/>
        <w:adjustRightInd w:val="0"/>
        <w:spacing w:line="240" w:lineRule="auto"/>
        <w:rPr>
          <w:b/>
          <w:bCs/>
        </w:rPr>
      </w:pPr>
      <w:r w:rsidRPr="003B3383">
        <w:rPr>
          <w:b/>
          <w:bCs/>
        </w:rPr>
        <w:t>Bent u het ermee eens dat het doelbewust saboteren van gokkers die naar de rechter stappen vanwege verloren geld bij illegale gokbedrijven, de geloofwaardigheid en zorgplicht van het online gokbedrijf zodanig aantast dat de vergunning direct moet worden ingetrokken? Zo nee, waarom niet?</w:t>
      </w:r>
    </w:p>
    <w:p w:rsidR="00EE6F0E" w:rsidP="00EE6F0E" w:rsidRDefault="00EE6F0E" w14:paraId="3708FC37" w14:textId="77777777">
      <w:pPr>
        <w:autoSpaceDE w:val="0"/>
        <w:adjustRightInd w:val="0"/>
        <w:spacing w:line="240" w:lineRule="auto"/>
      </w:pPr>
    </w:p>
    <w:p w:rsidRPr="0049188C" w:rsidR="00EE6F0E" w:rsidP="00EE6F0E" w:rsidRDefault="00EE6F0E" w14:paraId="6EC0AC5C" w14:textId="77777777">
      <w:pPr>
        <w:autoSpaceDE w:val="0"/>
        <w:adjustRightInd w:val="0"/>
        <w:spacing w:line="240" w:lineRule="auto"/>
        <w:rPr>
          <w:rFonts w:eastAsia="DejaVuSerifCondensed" w:cs="DejaVuSerifCondensed"/>
          <w:b/>
          <w:bCs/>
        </w:rPr>
      </w:pPr>
      <w:r w:rsidRPr="0049188C">
        <w:rPr>
          <w:rFonts w:eastAsia="DejaVuSerifCondensed" w:cs="DejaVuSerifCondensed"/>
          <w:b/>
          <w:bCs/>
        </w:rPr>
        <w:t>Antwoord</w:t>
      </w:r>
      <w:r>
        <w:rPr>
          <w:rFonts w:eastAsia="DejaVuSerifCondensed" w:cs="DejaVuSerifCondensed"/>
          <w:b/>
          <w:bCs/>
        </w:rPr>
        <w:t xml:space="preserve"> op vragen</w:t>
      </w:r>
      <w:r w:rsidRPr="0049188C">
        <w:rPr>
          <w:rFonts w:eastAsia="DejaVuSerifCondensed" w:cs="DejaVuSerifCondensed"/>
          <w:b/>
          <w:bCs/>
        </w:rPr>
        <w:t xml:space="preserve"> </w:t>
      </w:r>
      <w:r>
        <w:rPr>
          <w:rFonts w:eastAsia="DejaVuSerifCondensed" w:cs="DejaVuSerifCondensed"/>
          <w:b/>
          <w:bCs/>
        </w:rPr>
        <w:t>5 en 6</w:t>
      </w:r>
    </w:p>
    <w:p w:rsidR="00EE6F0E" w:rsidP="00EE6F0E" w:rsidRDefault="00EE6F0E" w14:paraId="70A13237" w14:textId="77777777">
      <w:pPr>
        <w:autoSpaceDE w:val="0"/>
        <w:adjustRightInd w:val="0"/>
        <w:spacing w:line="240" w:lineRule="auto"/>
        <w:rPr>
          <w:rFonts w:eastAsia="DejaVuSerifCondensed" w:cs="DejaVuSerifCondensed"/>
        </w:rPr>
      </w:pPr>
      <w:bookmarkStart w:name="_Hlk190272091" w:id="1"/>
      <w:r>
        <w:rPr>
          <w:rFonts w:eastAsia="DejaVuSerifCondensed" w:cs="DejaVuSerifCondensed"/>
        </w:rPr>
        <w:t>Zoals in eerdere beantwoording aangegeven, is het niet aan mij om dit gedrag te beoordelen. Als wettelijke verplichtingen niet worden nageleefd, dan keur ik dat vanzelfsprekend af.</w:t>
      </w:r>
    </w:p>
    <w:p w:rsidR="00EE6F0E" w:rsidP="00EE6F0E" w:rsidRDefault="00EE6F0E" w14:paraId="73105E4A" w14:textId="77777777">
      <w:pPr>
        <w:autoSpaceDE w:val="0"/>
        <w:adjustRightInd w:val="0"/>
        <w:spacing w:line="240" w:lineRule="auto"/>
        <w:rPr>
          <w:rFonts w:eastAsia="DejaVuSerifCondensed" w:cs="DejaVuSerifCondensed"/>
        </w:rPr>
      </w:pPr>
      <w:r>
        <w:rPr>
          <w:rFonts w:eastAsia="DejaVuSerifCondensed" w:cs="DejaVuSerifCondensed"/>
        </w:rPr>
        <w:t>Het</w:t>
      </w:r>
      <w:r w:rsidRPr="006C3FEB">
        <w:rPr>
          <w:rFonts w:eastAsia="DejaVuSerifCondensed" w:cs="DejaVuSerifCondensed"/>
        </w:rPr>
        <w:t xml:space="preserve"> uitgangspunt </w:t>
      </w:r>
      <w:r>
        <w:rPr>
          <w:rFonts w:eastAsia="DejaVuSerifCondensed" w:cs="DejaVuSerifCondensed"/>
        </w:rPr>
        <w:t xml:space="preserve">is </w:t>
      </w:r>
      <w:r w:rsidRPr="006C3FEB">
        <w:rPr>
          <w:rFonts w:eastAsia="DejaVuSerifCondensed" w:cs="DejaVuSerifCondensed"/>
        </w:rPr>
        <w:t>dat de Staat niet</w:t>
      </w:r>
      <w:r>
        <w:rPr>
          <w:rFonts w:eastAsia="DejaVuSerifCondensed" w:cs="DejaVuSerifCondensed"/>
        </w:rPr>
        <w:t xml:space="preserve"> </w:t>
      </w:r>
      <w:r w:rsidRPr="006C3FEB">
        <w:rPr>
          <w:rFonts w:eastAsia="DejaVuSerifCondensed" w:cs="DejaVuSerifCondensed"/>
        </w:rPr>
        <w:t xml:space="preserve">treedt in geschillen over </w:t>
      </w:r>
      <w:r>
        <w:rPr>
          <w:rFonts w:eastAsia="DejaVuSerifCondensed" w:cs="DejaVuSerifCondensed"/>
        </w:rPr>
        <w:t xml:space="preserve">civiele </w:t>
      </w:r>
      <w:r w:rsidRPr="006C3FEB">
        <w:rPr>
          <w:rFonts w:eastAsia="DejaVuSerifCondensed" w:cs="DejaVuSerifCondensed"/>
        </w:rPr>
        <w:t>rechtsverhoudingen tussen een (illegale) aanbieder</w:t>
      </w:r>
      <w:r>
        <w:rPr>
          <w:rFonts w:eastAsia="DejaVuSerifCondensed" w:cs="DejaVuSerifCondensed"/>
        </w:rPr>
        <w:t xml:space="preserve"> </w:t>
      </w:r>
      <w:r w:rsidRPr="006C3FEB">
        <w:rPr>
          <w:rFonts w:eastAsia="DejaVuSerifCondensed" w:cs="DejaVuSerifCondensed"/>
        </w:rPr>
        <w:t>van kansspelen en de speler. De beoordeling van een geschil over de civiele</w:t>
      </w:r>
      <w:r>
        <w:rPr>
          <w:rFonts w:eastAsia="DejaVuSerifCondensed" w:cs="DejaVuSerifCondensed"/>
        </w:rPr>
        <w:t xml:space="preserve"> </w:t>
      </w:r>
      <w:r w:rsidRPr="006C3FEB">
        <w:rPr>
          <w:rFonts w:eastAsia="DejaVuSerifCondensed" w:cs="DejaVuSerifCondensed"/>
        </w:rPr>
        <w:t xml:space="preserve">rechtsverhouding van de partijen is voorbehouden aan de rechter. </w:t>
      </w:r>
    </w:p>
    <w:bookmarkEnd w:id="1"/>
    <w:p w:rsidR="00EE6F0E" w:rsidP="00EE6F0E" w:rsidRDefault="00EE6F0E" w14:paraId="55FE35E4" w14:textId="77777777">
      <w:pPr>
        <w:autoSpaceDE w:val="0"/>
        <w:adjustRightInd w:val="0"/>
        <w:spacing w:line="240" w:lineRule="auto"/>
        <w:rPr>
          <w:rFonts w:eastAsia="DejaVuSerifCondensed" w:cs="DejaVuSerifCondensed"/>
          <w:b/>
          <w:bCs/>
        </w:rPr>
      </w:pPr>
    </w:p>
    <w:p w:rsidRPr="0048250A" w:rsidR="00EE6F0E" w:rsidP="00EE6F0E" w:rsidRDefault="00EE6F0E" w14:paraId="14665328"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7</w:t>
      </w:r>
    </w:p>
    <w:p w:rsidR="00EE6F0E" w:rsidP="00EE6F0E" w:rsidRDefault="00EE6F0E" w14:paraId="3490EB84" w14:textId="77777777">
      <w:pPr>
        <w:autoSpaceDE w:val="0"/>
        <w:adjustRightInd w:val="0"/>
        <w:spacing w:line="240" w:lineRule="auto"/>
      </w:pPr>
      <w:r w:rsidRPr="003B3383">
        <w:rPr>
          <w:b/>
          <w:bCs/>
        </w:rPr>
        <w:t>Bent u bereid om over deze specifieke casus in gesprek te gaan met de Kansspelautoriteit (Ksa) om te onderzoeken welke stappen ondernomen kunnen worden om te voorkomen dat nog meer gokkers geen inzicht krijgen in de transactiekosten en betalingsoverzichten van hun verloren geld</w:t>
      </w:r>
      <w:r>
        <w:t>?</w:t>
      </w:r>
    </w:p>
    <w:p w:rsidR="00EE6F0E" w:rsidP="00EE6F0E" w:rsidRDefault="00EE6F0E" w14:paraId="36A7F375" w14:textId="77777777">
      <w:pPr>
        <w:autoSpaceDE w:val="0"/>
        <w:adjustRightInd w:val="0"/>
        <w:spacing w:line="240" w:lineRule="auto"/>
      </w:pPr>
    </w:p>
    <w:p w:rsidRPr="0048250A" w:rsidR="00EE6F0E" w:rsidP="00EE6F0E" w:rsidRDefault="00EE6F0E" w14:paraId="64339470"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7</w:t>
      </w:r>
      <w:r>
        <w:rPr>
          <w:rFonts w:eastAsia="DejaVuSerifCondensed" w:cs="DejaVuSerifCondensed"/>
          <w:b/>
          <w:bCs/>
        </w:rPr>
        <w:t xml:space="preserve"> </w:t>
      </w:r>
    </w:p>
    <w:p w:rsidR="00EE6F0E" w:rsidP="00EE6F0E" w:rsidRDefault="00EE6F0E" w14:paraId="29D26AB9" w14:textId="77777777">
      <w:pPr>
        <w:autoSpaceDE w:val="0"/>
        <w:adjustRightInd w:val="0"/>
        <w:spacing w:line="240" w:lineRule="auto"/>
        <w:rPr>
          <w:rFonts w:eastAsia="DejaVuSerifCondensed" w:cs="DejaVuSerifCondensed"/>
        </w:rPr>
      </w:pPr>
      <w:r w:rsidRPr="00423324">
        <w:rPr>
          <w:rFonts w:eastAsia="DejaVuSerifCondensed" w:cs="DejaVuSerifCondensed"/>
        </w:rPr>
        <w:t xml:space="preserve">Ik </w:t>
      </w:r>
      <w:r>
        <w:rPr>
          <w:rFonts w:eastAsia="DejaVuSerifCondensed" w:cs="DejaVuSerifCondensed"/>
        </w:rPr>
        <w:t>ben voortdurend</w:t>
      </w:r>
      <w:r w:rsidRPr="00423324">
        <w:rPr>
          <w:rFonts w:eastAsia="DejaVuSerifCondensed" w:cs="DejaVuSerifCondensed"/>
        </w:rPr>
        <w:t xml:space="preserve"> met de Ksa</w:t>
      </w:r>
      <w:r>
        <w:rPr>
          <w:rFonts w:eastAsia="DejaVuSerifCondensed" w:cs="DejaVuSerifCondensed"/>
        </w:rPr>
        <w:t xml:space="preserve"> in gesprek, ook over dergelijke ontwikkelingen.</w:t>
      </w:r>
      <w:r w:rsidRPr="00423324">
        <w:rPr>
          <w:rFonts w:eastAsia="DejaVuSerifCondensed" w:cs="DejaVuSerifCondensed"/>
        </w:rPr>
        <w:t xml:space="preserve"> </w:t>
      </w:r>
      <w:r>
        <w:rPr>
          <w:rFonts w:eastAsia="DejaVuSerifCondensed" w:cs="DejaVuSerifCondensed"/>
        </w:rPr>
        <w:t xml:space="preserve">Als het gaat om de concrete casus dan moet </w:t>
      </w:r>
      <w:r w:rsidRPr="00F22784">
        <w:rPr>
          <w:rFonts w:eastAsia="DejaVuSerifCondensed" w:cs="DejaVuSerifCondensed"/>
        </w:rPr>
        <w:t xml:space="preserve">de Ksa de zaak vanuit haar rol als onafhankelijke toezichthouder kunnen beoordelen. De Ksa is over deze kwestie in </w:t>
      </w:r>
      <w:r w:rsidRPr="00F22784">
        <w:rPr>
          <w:rFonts w:eastAsia="DejaVuSerifCondensed" w:cs="DejaVuSerifCondensed"/>
        </w:rPr>
        <w:lastRenderedPageBreak/>
        <w:t xml:space="preserve">gesprek met Optdeck, dat Unibet in Nederland exploiteert. Het is </w:t>
      </w:r>
      <w:r>
        <w:rPr>
          <w:rFonts w:eastAsia="DejaVuSerifCondensed" w:cs="DejaVuSerifCondensed"/>
        </w:rPr>
        <w:t xml:space="preserve">echter </w:t>
      </w:r>
      <w:r w:rsidRPr="00F22784">
        <w:rPr>
          <w:rFonts w:eastAsia="DejaVuSerifCondensed" w:cs="DejaVuSerifCondensed"/>
        </w:rPr>
        <w:t xml:space="preserve">niet aan de Ksa om een oordeel </w:t>
      </w:r>
      <w:r>
        <w:rPr>
          <w:rFonts w:eastAsia="DejaVuSerifCondensed" w:cs="DejaVuSerifCondensed"/>
        </w:rPr>
        <w:t>over de inzage in transactiegegevens</w:t>
      </w:r>
      <w:r w:rsidRPr="00F22784">
        <w:rPr>
          <w:rFonts w:eastAsia="DejaVuSerifCondensed" w:cs="DejaVuSerifCondensed"/>
        </w:rPr>
        <w:t xml:space="preserve"> te vellen. Het is aan de rechter om uitspraak hierover te doen. </w:t>
      </w:r>
      <w:r>
        <w:rPr>
          <w:rFonts w:eastAsia="DejaVuSerifCondensed" w:cs="DejaVuSerifCondensed"/>
        </w:rPr>
        <w:t>Op 4 en 7 juli jl. heeft de rechter in eerste aanleg zich ook uitgelaten over het verstrekken van inzage in transactiegegevens.</w:t>
      </w:r>
      <w:r>
        <w:rPr>
          <w:rStyle w:val="Voetnootmarkering"/>
          <w:rFonts w:eastAsia="DejaVuSerifCondensed" w:cs="DejaVuSerifCondensed"/>
        </w:rPr>
        <w:footnoteReference w:id="5"/>
      </w:r>
      <w:r>
        <w:rPr>
          <w:rFonts w:eastAsia="DejaVuSerifCondensed" w:cs="DejaVuSerifCondensed"/>
        </w:rPr>
        <w:t xml:space="preserve"> In de eerste zaak werd de vordering om inzage te verlenen toegewezen. In de tweede zaak werd de partij die namens meerdere spelers inzage in de transactiegegevens vorderde niet-ontvankelijk verklaard, omdat deze partij volgens de rechtbank niet bevoegd is om een dergelijke vordering in te stellen. </w:t>
      </w:r>
      <w:r w:rsidRPr="00F22784">
        <w:rPr>
          <w:rFonts w:eastAsia="DejaVuSerifCondensed" w:cs="DejaVuSerifCondensed"/>
        </w:rPr>
        <w:t xml:space="preserve">De Ksa </w:t>
      </w:r>
      <w:r>
        <w:rPr>
          <w:rFonts w:eastAsia="DejaVuSerifCondensed" w:cs="DejaVuSerifCondensed"/>
        </w:rPr>
        <w:t xml:space="preserve">zal de handelswijze van een vergunde kansspelaanbieder in dit soort procedures meewegen in de beoordeling van de vergunninghouder bij het aanvragen van een nieuwe vergunning, maar heeft zoals gezegd geen rol als partij in deze procedures. </w:t>
      </w:r>
    </w:p>
    <w:p w:rsidR="00EE6F0E" w:rsidP="00EE6F0E" w:rsidRDefault="00EE6F0E" w14:paraId="0855137A" w14:textId="77777777">
      <w:pPr>
        <w:autoSpaceDE w:val="0"/>
        <w:adjustRightInd w:val="0"/>
        <w:spacing w:line="240" w:lineRule="auto"/>
        <w:rPr>
          <w:rFonts w:eastAsia="DejaVuSerifCondensed" w:cs="DejaVuSerifCondensed"/>
          <w:b/>
          <w:bCs/>
        </w:rPr>
      </w:pPr>
    </w:p>
    <w:p w:rsidRPr="0048250A" w:rsidR="00EE6F0E" w:rsidP="00EE6F0E" w:rsidRDefault="00EE6F0E" w14:paraId="42D8E1BF"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Vraag 8</w:t>
      </w:r>
    </w:p>
    <w:p w:rsidRPr="003B3383" w:rsidR="00EE6F0E" w:rsidP="00EE6F0E" w:rsidRDefault="00EE6F0E" w14:paraId="15593F98" w14:textId="77777777">
      <w:pPr>
        <w:rPr>
          <w:b/>
          <w:bCs/>
        </w:rPr>
      </w:pPr>
      <w:r w:rsidRPr="003B3383">
        <w:rPr>
          <w:b/>
          <w:bCs/>
        </w:rPr>
        <w:t>Vindt u dat een gokbedrijf zoals Unibet een veilig en gecontroleerd aanbod van online kansspelen – een belangrijke doelstelling van het legaliseren van online kansspelen - creëert wanneer stelselmatig gegevens worden achtergehouden om te voorkomen dat gokkers hun verloren geld terug kunnen eisen van de periode dat het gokbedrijf illegaal online kansspelen aanbood in Nederland?</w:t>
      </w:r>
    </w:p>
    <w:p w:rsidRPr="0048250A" w:rsidR="00EE6F0E" w:rsidP="00EE6F0E" w:rsidRDefault="00EE6F0E" w14:paraId="1BE97094"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Antwoord op vraag 8</w:t>
      </w:r>
    </w:p>
    <w:p w:rsidR="00EE6F0E" w:rsidP="00EE6F0E" w:rsidRDefault="00EE6F0E" w14:paraId="6590A6BE" w14:textId="77777777">
      <w:pPr>
        <w:autoSpaceDE w:val="0"/>
        <w:adjustRightInd w:val="0"/>
        <w:spacing w:line="240" w:lineRule="auto"/>
      </w:pPr>
      <w:r>
        <w:t xml:space="preserve">Het bieden van een veilig en gecontroleerd aanbod door een vergunninghouder in de periode dat deze vergund is en gedrag dat gaat over een periode dat deze niet was vergund, zijn twee losse zaken. De vergunninghouder moet zich geheel houden aan de Wet op de kansspelen over de periode dat hij een vergunning heeft verkregen. De inzage in spelersdata daarentegen betreft een periode dat de vergunninghouder geen vergunning had. Over die periode strekt het toezicht van de Ksa zich niet uit. Ik vind met de Ksa dat rechtspersonen en hun opvolgers die nu een vergunning hebben voor het aanbieden van kansspelen een maximale inspanning moeten plegen om zaken die zich voor de vergunningsperiode afspeelden behoorlijk af te wikkelen. Hieruit kunnen omstandigheden naar voren komen die relevant zijn voor de algemene betrouwbaarheids- en integriteitstoets van een vergunde aanbieder. Daar behoort het maximaal verstrekken van noodzakelijke gegevens wat mij betreft bij. </w:t>
      </w:r>
    </w:p>
    <w:p w:rsidR="00EE6F0E" w:rsidP="00EE6F0E" w:rsidRDefault="00EE6F0E" w14:paraId="7959C413" w14:textId="77777777">
      <w:pPr>
        <w:autoSpaceDE w:val="0"/>
        <w:adjustRightInd w:val="0"/>
        <w:spacing w:line="240" w:lineRule="auto"/>
      </w:pPr>
    </w:p>
    <w:p w:rsidR="00EE6F0E" w:rsidP="00EE6F0E" w:rsidRDefault="00EE6F0E" w14:paraId="03C4132E" w14:textId="77777777">
      <w:pPr>
        <w:autoSpaceDE w:val="0"/>
        <w:adjustRightInd w:val="0"/>
        <w:spacing w:line="240" w:lineRule="auto"/>
      </w:pPr>
    </w:p>
    <w:p w:rsidR="00EE6F0E" w:rsidP="00EE6F0E" w:rsidRDefault="00EE6F0E" w14:paraId="14206C02" w14:textId="77777777">
      <w:pPr>
        <w:autoSpaceDE w:val="0"/>
        <w:adjustRightInd w:val="0"/>
        <w:spacing w:line="240" w:lineRule="auto"/>
      </w:pPr>
    </w:p>
    <w:p w:rsidRPr="0048250A" w:rsidR="00EE6F0E" w:rsidP="00EE6F0E" w:rsidRDefault="00EE6F0E" w14:paraId="3ADC4738"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9</w:t>
      </w:r>
    </w:p>
    <w:p w:rsidRPr="003B3383" w:rsidR="00EE6F0E" w:rsidP="00EE6F0E" w:rsidRDefault="00EE6F0E" w14:paraId="2FA4F58E" w14:textId="77777777">
      <w:pPr>
        <w:rPr>
          <w:b/>
          <w:bCs/>
        </w:rPr>
      </w:pPr>
      <w:r w:rsidRPr="003B3383">
        <w:rPr>
          <w:b/>
          <w:bCs/>
        </w:rPr>
        <w:t xml:space="preserve">Heeft Unibet zich gehouden aan de afkoelperiode die inhoudt dat twee jaar en negen maanden voorafgaand aan de datum dat een aanvraag tot een vergunning </w:t>
      </w:r>
      <w:r w:rsidRPr="003B3383">
        <w:rPr>
          <w:b/>
          <w:bCs/>
        </w:rPr>
        <w:lastRenderedPageBreak/>
        <w:t>is ingediend, het bedrijf zich heeft onthouden van online kansspelaanbod gericht op Nederland?</w:t>
      </w:r>
    </w:p>
    <w:p w:rsidRPr="0048250A" w:rsidR="00EE6F0E" w:rsidP="00EE6F0E" w:rsidRDefault="00EE6F0E" w14:paraId="666D03A1" w14:textId="77777777">
      <w:pPr>
        <w:autoSpaceDE w:val="0"/>
        <w:adjustRightInd w:val="0"/>
        <w:spacing w:line="240" w:lineRule="auto"/>
        <w:rPr>
          <w:rFonts w:eastAsia="DejaVuSerifCondensed" w:cs="DejaVuSerifCondensed"/>
          <w:b/>
          <w:bCs/>
        </w:rPr>
      </w:pPr>
      <w:bookmarkStart w:name="_Hlk200102716" w:id="2"/>
      <w:r w:rsidRPr="0048250A">
        <w:rPr>
          <w:rFonts w:eastAsia="DejaVuSerifCondensed" w:cs="DejaVuSerifCondensed"/>
          <w:b/>
          <w:bCs/>
        </w:rPr>
        <w:t xml:space="preserve">Antwoord op vraag </w:t>
      </w:r>
      <w:r>
        <w:rPr>
          <w:rFonts w:eastAsia="DejaVuSerifCondensed" w:cs="DejaVuSerifCondensed"/>
          <w:b/>
          <w:bCs/>
        </w:rPr>
        <w:t>9</w:t>
      </w:r>
    </w:p>
    <w:bookmarkEnd w:id="2"/>
    <w:p w:rsidR="00EE6F0E" w:rsidP="00EE6F0E" w:rsidRDefault="00EE6F0E" w14:paraId="7F31166B" w14:textId="77777777">
      <w:pPr>
        <w:autoSpaceDE w:val="0"/>
        <w:adjustRightInd w:val="0"/>
        <w:spacing w:line="240" w:lineRule="auto"/>
        <w:rPr>
          <w:rFonts w:eastAsia="DejaVuSerifCondensed" w:cs="DejaVuSerifCondensed"/>
        </w:rPr>
      </w:pPr>
      <w:r>
        <w:rPr>
          <w:rFonts w:eastAsia="DejaVuSerifCondensed" w:cs="DejaVuSerifCondensed"/>
        </w:rPr>
        <w:t xml:space="preserve">Ja. Indien Unibet zich daar niet aan had gehouden, zou er geen vergunning zijn verleend. De Ksa heeft toentertijd Unibet een vergunning verleend dus er is geen aanleiding om anders te vermoeden. </w:t>
      </w:r>
    </w:p>
    <w:p w:rsidR="00EE6F0E" w:rsidP="00EE6F0E" w:rsidRDefault="00EE6F0E" w14:paraId="19360C65" w14:textId="77777777">
      <w:pPr>
        <w:autoSpaceDE w:val="0"/>
        <w:adjustRightInd w:val="0"/>
        <w:spacing w:line="240" w:lineRule="auto"/>
        <w:rPr>
          <w:rFonts w:eastAsia="DejaVuSerifCondensed" w:cs="DejaVuSerifCondensed"/>
        </w:rPr>
      </w:pPr>
    </w:p>
    <w:p w:rsidRPr="0048250A" w:rsidR="00EE6F0E" w:rsidP="00EE6F0E" w:rsidRDefault="00EE6F0E" w14:paraId="49864C8B"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10</w:t>
      </w:r>
    </w:p>
    <w:p w:rsidRPr="003B3383" w:rsidR="00EE6F0E" w:rsidP="00EE6F0E" w:rsidRDefault="00EE6F0E" w14:paraId="40333FC5" w14:textId="77777777">
      <w:pPr>
        <w:autoSpaceDE w:val="0"/>
        <w:adjustRightInd w:val="0"/>
        <w:spacing w:line="240" w:lineRule="auto"/>
        <w:rPr>
          <w:rFonts w:eastAsia="DejaVuSerifCondensed" w:cs="DejaVuSerifCondensed"/>
          <w:b/>
          <w:bCs/>
        </w:rPr>
      </w:pPr>
      <w:r w:rsidRPr="003B3383">
        <w:rPr>
          <w:b/>
          <w:bCs/>
        </w:rPr>
        <w:t>In antwoord op eerdere schriftelijke vragen van het lid Boswijk (CDA), op 15 januari 2025, over de casus dat Unibet geen inzage geeft in transactiegegevens, heeft u geantwoord dat u de Ksa en de Autoriteit Persoonsgegevens gewezen heeft op deze casus. Zijn er daarna vervolgstappen ondernomen door de Ksa of de Autoriteit Persoonsgegevens (AP)? Zo nee, waarom niet?</w:t>
      </w:r>
    </w:p>
    <w:p w:rsidR="00EE6F0E" w:rsidP="00EE6F0E" w:rsidRDefault="00EE6F0E" w14:paraId="09224927" w14:textId="77777777">
      <w:pPr>
        <w:autoSpaceDE w:val="0"/>
        <w:adjustRightInd w:val="0"/>
        <w:spacing w:line="240" w:lineRule="auto"/>
        <w:rPr>
          <w:rFonts w:eastAsia="DejaVuSerifCondensed" w:cs="DejaVuSerifCondensed"/>
        </w:rPr>
      </w:pPr>
    </w:p>
    <w:p w:rsidRPr="0048250A" w:rsidR="00EE6F0E" w:rsidP="00EE6F0E" w:rsidRDefault="00EE6F0E" w14:paraId="035D15D1"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Antwoord op vraag </w:t>
      </w:r>
      <w:r>
        <w:rPr>
          <w:rFonts w:eastAsia="DejaVuSerifCondensed" w:cs="DejaVuSerifCondensed"/>
          <w:b/>
          <w:bCs/>
        </w:rPr>
        <w:t>10</w:t>
      </w:r>
    </w:p>
    <w:p w:rsidR="00EE6F0E" w:rsidP="00EE6F0E" w:rsidRDefault="00EE6F0E" w14:paraId="251AB2B1" w14:textId="77777777">
      <w:pPr>
        <w:autoSpaceDE w:val="0"/>
        <w:adjustRightInd w:val="0"/>
        <w:spacing w:line="240" w:lineRule="auto"/>
        <w:rPr>
          <w:rFonts w:eastAsia="DejaVuSerifCondensed" w:cs="DejaVuSerifCondensed"/>
        </w:rPr>
      </w:pPr>
      <w:r>
        <w:rPr>
          <w:rFonts w:eastAsia="DejaVuSerifCondensed" w:cs="DejaVuSerifCondensed"/>
        </w:rPr>
        <w:t>De Ksa heeft met de Autoriteit Persoonsgegevens (AP) contact opgenomen om deze casus onder de aandacht te brengen</w:t>
      </w:r>
      <w:r w:rsidRPr="00F87359">
        <w:rPr>
          <w:rFonts w:eastAsia="DejaVuSerifCondensed" w:cs="DejaVuSerifCondensed"/>
        </w:rPr>
        <w:t>. De AP houdt de Ksa op de hoogte van relevante ontwikkelingen hieromtrent. Bovendien stelt de AP dat het altijd mogelijk is voor mensen om een klacht in te dienen bij de AP wanneer Unibet geen gehoor geeft aan het verzoek om inzage van persoonsgegevens. De AP wikkelt deze klachten af en zet ze door naar de privacytoezichthouder van Malta (de IDPC). Zij zijn namelijk de leidende toezichthouder in deze kwestie, aangezien het hoofdkantoor van Unibet daar is gevestigd. Om deze reden kunnen de klachten ook rechtstreeks bij de Maltese toezichthouder worden ingediend. De AP houdt nauw contact met haar collega’s in Malta over de voortgang van het onderzoek naar deze klachten.</w:t>
      </w:r>
    </w:p>
    <w:p w:rsidRPr="008D2B4B" w:rsidR="00EE6F0E" w:rsidP="00EE6F0E" w:rsidRDefault="00EE6F0E" w14:paraId="0C45F9E2" w14:textId="77777777">
      <w:pPr>
        <w:autoSpaceDE w:val="0"/>
        <w:adjustRightInd w:val="0"/>
        <w:spacing w:line="240" w:lineRule="auto"/>
        <w:rPr>
          <w:rFonts w:eastAsia="DejaVuSerifCondensed" w:cs="DejaVuSerifCondensed"/>
        </w:rPr>
      </w:pPr>
    </w:p>
    <w:p w:rsidRPr="0048250A" w:rsidR="00EE6F0E" w:rsidP="00EE6F0E" w:rsidRDefault="00EE6F0E" w14:paraId="739014D0" w14:textId="77777777">
      <w:pPr>
        <w:autoSpaceDE w:val="0"/>
        <w:adjustRightInd w:val="0"/>
        <w:spacing w:line="240" w:lineRule="auto"/>
        <w:rPr>
          <w:rFonts w:eastAsia="DejaVuSerifCondensed" w:cs="DejaVuSerifCondensed"/>
          <w:b/>
          <w:bCs/>
        </w:rPr>
      </w:pPr>
      <w:r w:rsidRPr="0048250A">
        <w:rPr>
          <w:rFonts w:eastAsia="DejaVuSerifCondensed" w:cs="DejaVuSerifCondensed"/>
          <w:b/>
          <w:bCs/>
        </w:rPr>
        <w:t xml:space="preserve">Vraag </w:t>
      </w:r>
      <w:r>
        <w:rPr>
          <w:rFonts w:eastAsia="DejaVuSerifCondensed" w:cs="DejaVuSerifCondensed"/>
          <w:b/>
          <w:bCs/>
        </w:rPr>
        <w:t>11</w:t>
      </w:r>
    </w:p>
    <w:p w:rsidRPr="003B3383" w:rsidR="00EE6F0E" w:rsidP="00EE6F0E" w:rsidRDefault="00EE6F0E" w14:paraId="797B54DD" w14:textId="77777777">
      <w:pPr>
        <w:autoSpaceDE w:val="0"/>
        <w:adjustRightInd w:val="0"/>
        <w:spacing w:line="240" w:lineRule="auto"/>
        <w:rPr>
          <w:rFonts w:eastAsia="DejaVuSerifCondensed" w:cs="DejaVuSerifCondensed"/>
          <w:b/>
          <w:bCs/>
        </w:rPr>
      </w:pPr>
      <w:r w:rsidRPr="003B3383">
        <w:rPr>
          <w:rFonts w:eastAsia="DejaVuSerifCondensed" w:cs="DejaVuSerifCondensed"/>
          <w:b/>
          <w:bCs/>
        </w:rPr>
        <w:t>Heeft u deze casus inderdaad onder de aandacht gebracht bij andere Europese lidstaten, in het bijzonder bij Malta, en zo ja, welke concrete afspraken zijn hierover gemaakt?</w:t>
      </w:r>
    </w:p>
    <w:p w:rsidR="00EE6F0E" w:rsidP="00EE6F0E" w:rsidRDefault="00EE6F0E" w14:paraId="0B73924E" w14:textId="77777777">
      <w:pPr>
        <w:autoSpaceDE w:val="0"/>
        <w:adjustRightInd w:val="0"/>
        <w:spacing w:line="240" w:lineRule="auto"/>
        <w:rPr>
          <w:rFonts w:eastAsia="DejaVuSerifCondensed" w:cs="DejaVuSerifCondensed"/>
          <w:b/>
          <w:bCs/>
        </w:rPr>
      </w:pPr>
    </w:p>
    <w:p w:rsidRPr="00477012" w:rsidR="00EE6F0E" w:rsidP="00EE6F0E" w:rsidRDefault="00EE6F0E" w14:paraId="6BC08317" w14:textId="77777777">
      <w:pPr>
        <w:autoSpaceDE w:val="0"/>
        <w:adjustRightInd w:val="0"/>
        <w:spacing w:line="240" w:lineRule="auto"/>
        <w:rPr>
          <w:rFonts w:eastAsia="DejaVuSerifCondensed" w:cs="DejaVuSerifCondensed"/>
          <w:b/>
          <w:bCs/>
        </w:rPr>
      </w:pPr>
      <w:r w:rsidRPr="00477012">
        <w:rPr>
          <w:rFonts w:eastAsia="DejaVuSerifCondensed" w:cs="DejaVuSerifCondensed"/>
          <w:b/>
          <w:bCs/>
        </w:rPr>
        <w:t>Vraag 12</w:t>
      </w:r>
    </w:p>
    <w:p w:rsidRPr="003B3383" w:rsidR="00EE6F0E" w:rsidP="00EE6F0E" w:rsidRDefault="00EE6F0E" w14:paraId="5371F181" w14:textId="77777777">
      <w:pPr>
        <w:rPr>
          <w:b/>
          <w:bCs/>
        </w:rPr>
      </w:pPr>
      <w:r w:rsidRPr="003B3383">
        <w:rPr>
          <w:b/>
          <w:bCs/>
        </w:rPr>
        <w:t>Worden er vanuit Europa stappen ondernomen om Malta aan te spreken op de aangenomen Bill-55?</w:t>
      </w:r>
    </w:p>
    <w:p w:rsidR="00EE6F0E" w:rsidP="00EE6F0E" w:rsidRDefault="00EE6F0E" w14:paraId="554ACE49" w14:textId="77777777">
      <w:pPr>
        <w:rPr>
          <w:b/>
          <w:bCs/>
        </w:rPr>
      </w:pPr>
      <w:r w:rsidRPr="00477012">
        <w:rPr>
          <w:b/>
          <w:bCs/>
        </w:rPr>
        <w:t>Antwoord op vra</w:t>
      </w:r>
      <w:r>
        <w:rPr>
          <w:b/>
          <w:bCs/>
        </w:rPr>
        <w:t xml:space="preserve">gen 11 en </w:t>
      </w:r>
      <w:r w:rsidRPr="00477012">
        <w:rPr>
          <w:b/>
          <w:bCs/>
        </w:rPr>
        <w:t>12</w:t>
      </w:r>
    </w:p>
    <w:p w:rsidR="00EE6F0E" w:rsidP="00EE6F0E" w:rsidRDefault="00EE6F0E" w14:paraId="31D899FE" w14:textId="77777777">
      <w:r>
        <w:t>Ik heb</w:t>
      </w:r>
      <w:r w:rsidRPr="005204E1">
        <w:t xml:space="preserve"> contact met andere lidstaten </w:t>
      </w:r>
      <w:r>
        <w:t xml:space="preserve">die onze zorgen over de mogelijke gevolgen van de Maltese wet Bill 55 delen en </w:t>
      </w:r>
      <w:r w:rsidRPr="005204E1">
        <w:t>over gerechtelijke uitspraken inza</w:t>
      </w:r>
      <w:r>
        <w:t>k</w:t>
      </w:r>
      <w:r w:rsidRPr="005204E1">
        <w:t xml:space="preserve">e </w:t>
      </w:r>
      <w:r>
        <w:t xml:space="preserve">deze wet. Ook </w:t>
      </w:r>
      <w:r>
        <w:lastRenderedPageBreak/>
        <w:t>volg ik nauwgezet de lopende procedures bij het Hof van Justitie van de Europese Unie (HvJEU), waarbij prejudiciële vragen gesteld zijn over de werking van Bill 55. Hierbij zijn met name de prejudiciële vragen die Oostenrijk gesteld heeft van belang. Op 16 oktober 2024 heeft het Handelsgericht Wien in Oostenrijk aan het HvJEU gevraagd om overeenkomstig artikel 267 VWEU een prejudiciële beslissing te nemen over een rechtszaak die betrekking heeft op de terugbetaling van spelersverliezen die zijn geleden bij illegale kansspelaanbieders op grond van een nietige overeenkomst.</w:t>
      </w:r>
      <w:r>
        <w:rPr>
          <w:rStyle w:val="Voetnootmarkering"/>
        </w:rPr>
        <w:footnoteReference w:id="6"/>
      </w:r>
      <w:r>
        <w:t xml:space="preserve"> </w:t>
      </w:r>
    </w:p>
    <w:p w:rsidR="00EE6F0E" w:rsidP="00EE6F0E" w:rsidRDefault="00EE6F0E" w14:paraId="5D986616" w14:textId="77777777"/>
    <w:p w:rsidR="00EE6F0E" w:rsidP="00EE6F0E" w:rsidRDefault="00EE6F0E" w14:paraId="3A913867" w14:textId="77777777">
      <w:r>
        <w:t>Daarnaast heeft Malta zelf prejudiciële vragen gesteld over de verenigbaarheid van Duits recht met Europees recht, in een zaak waarbij een Duitse eiser verliezen terugeist van in Malta gevestigde en vergunde kansspelaanbieders.</w:t>
      </w:r>
      <w:r>
        <w:rPr>
          <w:rStyle w:val="Voetnootmarkering"/>
        </w:rPr>
        <w:footnoteReference w:id="7"/>
      </w:r>
      <w:r>
        <w:t xml:space="preserve"> Gezien</w:t>
      </w:r>
      <w:r w:rsidRPr="00824830">
        <w:t xml:space="preserve"> de context van lopende procedures </w:t>
      </w:r>
      <w:r>
        <w:t xml:space="preserve">en het bindende karakter van uitspraken van de HvJEU </w:t>
      </w:r>
      <w:r w:rsidRPr="00824830">
        <w:t xml:space="preserve">zie ik op dit moment geen toegevoegde waarde om Malta aan te spreken. </w:t>
      </w:r>
    </w:p>
    <w:p w:rsidR="00EE6F0E" w:rsidP="00EE6F0E" w:rsidRDefault="00EE6F0E" w14:paraId="702D9C29" w14:textId="77777777">
      <w:r>
        <w:t>Meerdere landen, waaronder Nederland, hebben de zorgen over de onverenigbaarheid van de Bill 55 met het EU-recht onder de aandacht gebracht van de Europese Commissie. De Europese Commissie heeft op 18 juni jl. een formele inbreukprocedure aangekondigd tegen Malta vanwege Bill 55.</w:t>
      </w:r>
      <w:r>
        <w:rPr>
          <w:rStyle w:val="Voetnootmarkering"/>
        </w:rPr>
        <w:footnoteReference w:id="8"/>
      </w:r>
      <w:r>
        <w:t xml:space="preserve"> Volgens de Commissie overtreedt Malta met deze de wetgeving de Europese Verordening betreffende bevoegdheid en erkenning van rechterlijke uitspraken. De </w:t>
      </w:r>
      <w:r w:rsidRPr="00991F53">
        <w:t>Commissie stuurt een aanmaningsbrief aan Malta, waarna het land twee maanden de tijd heeft om te reageren en de door de Commissie geconstateerde tekortkomingen aan te pakken. Komt er geen bevredigend antwoord, dan kan de Commissie besluiten een met redenen omkleed advies uit</w:t>
      </w:r>
      <w:r>
        <w:t xml:space="preserve"> te </w:t>
      </w:r>
      <w:r w:rsidRPr="00991F53">
        <w:t>brengen.</w:t>
      </w:r>
      <w:r>
        <w:t xml:space="preserve"> Mocht daar geen afdoende reactie uit blijken, kan de zaak worden voorgelegd bij het HvJEU. Ik ben zeer verheugd met de genomen stappen door de Europese Commissie en onderschrijf de constateringen van de Commissie. </w:t>
      </w:r>
    </w:p>
    <w:p w:rsidR="00EE6F0E" w:rsidP="00EE6F0E" w:rsidRDefault="00EE6F0E" w14:paraId="20CCBB72" w14:textId="77777777">
      <w:pPr>
        <w:spacing w:line="240" w:lineRule="auto"/>
      </w:pPr>
    </w:p>
    <w:p w:rsidR="00ED3A40" w:rsidRDefault="00ED3A40" w14:paraId="693FC347" w14:textId="77777777"/>
    <w:sectPr w:rsidR="00ED3A40" w:rsidSect="00EE6F0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9960" w14:textId="77777777" w:rsidR="00EE6F0E" w:rsidRDefault="00EE6F0E" w:rsidP="00EE6F0E">
      <w:pPr>
        <w:spacing w:after="0" w:line="240" w:lineRule="auto"/>
      </w:pPr>
      <w:r>
        <w:separator/>
      </w:r>
    </w:p>
  </w:endnote>
  <w:endnote w:type="continuationSeparator" w:id="0">
    <w:p w14:paraId="00465AC0" w14:textId="77777777" w:rsidR="00EE6F0E" w:rsidRDefault="00EE6F0E" w:rsidP="00EE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D789" w14:textId="77777777" w:rsidR="00EE6F0E" w:rsidRPr="00EE6F0E" w:rsidRDefault="00EE6F0E" w:rsidP="00EE6F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797C" w14:textId="77777777" w:rsidR="00EE6F0E" w:rsidRPr="00EE6F0E" w:rsidRDefault="00EE6F0E" w:rsidP="00EE6F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5DC4" w14:textId="77777777" w:rsidR="00EE6F0E" w:rsidRPr="00EE6F0E" w:rsidRDefault="00EE6F0E" w:rsidP="00EE6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D6F0" w14:textId="77777777" w:rsidR="00EE6F0E" w:rsidRDefault="00EE6F0E" w:rsidP="00EE6F0E">
      <w:pPr>
        <w:spacing w:after="0" w:line="240" w:lineRule="auto"/>
      </w:pPr>
      <w:r>
        <w:separator/>
      </w:r>
    </w:p>
  </w:footnote>
  <w:footnote w:type="continuationSeparator" w:id="0">
    <w:p w14:paraId="3045A7AA" w14:textId="77777777" w:rsidR="00EE6F0E" w:rsidRDefault="00EE6F0E" w:rsidP="00EE6F0E">
      <w:pPr>
        <w:spacing w:after="0" w:line="240" w:lineRule="auto"/>
      </w:pPr>
      <w:r>
        <w:continuationSeparator/>
      </w:r>
    </w:p>
  </w:footnote>
  <w:footnote w:id="1">
    <w:p w14:paraId="34CD96EA" w14:textId="77777777" w:rsidR="00EE6F0E" w:rsidRPr="00720C46" w:rsidRDefault="00EE6F0E" w:rsidP="00EE6F0E">
      <w:pPr>
        <w:pStyle w:val="Voetnoottekst"/>
        <w:rPr>
          <w:sz w:val="16"/>
          <w:szCs w:val="16"/>
          <w:lang w:val="nl-NL"/>
        </w:rPr>
      </w:pPr>
      <w:r w:rsidRPr="00720C46">
        <w:rPr>
          <w:rStyle w:val="Voetnootmarkering"/>
          <w:sz w:val="16"/>
          <w:szCs w:val="16"/>
        </w:rPr>
        <w:footnoteRef/>
      </w:r>
      <w:r w:rsidRPr="00720C46">
        <w:rPr>
          <w:sz w:val="16"/>
          <w:szCs w:val="16"/>
          <w:lang w:val="nl-NL"/>
        </w:rPr>
        <w:t xml:space="preserve"> Telegraaf, 15 mei 2025, https://www.telegraaf.nl/nieuws/563781657/gokgedupeerden-willen-hun-geld-terug-van-onlinecasino-s-maken-ze-een-kans-ze-drukten-toch-zelf-op-het-knopje </w:t>
      </w:r>
    </w:p>
  </w:footnote>
  <w:footnote w:id="2">
    <w:p w14:paraId="4E237057" w14:textId="77777777" w:rsidR="00EE6F0E" w:rsidRPr="00720C46" w:rsidRDefault="00EE6F0E" w:rsidP="00EE6F0E">
      <w:pPr>
        <w:pStyle w:val="Voetnoottekst"/>
        <w:rPr>
          <w:sz w:val="16"/>
          <w:szCs w:val="16"/>
          <w:lang w:val="nl-NL"/>
        </w:rPr>
      </w:pPr>
      <w:r w:rsidRPr="00720C46">
        <w:rPr>
          <w:rStyle w:val="Voetnootmarkering"/>
          <w:sz w:val="16"/>
          <w:szCs w:val="16"/>
        </w:rPr>
        <w:footnoteRef/>
      </w:r>
      <w:r w:rsidRPr="00720C46">
        <w:rPr>
          <w:sz w:val="16"/>
          <w:szCs w:val="16"/>
          <w:lang w:val="nl-NL"/>
        </w:rPr>
        <w:t xml:space="preserve"> https://radar.avrotros.nl/artikel/fragment-gokbedrijven-weigeren-gegevens-te-delen-61615</w:t>
      </w:r>
    </w:p>
  </w:footnote>
  <w:footnote w:id="3">
    <w:p w14:paraId="40999192" w14:textId="77777777" w:rsidR="00EE6F0E" w:rsidRPr="00720C46" w:rsidRDefault="00EE6F0E" w:rsidP="00EE6F0E">
      <w:pPr>
        <w:pStyle w:val="Voetnoottekst"/>
        <w:rPr>
          <w:sz w:val="16"/>
          <w:szCs w:val="16"/>
          <w:lang w:val="nl-NL"/>
        </w:rPr>
      </w:pPr>
      <w:r w:rsidRPr="00720C46">
        <w:rPr>
          <w:rStyle w:val="Voetnootmarkering"/>
          <w:sz w:val="16"/>
          <w:szCs w:val="16"/>
        </w:rPr>
        <w:footnoteRef/>
      </w:r>
      <w:r w:rsidRPr="00720C46">
        <w:rPr>
          <w:sz w:val="16"/>
          <w:szCs w:val="16"/>
          <w:lang w:val="nl-NL"/>
        </w:rPr>
        <w:t xml:space="preserve"> Kamerstukken II 2024/25, 0242025-1430</w:t>
      </w:r>
    </w:p>
  </w:footnote>
  <w:footnote w:id="4">
    <w:p w14:paraId="5E727151" w14:textId="77777777" w:rsidR="00EE6F0E" w:rsidRPr="00720C46" w:rsidRDefault="00EE6F0E" w:rsidP="00EE6F0E">
      <w:pPr>
        <w:pStyle w:val="Voetnoottekst"/>
        <w:rPr>
          <w:sz w:val="16"/>
          <w:szCs w:val="16"/>
          <w:lang w:val="nl-NL"/>
        </w:rPr>
      </w:pPr>
      <w:r w:rsidRPr="00720C46">
        <w:rPr>
          <w:rStyle w:val="Voetnootmarkering"/>
          <w:sz w:val="16"/>
          <w:szCs w:val="16"/>
        </w:rPr>
        <w:footnoteRef/>
      </w:r>
      <w:r w:rsidRPr="00720C46">
        <w:rPr>
          <w:sz w:val="16"/>
          <w:szCs w:val="16"/>
          <w:lang w:val="nl-NL"/>
        </w:rPr>
        <w:t xml:space="preserve"> </w:t>
      </w:r>
      <w:r w:rsidRPr="00720C46">
        <w:rPr>
          <w:i/>
          <w:iCs/>
          <w:sz w:val="16"/>
          <w:szCs w:val="16"/>
          <w:lang w:val="nl-NL"/>
        </w:rPr>
        <w:t>Kamerstukken II 2013/14</w:t>
      </w:r>
      <w:r w:rsidRPr="00720C46">
        <w:rPr>
          <w:sz w:val="16"/>
          <w:szCs w:val="16"/>
          <w:lang w:val="nl-NL"/>
        </w:rPr>
        <w:t xml:space="preserve">, </w:t>
      </w:r>
      <w:r>
        <w:rPr>
          <w:sz w:val="16"/>
          <w:szCs w:val="16"/>
          <w:lang w:val="nl-NL"/>
        </w:rPr>
        <w:t>M</w:t>
      </w:r>
      <w:r w:rsidRPr="00720C46">
        <w:rPr>
          <w:sz w:val="16"/>
          <w:szCs w:val="16"/>
          <w:lang w:val="nl-NL"/>
        </w:rPr>
        <w:t>emorie van toelichting, 33 996 nr. 3.</w:t>
      </w:r>
    </w:p>
  </w:footnote>
  <w:footnote w:id="5">
    <w:p w14:paraId="6772241D" w14:textId="77777777" w:rsidR="00EE6F0E" w:rsidRPr="005C42B3" w:rsidRDefault="00EE6F0E" w:rsidP="00EE6F0E">
      <w:pPr>
        <w:pStyle w:val="Voetnoottekst"/>
        <w:rPr>
          <w:lang w:val="nl-NL"/>
        </w:rPr>
      </w:pPr>
      <w:r>
        <w:rPr>
          <w:rStyle w:val="Voetnootmarkering"/>
        </w:rPr>
        <w:footnoteRef/>
      </w:r>
      <w:r w:rsidRPr="005C42B3">
        <w:rPr>
          <w:sz w:val="16"/>
          <w:szCs w:val="16"/>
          <w:lang w:val="nl-NL"/>
        </w:rPr>
        <w:t xml:space="preserve"> Uitspraak van 4 juli </w:t>
      </w:r>
      <w:r>
        <w:rPr>
          <w:sz w:val="16"/>
          <w:szCs w:val="16"/>
          <w:lang w:val="nl-NL"/>
        </w:rPr>
        <w:t xml:space="preserve">2025 </w:t>
      </w:r>
      <w:r w:rsidRPr="005C42B3">
        <w:rPr>
          <w:sz w:val="16"/>
          <w:szCs w:val="16"/>
          <w:lang w:val="nl-NL"/>
        </w:rPr>
        <w:t>Rechtbank Amsterdam: ECLI:NL:RBAMS:2025:4663; Uitspraak van 7 juli</w:t>
      </w:r>
      <w:r w:rsidRPr="00C307B3">
        <w:rPr>
          <w:sz w:val="16"/>
          <w:szCs w:val="16"/>
          <w:lang w:val="nl-NL"/>
        </w:rPr>
        <w:t xml:space="preserve"> </w:t>
      </w:r>
      <w:r>
        <w:rPr>
          <w:sz w:val="16"/>
          <w:szCs w:val="16"/>
          <w:lang w:val="nl-NL"/>
        </w:rPr>
        <w:t xml:space="preserve">2025 </w:t>
      </w:r>
      <w:r w:rsidRPr="00C307B3">
        <w:rPr>
          <w:sz w:val="16"/>
          <w:szCs w:val="16"/>
          <w:lang w:val="nl-NL"/>
        </w:rPr>
        <w:t>Rechtbank Amsterdam</w:t>
      </w:r>
      <w:r w:rsidRPr="00C307B3">
        <w:rPr>
          <w:lang w:val="nl-NL"/>
        </w:rPr>
        <w:t xml:space="preserve">: </w:t>
      </w:r>
      <w:r w:rsidRPr="005C42B3">
        <w:rPr>
          <w:sz w:val="16"/>
          <w:szCs w:val="16"/>
          <w:lang w:val="nl-NL"/>
        </w:rPr>
        <w:t>ECLI:NL:RBAMS:2025:4721</w:t>
      </w:r>
    </w:p>
  </w:footnote>
  <w:footnote w:id="6">
    <w:p w14:paraId="20E057C2" w14:textId="77777777" w:rsidR="00EE6F0E" w:rsidRPr="00A65D6A" w:rsidRDefault="00EE6F0E" w:rsidP="00EE6F0E">
      <w:pPr>
        <w:pStyle w:val="Voetnoottekst"/>
        <w:rPr>
          <w:sz w:val="16"/>
          <w:szCs w:val="16"/>
          <w:lang w:val="de-DE"/>
        </w:rPr>
      </w:pPr>
      <w:r w:rsidRPr="00A65D6A">
        <w:rPr>
          <w:rStyle w:val="Voetnootmarkering"/>
          <w:sz w:val="16"/>
          <w:szCs w:val="16"/>
        </w:rPr>
        <w:footnoteRef/>
      </w:r>
      <w:r w:rsidRPr="00A65D6A">
        <w:rPr>
          <w:sz w:val="16"/>
          <w:szCs w:val="16"/>
          <w:lang w:val="nl-NL"/>
        </w:rPr>
        <w:t xml:space="preserve"> </w:t>
      </w:r>
      <w:r w:rsidRPr="003D4A9E">
        <w:rPr>
          <w:sz w:val="16"/>
          <w:szCs w:val="16"/>
          <w:lang w:val="nl-NL"/>
        </w:rPr>
        <w:t xml:space="preserve">Hof van Justitie van de Europese Unie. </w:t>
      </w:r>
      <w:r w:rsidRPr="003D4A9E">
        <w:rPr>
          <w:sz w:val="16"/>
          <w:szCs w:val="16"/>
          <w:lang w:val="de-DE"/>
        </w:rPr>
        <w:t xml:space="preserve">(z.d.). </w:t>
      </w:r>
      <w:r w:rsidRPr="003D4A9E">
        <w:rPr>
          <w:i/>
          <w:iCs/>
          <w:sz w:val="16"/>
          <w:szCs w:val="16"/>
          <w:lang w:val="de-DE"/>
        </w:rPr>
        <w:t>Zaak C-683/24, Spielerschutz Sigma</w:t>
      </w:r>
      <w:r w:rsidRPr="003D4A9E">
        <w:rPr>
          <w:sz w:val="16"/>
          <w:szCs w:val="16"/>
          <w:lang w:val="de-DE"/>
        </w:rPr>
        <w:t xml:space="preserve">. </w:t>
      </w:r>
    </w:p>
  </w:footnote>
  <w:footnote w:id="7">
    <w:p w14:paraId="5993848B" w14:textId="77777777" w:rsidR="00EE6F0E" w:rsidRPr="00A65D6A" w:rsidRDefault="00EE6F0E" w:rsidP="00EE6F0E">
      <w:pPr>
        <w:pStyle w:val="Voetnoottekst"/>
        <w:rPr>
          <w:sz w:val="16"/>
          <w:szCs w:val="16"/>
          <w:lang w:val="de-DE"/>
        </w:rPr>
      </w:pPr>
      <w:r w:rsidRPr="00A65D6A">
        <w:rPr>
          <w:rStyle w:val="Voetnootmarkering"/>
          <w:sz w:val="16"/>
          <w:szCs w:val="16"/>
        </w:rPr>
        <w:footnoteRef/>
      </w:r>
      <w:r w:rsidRPr="00A65D6A">
        <w:rPr>
          <w:sz w:val="16"/>
          <w:szCs w:val="16"/>
          <w:lang w:val="nl-NL"/>
        </w:rPr>
        <w:t xml:space="preserve"> </w:t>
      </w:r>
      <w:r w:rsidRPr="003D4A9E">
        <w:rPr>
          <w:sz w:val="16"/>
          <w:szCs w:val="16"/>
          <w:lang w:val="nl-NL"/>
        </w:rPr>
        <w:t xml:space="preserve">Hof van Justitie van de Europese Unie. </w:t>
      </w:r>
      <w:r w:rsidRPr="003D4A9E">
        <w:rPr>
          <w:sz w:val="16"/>
          <w:szCs w:val="16"/>
          <w:lang w:val="de-DE"/>
        </w:rPr>
        <w:t xml:space="preserve">(z.d.). </w:t>
      </w:r>
      <w:r w:rsidRPr="003D4A9E">
        <w:rPr>
          <w:i/>
          <w:iCs/>
          <w:sz w:val="16"/>
          <w:szCs w:val="16"/>
          <w:lang w:val="de-DE"/>
        </w:rPr>
        <w:t>Zaak C-440/23, European Lotto and Betting en Deutsche Lotto- und Sportwetten</w:t>
      </w:r>
      <w:r w:rsidRPr="003D4A9E">
        <w:rPr>
          <w:sz w:val="16"/>
          <w:szCs w:val="16"/>
          <w:lang w:val="de-DE"/>
        </w:rPr>
        <w:t xml:space="preserve">. </w:t>
      </w:r>
    </w:p>
  </w:footnote>
  <w:footnote w:id="8">
    <w:p w14:paraId="0B50A4E3" w14:textId="77777777" w:rsidR="00EE6F0E" w:rsidRPr="00FF3E84" w:rsidRDefault="00EE6F0E" w:rsidP="00EE6F0E">
      <w:pPr>
        <w:pStyle w:val="Voetnoottekst"/>
        <w:rPr>
          <w:sz w:val="16"/>
          <w:szCs w:val="16"/>
          <w:lang w:val="nl-NL"/>
        </w:rPr>
      </w:pPr>
      <w:r w:rsidRPr="00FF3E84">
        <w:rPr>
          <w:rStyle w:val="Voetnootmarkering"/>
          <w:sz w:val="16"/>
          <w:szCs w:val="16"/>
        </w:rPr>
        <w:footnoteRef/>
      </w:r>
      <w:r w:rsidRPr="00FF3E84">
        <w:rPr>
          <w:sz w:val="16"/>
          <w:szCs w:val="16"/>
          <w:lang w:val="nl-NL"/>
        </w:rPr>
        <w:t xml:space="preserve"> Europese Co</w:t>
      </w:r>
      <w:r>
        <w:rPr>
          <w:sz w:val="16"/>
          <w:szCs w:val="16"/>
          <w:lang w:val="nl-NL"/>
        </w:rPr>
        <w:t>m</w:t>
      </w:r>
      <w:r w:rsidRPr="00FF3E84">
        <w:rPr>
          <w:sz w:val="16"/>
          <w:szCs w:val="16"/>
          <w:lang w:val="nl-NL"/>
        </w:rPr>
        <w:t xml:space="preserve">missie </w:t>
      </w:r>
      <w:r>
        <w:rPr>
          <w:sz w:val="16"/>
          <w:szCs w:val="16"/>
          <w:lang w:val="nl-NL"/>
        </w:rPr>
        <w:t>heeft dit aangekondigd in</w:t>
      </w:r>
      <w:r w:rsidRPr="00FF3E84">
        <w:rPr>
          <w:sz w:val="16"/>
          <w:szCs w:val="16"/>
          <w:lang w:val="nl-NL"/>
        </w:rPr>
        <w:t xml:space="preserve"> </w:t>
      </w:r>
      <w:r>
        <w:rPr>
          <w:sz w:val="16"/>
          <w:szCs w:val="16"/>
          <w:lang w:val="nl-NL"/>
        </w:rPr>
        <w:t xml:space="preserve">inbreukenpakket voor juni: voornaamste beslissingen, zie: </w:t>
      </w:r>
      <w:hyperlink r:id="rId1" w:history="1">
        <w:r w:rsidRPr="007E12F2">
          <w:rPr>
            <w:rStyle w:val="Hyperlink"/>
            <w:sz w:val="16"/>
            <w:szCs w:val="16"/>
            <w:lang w:val="nl-NL"/>
          </w:rPr>
          <w:t>https://ec.europa.eu/commission/presscorner/detail/nl/inf_25_1241</w:t>
        </w:r>
      </w:hyperlink>
      <w:r w:rsidRPr="00FF3E84">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018E" w14:textId="77777777" w:rsidR="00EE6F0E" w:rsidRPr="00EE6F0E" w:rsidRDefault="00EE6F0E" w:rsidP="00EE6F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391A" w14:textId="77777777" w:rsidR="00EE6F0E" w:rsidRPr="00EE6F0E" w:rsidRDefault="00EE6F0E" w:rsidP="00EE6F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D470" w14:textId="77777777" w:rsidR="00EE6F0E" w:rsidRPr="00EE6F0E" w:rsidRDefault="00EE6F0E" w:rsidP="00EE6F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E"/>
    <w:rsid w:val="00B6524C"/>
    <w:rsid w:val="00ED3A40"/>
    <w:rsid w:val="00EE6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53F7"/>
  <w15:chartTrackingRefBased/>
  <w15:docId w15:val="{E381CD61-F42B-43CA-8B7B-8CB22CB1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6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E6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E6F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E6F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E6F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E6F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6F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6F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6F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6F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E6F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E6F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E6F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E6F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E6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6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6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6F0E"/>
    <w:rPr>
      <w:rFonts w:eastAsiaTheme="majorEastAsia" w:cstheme="majorBidi"/>
      <w:color w:val="272727" w:themeColor="text1" w:themeTint="D8"/>
    </w:rPr>
  </w:style>
  <w:style w:type="paragraph" w:styleId="Titel">
    <w:name w:val="Title"/>
    <w:basedOn w:val="Standaard"/>
    <w:next w:val="Standaard"/>
    <w:link w:val="TitelChar"/>
    <w:uiPriority w:val="10"/>
    <w:qFormat/>
    <w:rsid w:val="00EE6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6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6F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6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6F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6F0E"/>
    <w:rPr>
      <w:i/>
      <w:iCs/>
      <w:color w:val="404040" w:themeColor="text1" w:themeTint="BF"/>
    </w:rPr>
  </w:style>
  <w:style w:type="paragraph" w:styleId="Lijstalinea">
    <w:name w:val="List Paragraph"/>
    <w:basedOn w:val="Standaard"/>
    <w:uiPriority w:val="34"/>
    <w:qFormat/>
    <w:rsid w:val="00EE6F0E"/>
    <w:pPr>
      <w:ind w:left="720"/>
      <w:contextualSpacing/>
    </w:pPr>
  </w:style>
  <w:style w:type="character" w:styleId="Intensievebenadrukking">
    <w:name w:val="Intense Emphasis"/>
    <w:basedOn w:val="Standaardalinea-lettertype"/>
    <w:uiPriority w:val="21"/>
    <w:qFormat/>
    <w:rsid w:val="00EE6F0E"/>
    <w:rPr>
      <w:i/>
      <w:iCs/>
      <w:color w:val="2F5496" w:themeColor="accent1" w:themeShade="BF"/>
    </w:rPr>
  </w:style>
  <w:style w:type="paragraph" w:styleId="Duidelijkcitaat">
    <w:name w:val="Intense Quote"/>
    <w:basedOn w:val="Standaard"/>
    <w:next w:val="Standaard"/>
    <w:link w:val="DuidelijkcitaatChar"/>
    <w:uiPriority w:val="30"/>
    <w:qFormat/>
    <w:rsid w:val="00EE6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E6F0E"/>
    <w:rPr>
      <w:i/>
      <w:iCs/>
      <w:color w:val="2F5496" w:themeColor="accent1" w:themeShade="BF"/>
    </w:rPr>
  </w:style>
  <w:style w:type="character" w:styleId="Intensieveverwijzing">
    <w:name w:val="Intense Reference"/>
    <w:basedOn w:val="Standaardalinea-lettertype"/>
    <w:uiPriority w:val="32"/>
    <w:qFormat/>
    <w:rsid w:val="00EE6F0E"/>
    <w:rPr>
      <w:b/>
      <w:bCs/>
      <w:smallCaps/>
      <w:color w:val="2F5496" w:themeColor="accent1" w:themeShade="BF"/>
      <w:spacing w:val="5"/>
    </w:rPr>
  </w:style>
  <w:style w:type="character" w:styleId="Hyperlink">
    <w:name w:val="Hyperlink"/>
    <w:basedOn w:val="Standaardalinea-lettertype"/>
    <w:uiPriority w:val="99"/>
    <w:unhideWhenUsed/>
    <w:rsid w:val="00EE6F0E"/>
    <w:rPr>
      <w:color w:val="0563C1" w:themeColor="hyperlink"/>
      <w:u w:val="single"/>
    </w:rPr>
  </w:style>
  <w:style w:type="paragraph" w:styleId="Voetnoottekst">
    <w:name w:val="footnote text"/>
    <w:basedOn w:val="Standaard"/>
    <w:link w:val="VoetnoottekstChar"/>
    <w:uiPriority w:val="99"/>
    <w:semiHidden/>
    <w:unhideWhenUsed/>
    <w:rsid w:val="00EE6F0E"/>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E6F0E"/>
    <w:rPr>
      <w:rFonts w:ascii="Verdana" w:hAnsi="Verdana"/>
      <w:sz w:val="20"/>
      <w:szCs w:val="20"/>
      <w:lang w:val="en-US"/>
    </w:rPr>
  </w:style>
  <w:style w:type="character" w:styleId="Voetnootmarkering">
    <w:name w:val="footnote reference"/>
    <w:basedOn w:val="Standaardalinea-lettertype"/>
    <w:uiPriority w:val="99"/>
    <w:semiHidden/>
    <w:unhideWhenUsed/>
    <w:rsid w:val="00EE6F0E"/>
    <w:rPr>
      <w:vertAlign w:val="superscript"/>
    </w:rPr>
  </w:style>
  <w:style w:type="character" w:styleId="Verwijzingopmerking">
    <w:name w:val="annotation reference"/>
    <w:basedOn w:val="Standaardalinea-lettertype"/>
    <w:uiPriority w:val="99"/>
    <w:semiHidden/>
    <w:unhideWhenUsed/>
    <w:rsid w:val="00EE6F0E"/>
    <w:rPr>
      <w:sz w:val="16"/>
      <w:szCs w:val="16"/>
    </w:rPr>
  </w:style>
  <w:style w:type="paragraph" w:styleId="Koptekst">
    <w:name w:val="header"/>
    <w:basedOn w:val="Standaard"/>
    <w:link w:val="KoptekstChar"/>
    <w:uiPriority w:val="99"/>
    <w:unhideWhenUsed/>
    <w:rsid w:val="00EE6F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6F0E"/>
  </w:style>
  <w:style w:type="paragraph" w:styleId="Voettekst">
    <w:name w:val="footer"/>
    <w:basedOn w:val="Standaard"/>
    <w:link w:val="VoettekstChar"/>
    <w:uiPriority w:val="99"/>
    <w:unhideWhenUsed/>
    <w:rsid w:val="00EE6F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nl/inf_25_124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1936</ap:Words>
  <ap:Characters>10650</ap:Characters>
  <ap:DocSecurity>0</ap:DocSecurity>
  <ap:Lines>88</ap:Lines>
  <ap:Paragraphs>25</ap:Paragraphs>
  <ap:ScaleCrop>false</ap:ScaleCrop>
  <ap:LinksUpToDate>false</ap:LinksUpToDate>
  <ap:CharactersWithSpaces>12561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2025-07-11T20:16:00.0000000Z</dcterms:created>
  <dcterms:modified xsi:type="dcterms:W3CDTF">2025-07-11T20:17:00.0000000Z</dcterms:modified>
  <version/>
  <category/>
</coreProperties>
</file>