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4D74" w:rsidP="00570D54" w:rsidRDefault="00BC4D74" w14:paraId="75CD97D9" w14:textId="77777777">
      <w:pPr>
        <w:pStyle w:val="Geenafstand"/>
        <w:rPr>
          <w:rFonts w:ascii="Verdana" w:hAnsi="Verdana"/>
          <w:b/>
          <w:bCs/>
          <w:sz w:val="24"/>
          <w:szCs w:val="24"/>
        </w:rPr>
      </w:pPr>
    </w:p>
    <w:p w:rsidRPr="00763F25" w:rsidR="00570D54" w:rsidP="00570D54" w:rsidRDefault="00570D54" w14:paraId="42C45BF2" w14:textId="070C16A6">
      <w:pPr>
        <w:pStyle w:val="Geenafstand"/>
        <w:rPr>
          <w:rFonts w:ascii="Verdana" w:hAnsi="Verdana"/>
          <w:b/>
          <w:bCs/>
          <w:sz w:val="24"/>
          <w:szCs w:val="24"/>
        </w:rPr>
      </w:pPr>
      <w:r w:rsidRPr="00763F25">
        <w:rPr>
          <w:rFonts w:ascii="Verdana" w:hAnsi="Verdana"/>
          <w:b/>
          <w:bCs/>
          <w:sz w:val="24"/>
          <w:szCs w:val="24"/>
        </w:rPr>
        <w:t xml:space="preserve">Inspectieresultaten </w:t>
      </w:r>
      <w:r w:rsidR="00AB6D51">
        <w:rPr>
          <w:rFonts w:ascii="Verdana" w:hAnsi="Verdana"/>
          <w:b/>
          <w:bCs/>
          <w:sz w:val="24"/>
          <w:szCs w:val="24"/>
        </w:rPr>
        <w:t xml:space="preserve">Verkoopverboden </w:t>
      </w:r>
      <w:r w:rsidRPr="00B91BDD">
        <w:rPr>
          <w:rFonts w:ascii="Verdana" w:hAnsi="Verdana"/>
          <w:b/>
          <w:bCs/>
          <w:sz w:val="24"/>
          <w:szCs w:val="24"/>
        </w:rPr>
        <w:t>202</w:t>
      </w:r>
      <w:r w:rsidRPr="00B91BDD" w:rsidR="00335BED">
        <w:rPr>
          <w:rFonts w:ascii="Verdana" w:hAnsi="Verdana"/>
          <w:b/>
          <w:bCs/>
          <w:sz w:val="24"/>
          <w:szCs w:val="24"/>
        </w:rPr>
        <w:t>4</w:t>
      </w:r>
      <w:r w:rsidRPr="00763F25">
        <w:rPr>
          <w:rFonts w:ascii="Verdana" w:hAnsi="Verdana"/>
          <w:b/>
          <w:bCs/>
          <w:sz w:val="24"/>
          <w:szCs w:val="24"/>
        </w:rPr>
        <w:t xml:space="preserve"> </w:t>
      </w:r>
    </w:p>
    <w:p w:rsidR="00BC4D74" w:rsidP="00570D54" w:rsidRDefault="00BC4D74" w14:paraId="295C2C20" w14:textId="77777777">
      <w:pPr>
        <w:pStyle w:val="Geenafstand"/>
        <w:rPr>
          <w:i/>
          <w:iCs/>
        </w:rPr>
      </w:pPr>
    </w:p>
    <w:p w:rsidRPr="00763F25" w:rsidR="00570D54" w:rsidP="00570D54" w:rsidRDefault="00BC4D74" w14:paraId="0C765323" w14:textId="6B474CDA">
      <w:pPr>
        <w:pStyle w:val="Geenafstand"/>
        <w:rPr>
          <w:i/>
          <w:iCs/>
        </w:rPr>
      </w:pPr>
      <w:r>
        <w:rPr>
          <w:i/>
          <w:iCs/>
        </w:rPr>
        <w:t>April</w:t>
      </w:r>
      <w:r w:rsidR="002656FA">
        <w:rPr>
          <w:i/>
          <w:iCs/>
        </w:rPr>
        <w:t xml:space="preserve"> 2025</w:t>
      </w:r>
    </w:p>
    <w:p w:rsidR="00570D54" w:rsidP="00570D54" w:rsidRDefault="00570D54" w14:paraId="32601AD8" w14:textId="77777777">
      <w:pPr>
        <w:pStyle w:val="Geenafstand"/>
        <w:rPr>
          <w:rFonts w:ascii="Verdana" w:hAnsi="Verdana"/>
          <w:b/>
          <w:bCs/>
          <w:sz w:val="18"/>
          <w:szCs w:val="18"/>
        </w:rPr>
      </w:pPr>
    </w:p>
    <w:p w:rsidR="00570D54" w:rsidP="00570D54" w:rsidRDefault="00570D54" w14:paraId="2BF2929F" w14:textId="1FCF0F7D">
      <w:bookmarkStart w:name="Start" w:id="0"/>
      <w:r>
        <w:t xml:space="preserve">Deze factsheet geeft de resultaten weer van het toezicht op de </w:t>
      </w:r>
      <w:r w:rsidR="002656FA">
        <w:t xml:space="preserve">verkoopverboden van </w:t>
      </w:r>
      <w:r w:rsidR="001C2BAA">
        <w:t>rookwaren</w:t>
      </w:r>
      <w:r w:rsidR="002656FA">
        <w:t xml:space="preserve"> op afstand (</w:t>
      </w:r>
      <w:r w:rsidR="003D6DF3">
        <w:t>jan</w:t>
      </w:r>
      <w:r w:rsidR="00CA5C22">
        <w:t>uari</w:t>
      </w:r>
      <w:r w:rsidR="003D6DF3">
        <w:t xml:space="preserve"> 2024 – dec</w:t>
      </w:r>
      <w:r w:rsidR="00CA5C22">
        <w:t>ember</w:t>
      </w:r>
      <w:r w:rsidR="003D6DF3">
        <w:t xml:space="preserve"> 2024</w:t>
      </w:r>
      <w:r w:rsidR="002656FA">
        <w:t>) en in supermarkten</w:t>
      </w:r>
      <w:r w:rsidR="003717BA">
        <w:t xml:space="preserve"> en horeca</w:t>
      </w:r>
      <w:r w:rsidR="002656FA">
        <w:t xml:space="preserve"> (</w:t>
      </w:r>
      <w:r w:rsidR="003D6DF3">
        <w:t>juli 2024 – dec</w:t>
      </w:r>
      <w:r w:rsidR="00CA5C22">
        <w:t>ember</w:t>
      </w:r>
      <w:r w:rsidR="003D6DF3">
        <w:t xml:space="preserve"> 2024</w:t>
      </w:r>
      <w:r w:rsidR="002656FA">
        <w:t>).</w:t>
      </w:r>
      <w:bookmarkEnd w:id="0"/>
    </w:p>
    <w:p w:rsidR="00570D54" w:rsidP="00570D54" w:rsidRDefault="00570D54" w14:paraId="13EFB744" w14:textId="77777777">
      <w:pPr>
        <w:pStyle w:val="Geenafstand"/>
        <w:rPr>
          <w:rFonts w:ascii="Verdana" w:hAnsi="Verdana"/>
          <w:b/>
          <w:bCs/>
        </w:rPr>
      </w:pPr>
    </w:p>
    <w:p w:rsidRPr="00763F25" w:rsidR="00570D54" w:rsidP="00570D54" w:rsidRDefault="00570D54" w14:paraId="6E567132" w14:textId="77777777">
      <w:pPr>
        <w:pStyle w:val="Geenafstand"/>
        <w:rPr>
          <w:rFonts w:ascii="Verdana" w:hAnsi="Verdana"/>
          <w:b/>
          <w:bCs/>
        </w:rPr>
      </w:pPr>
      <w:r w:rsidRPr="00763F25">
        <w:rPr>
          <w:rFonts w:ascii="Verdana" w:hAnsi="Verdana"/>
          <w:b/>
          <w:bCs/>
        </w:rPr>
        <w:t>I</w:t>
      </w:r>
      <w:r>
        <w:rPr>
          <w:rFonts w:ascii="Verdana" w:hAnsi="Verdana"/>
          <w:b/>
          <w:bCs/>
        </w:rPr>
        <w:t xml:space="preserve">n het kort </w:t>
      </w:r>
    </w:p>
    <w:p w:rsidR="00BC4D74" w:rsidP="00BD5DF6" w:rsidRDefault="00BC4D74" w14:paraId="66FD39A1" w14:textId="77777777">
      <w:pPr>
        <w:pStyle w:val="04Body"/>
      </w:pPr>
    </w:p>
    <w:p w:rsidR="0099139F" w:rsidP="00BD5DF6" w:rsidRDefault="00A90B0B" w14:paraId="711B41B3" w14:textId="501594E0">
      <w:pPr>
        <w:pStyle w:val="04Body"/>
      </w:pPr>
      <w:r>
        <w:t xml:space="preserve">Om de toegang van jongeren tot </w:t>
      </w:r>
      <w:r w:rsidR="009F43F0">
        <w:t xml:space="preserve">rookwaren (zoals </w:t>
      </w:r>
      <w:r>
        <w:t>tabak</w:t>
      </w:r>
      <w:r w:rsidR="009F43F0">
        <w:t xml:space="preserve"> en vapes</w:t>
      </w:r>
      <w:r>
        <w:t xml:space="preserve">) te beperken, </w:t>
      </w:r>
      <w:r w:rsidR="0099139F">
        <w:t xml:space="preserve">zijn er verschillende maatregelen genomen waaronder het verkoopverbod van </w:t>
      </w:r>
      <w:r w:rsidR="001C2BAA">
        <w:t>rookwaren</w:t>
      </w:r>
      <w:r w:rsidR="0099139F">
        <w:t xml:space="preserve"> op afstand (zoals bijvoorbeeld online) en in supermarkten</w:t>
      </w:r>
      <w:r w:rsidR="0045077B">
        <w:t xml:space="preserve"> en horeca</w:t>
      </w:r>
      <w:r w:rsidR="0099139F">
        <w:t xml:space="preserve">. </w:t>
      </w:r>
      <w:r w:rsidR="0099139F">
        <w:br/>
      </w:r>
    </w:p>
    <w:p w:rsidRPr="003D6DF3" w:rsidR="00F7344A" w:rsidP="00BD5DF6" w:rsidRDefault="0099139F" w14:paraId="112FC0B2" w14:textId="080E9236">
      <w:pPr>
        <w:pStyle w:val="04Body"/>
      </w:pPr>
      <w:r w:rsidRPr="0099139F">
        <w:t xml:space="preserve">Nederlanders komen meerdere keren per week op locaties waar </w:t>
      </w:r>
      <w:r w:rsidR="001C2BAA">
        <w:t>rookwaren</w:t>
      </w:r>
      <w:r w:rsidRPr="0099139F">
        <w:t xml:space="preserve"> worden verkocht: tijdens het doen van boodschappen in de supermarkt, het tanken, het verzenden van pakketten of het kopen van een tijdschrift bij een tabaks- en gemakszaak en ook steeds meer online.</w:t>
      </w:r>
      <w:r>
        <w:t xml:space="preserve"> De </w:t>
      </w:r>
      <w:r w:rsidRPr="0099139F">
        <w:t xml:space="preserve">regering </w:t>
      </w:r>
      <w:r>
        <w:t xml:space="preserve">kiest </w:t>
      </w:r>
      <w:r w:rsidRPr="0099139F">
        <w:t xml:space="preserve">ervoor de verkoop van </w:t>
      </w:r>
      <w:r w:rsidR="001C2BAA">
        <w:t>rookwaren</w:t>
      </w:r>
      <w:r w:rsidRPr="0099139F">
        <w:t xml:space="preserve"> te beperken tot verkoopkanalen waar doorgaans geen kinderen, jongeren en ex-rokers komen, zodat kan worden voorkomen dat jongeren gaan roken en </w:t>
      </w:r>
      <w:r w:rsidR="009F43F0">
        <w:t>vapen</w:t>
      </w:r>
      <w:r w:rsidRPr="0099139F">
        <w:t>.</w:t>
      </w:r>
      <w:r w:rsidR="003D6DF3">
        <w:br/>
      </w:r>
      <w:r w:rsidR="003D6DF3">
        <w:br/>
      </w:r>
      <w:r w:rsidRPr="003D6DF3" w:rsidR="003D6DF3">
        <w:t xml:space="preserve">Het verminderen van het aantal verkooppunten verlaagt de blootstelling aan </w:t>
      </w:r>
      <w:r w:rsidR="00B71007">
        <w:t>rookwaren</w:t>
      </w:r>
      <w:r w:rsidRPr="003D6DF3" w:rsidR="003D6DF3">
        <w:t xml:space="preserve"> en versterkt de norm dat roken</w:t>
      </w:r>
      <w:r w:rsidR="005B533F">
        <w:t xml:space="preserve"> en vapen</w:t>
      </w:r>
      <w:r w:rsidR="009F43F0">
        <w:t xml:space="preserve"> </w:t>
      </w:r>
      <w:r w:rsidRPr="003D6DF3" w:rsidR="003D6DF3">
        <w:t xml:space="preserve">niet normaal is. Dit vermindert de kans dat jongeren beginnen met roken. </w:t>
      </w:r>
    </w:p>
    <w:p w:rsidRPr="00D83700" w:rsidR="00570D54" w:rsidP="00570D54" w:rsidRDefault="003D6DF3" w14:paraId="3E62B8CF" w14:textId="60BABD2F">
      <w:pPr>
        <w:pStyle w:val="05bKopstijl2"/>
      </w:pPr>
      <w:r>
        <w:t>Verkoopverbod op afstand</w:t>
      </w:r>
      <w:r w:rsidRPr="00D83700" w:rsidR="00570D54">
        <w:t xml:space="preserve"> </w:t>
      </w:r>
    </w:p>
    <w:p w:rsidR="00955A9A" w:rsidP="001C2BAA" w:rsidRDefault="003D6DF3" w14:paraId="2CB480B7" w14:textId="1D143079">
      <w:pPr>
        <w:pStyle w:val="04Body"/>
      </w:pPr>
      <w:r>
        <w:t xml:space="preserve">Sinds </w:t>
      </w:r>
      <w:r w:rsidRPr="003D6DF3">
        <w:t xml:space="preserve">1 juli 2023 </w:t>
      </w:r>
      <w:r>
        <w:t>mogen</w:t>
      </w:r>
      <w:r w:rsidRPr="003D6DF3">
        <w:t xml:space="preserve"> </w:t>
      </w:r>
      <w:r w:rsidR="001C2BAA">
        <w:t>rookwaren</w:t>
      </w:r>
      <w:r w:rsidRPr="003D6DF3">
        <w:t xml:space="preserve"> </w:t>
      </w:r>
      <w:r>
        <w:t xml:space="preserve">niet </w:t>
      </w:r>
      <w:r w:rsidRPr="003D6DF3">
        <w:t xml:space="preserve">meer </w:t>
      </w:r>
      <w:r>
        <w:t xml:space="preserve">worden </w:t>
      </w:r>
      <w:r w:rsidRPr="003D6DF3">
        <w:t xml:space="preserve">aangeboden </w:t>
      </w:r>
      <w:r w:rsidR="000328A5">
        <w:t xml:space="preserve">en </w:t>
      </w:r>
      <w:r w:rsidRPr="003D6DF3">
        <w:t>verko</w:t>
      </w:r>
      <w:r w:rsidR="000328A5">
        <w:t>cht</w:t>
      </w:r>
      <w:r w:rsidRPr="003D6DF3">
        <w:t xml:space="preserve"> op afstand (online) aan consumenten in Nederland.</w:t>
      </w:r>
      <w:r>
        <w:t xml:space="preserve"> </w:t>
      </w:r>
      <w:r w:rsidR="008B7106">
        <w:rPr>
          <w:szCs w:val="18"/>
        </w:rPr>
        <w:t xml:space="preserve">Dit </w:t>
      </w:r>
      <w:r>
        <w:rPr>
          <w:szCs w:val="18"/>
        </w:rPr>
        <w:t xml:space="preserve">verbod geldt ook voor socialmediakanalen. </w:t>
      </w:r>
      <w:r w:rsidRPr="000328A5" w:rsidR="000328A5">
        <w:t>De NVWA controleert diverse websites</w:t>
      </w:r>
      <w:r w:rsidR="000328A5">
        <w:t xml:space="preserve">, </w:t>
      </w:r>
      <w:r w:rsidR="001779A2">
        <w:t xml:space="preserve">online </w:t>
      </w:r>
      <w:r w:rsidR="000328A5">
        <w:t>platformen en socialmediakanalen</w:t>
      </w:r>
      <w:r w:rsidRPr="000328A5" w:rsidR="000328A5">
        <w:t>, onder andere op basis van ontvangen meldingen.</w:t>
      </w:r>
      <w:r w:rsidR="000328A5">
        <w:t xml:space="preserve"> </w:t>
      </w:r>
      <w:r w:rsidRPr="009235AB" w:rsidR="009235AB">
        <w:t xml:space="preserve">Wanneer de NVWA een overtreding op social media constateert, meldt zij dit aan het platform om de content te laten verwijderen. </w:t>
      </w:r>
    </w:p>
    <w:p w:rsidRPr="003717BA" w:rsidR="00570D54" w:rsidP="00570D54" w:rsidRDefault="003717BA" w14:paraId="65705BCF" w14:textId="46A02950">
      <w:pPr>
        <w:pStyle w:val="05bKopstijl2"/>
      </w:pPr>
      <w:r w:rsidRPr="003717BA">
        <w:t>Verkoopverbod in supermarkten en horeca</w:t>
      </w:r>
    </w:p>
    <w:p w:rsidRPr="005B533F" w:rsidR="00D14D30" w:rsidP="0012496E" w:rsidRDefault="00F7344A" w14:paraId="2DFD41B1" w14:textId="726532F8">
      <w:pPr>
        <w:pStyle w:val="04Body"/>
      </w:pPr>
      <w:r>
        <w:t xml:space="preserve">Sinds </w:t>
      </w:r>
      <w:r w:rsidRPr="003D6DF3">
        <w:t>1 juli 202</w:t>
      </w:r>
      <w:r>
        <w:t>4</w:t>
      </w:r>
      <w:r w:rsidRPr="003D6DF3">
        <w:t xml:space="preserve"> </w:t>
      </w:r>
      <w:r>
        <w:t>mogen</w:t>
      </w:r>
      <w:r w:rsidRPr="003D6DF3">
        <w:t xml:space="preserve"> </w:t>
      </w:r>
      <w:r w:rsidR="001C2BAA">
        <w:t>rookwaren</w:t>
      </w:r>
      <w:r w:rsidRPr="003D6DF3">
        <w:t xml:space="preserve"> </w:t>
      </w:r>
      <w:r>
        <w:t xml:space="preserve">niet </w:t>
      </w:r>
      <w:r w:rsidRPr="003D6DF3">
        <w:t xml:space="preserve">meer </w:t>
      </w:r>
      <w:r>
        <w:t xml:space="preserve">worden </w:t>
      </w:r>
      <w:r w:rsidRPr="003D6DF3">
        <w:t xml:space="preserve">aangeboden </w:t>
      </w:r>
      <w:r>
        <w:t>in supermarkten en horeca.</w:t>
      </w:r>
      <w:r w:rsidR="00D34C5F">
        <w:t xml:space="preserve"> </w:t>
      </w:r>
      <w:r w:rsidRPr="00D34C5F" w:rsidR="00D34C5F">
        <w:t xml:space="preserve">Voor wat betreft supermarkten: het verbod geldt voor alle verkooppunten die voornamelijk eet- en drinkwaren aan particulieren verkopen. Dit omvat </w:t>
      </w:r>
      <w:r w:rsidR="00561094">
        <w:t xml:space="preserve">onder andere </w:t>
      </w:r>
      <w:r w:rsidRPr="00D34C5F" w:rsidR="00D34C5F">
        <w:t xml:space="preserve">grote </w:t>
      </w:r>
      <w:r w:rsidR="00CA5C22">
        <w:t xml:space="preserve">en </w:t>
      </w:r>
      <w:r w:rsidRPr="00D34C5F" w:rsidR="00D34C5F">
        <w:t>kleine supermarkten en avondwinkels.</w:t>
      </w:r>
      <w:r w:rsidRPr="00955A9A" w:rsidR="00955A9A">
        <w:t xml:space="preserve"> </w:t>
      </w:r>
      <w:r w:rsidRPr="000328A5" w:rsidR="00955A9A">
        <w:t xml:space="preserve">De NVWA </w:t>
      </w:r>
      <w:r w:rsidR="00955A9A">
        <w:t>houdt hier toezicht op de naleving en maakt daarbij ook gebruik van meldingen en signalen</w:t>
      </w:r>
      <w:r w:rsidRPr="000328A5" w:rsidR="00955A9A">
        <w:t>.</w:t>
      </w:r>
      <w:r w:rsidR="003A19AC">
        <w:br/>
      </w:r>
    </w:p>
    <w:p w:rsidRPr="00AF1396" w:rsidR="00570D54" w:rsidP="00570D54" w:rsidRDefault="00570D54" w14:paraId="61653F22" w14:textId="35CEB65D">
      <w:pPr>
        <w:pStyle w:val="Geenafstand"/>
        <w:rPr>
          <w:rFonts w:ascii="Verdana" w:hAnsi="Verdana"/>
          <w:i/>
          <w:iCs/>
        </w:rPr>
      </w:pPr>
      <w:r w:rsidRPr="00AF1396">
        <w:rPr>
          <w:rFonts w:ascii="Verdana" w:hAnsi="Verdana"/>
          <w:b/>
          <w:bCs/>
        </w:rPr>
        <w:t>Inspectieresultate</w:t>
      </w:r>
      <w:r w:rsidR="00AF1396">
        <w:rPr>
          <w:rFonts w:ascii="Verdana" w:hAnsi="Verdana"/>
          <w:b/>
          <w:bCs/>
        </w:rPr>
        <w:t>n</w:t>
      </w:r>
    </w:p>
    <w:p w:rsidRPr="00AF1396" w:rsidR="00570D54" w:rsidP="00D14D30" w:rsidRDefault="00570D54" w14:paraId="0433E527" w14:textId="29ACD8B1">
      <w:pPr>
        <w:pStyle w:val="05bKopstijl2"/>
      </w:pPr>
      <w:r w:rsidRPr="00AF1396">
        <w:t xml:space="preserve">Resultaten </w:t>
      </w:r>
      <w:r w:rsidRPr="00AF1396" w:rsidR="00AF1396">
        <w:t>verkoopverbod op afstand</w:t>
      </w:r>
    </w:p>
    <w:p w:rsidR="00D34C5F" w:rsidP="00D14D30" w:rsidRDefault="00A90B0B" w14:paraId="1ADCFD4B" w14:textId="2FF20199">
      <w:pPr>
        <w:pStyle w:val="04Body"/>
      </w:pPr>
      <w:r w:rsidRPr="00D14D30">
        <w:t xml:space="preserve">Van </w:t>
      </w:r>
      <w:r w:rsidRPr="00D14D30" w:rsidR="00AF1396">
        <w:t>januari 2024</w:t>
      </w:r>
      <w:r w:rsidRPr="00D14D30">
        <w:t xml:space="preserve"> tot en met </w:t>
      </w:r>
      <w:r w:rsidRPr="00D14D30" w:rsidR="00AF1396">
        <w:t>december</w:t>
      </w:r>
      <w:r w:rsidRPr="00D14D30">
        <w:t xml:space="preserve"> 2024 zijn er </w:t>
      </w:r>
      <w:r w:rsidRPr="000674B0" w:rsidR="000674B0">
        <w:t>232</w:t>
      </w:r>
      <w:r w:rsidR="00CA5C22">
        <w:t xml:space="preserve"> (her)</w:t>
      </w:r>
      <w:r w:rsidRPr="000674B0">
        <w:t>inspecties</w:t>
      </w:r>
      <w:r w:rsidRPr="00D14D30">
        <w:t xml:space="preserve"> uitgevoerd</w:t>
      </w:r>
      <w:r w:rsidR="00CD5231">
        <w:t xml:space="preserve"> bij websites</w:t>
      </w:r>
      <w:r w:rsidRPr="00D14D30">
        <w:t xml:space="preserve">. Tijdens deze inspecties beoordeelde de </w:t>
      </w:r>
      <w:r w:rsidRPr="000674B0">
        <w:t xml:space="preserve">toezichthouder of </w:t>
      </w:r>
      <w:r w:rsidRPr="000674B0" w:rsidR="00D14D30">
        <w:t xml:space="preserve">er op de website </w:t>
      </w:r>
      <w:r w:rsidR="001C2BAA">
        <w:t>rookwaren werden</w:t>
      </w:r>
      <w:r w:rsidRPr="000674B0" w:rsidR="00D14D30">
        <w:t xml:space="preserve"> verkocht</w:t>
      </w:r>
      <w:r w:rsidRPr="000674B0">
        <w:t xml:space="preserve">. Bij </w:t>
      </w:r>
      <w:r w:rsidRPr="000674B0" w:rsidR="000674B0">
        <w:t>33</w:t>
      </w:r>
      <w:r w:rsidRPr="000674B0">
        <w:t xml:space="preserve"> (</w:t>
      </w:r>
      <w:r w:rsidRPr="000674B0" w:rsidR="000674B0">
        <w:t>14</w:t>
      </w:r>
      <w:r w:rsidRPr="000674B0">
        <w:t>%) van</w:t>
      </w:r>
      <w:r w:rsidRPr="00D14D30">
        <w:t xml:space="preserve"> deze inspecties werd een overtreding geconstateerd, waarna een</w:t>
      </w:r>
      <w:r w:rsidR="000674B0">
        <w:t xml:space="preserve"> maatregel </w:t>
      </w:r>
      <w:r w:rsidR="00B94D52">
        <w:t>(</w:t>
      </w:r>
      <w:r w:rsidR="000674B0">
        <w:t xml:space="preserve">officiële waarschuwing </w:t>
      </w:r>
      <w:r w:rsidR="00CA5C22">
        <w:t xml:space="preserve">bij een eerste overtreding en </w:t>
      </w:r>
      <w:r w:rsidRPr="00D14D30">
        <w:t>boete</w:t>
      </w:r>
      <w:r w:rsidR="00CA5C22">
        <w:t xml:space="preserve"> bij herhaalde overtreding</w:t>
      </w:r>
      <w:r w:rsidR="000674B0">
        <w:t>)</w:t>
      </w:r>
      <w:r w:rsidRPr="00D14D30">
        <w:t xml:space="preserve"> werd opgelegd.</w:t>
      </w:r>
    </w:p>
    <w:p w:rsidR="00FE4F8E" w:rsidP="00D14D30" w:rsidRDefault="00FE4F8E" w14:paraId="62692448" w14:textId="77777777">
      <w:pPr>
        <w:pStyle w:val="04Body"/>
      </w:pPr>
    </w:p>
    <w:p w:rsidRPr="001A11C7" w:rsidR="00FE4F8E" w:rsidP="00FE4F8E" w:rsidRDefault="00FE4F8E" w14:paraId="2924801A" w14:textId="77777777">
      <w:r w:rsidRPr="005630EF">
        <w:t xml:space="preserve">De online verkoop van </w:t>
      </w:r>
      <w:r>
        <w:t>rookwaren</w:t>
      </w:r>
      <w:r w:rsidRPr="005630EF">
        <w:t xml:space="preserve"> en aanverwante artikelen lijkt zich in toenemende mate te verplaatsen van reguliere websites naar </w:t>
      </w:r>
      <w:proofErr w:type="spellStart"/>
      <w:r w:rsidRPr="005630EF">
        <w:t>social</w:t>
      </w:r>
      <w:proofErr w:type="spellEnd"/>
      <w:r w:rsidRPr="005630EF">
        <w:t xml:space="preserve"> media.</w:t>
      </w:r>
    </w:p>
    <w:p w:rsidR="00FE4F8E" w:rsidP="00D14D30" w:rsidRDefault="00FE4F8E" w14:paraId="38EAF778" w14:textId="77777777">
      <w:pPr>
        <w:pStyle w:val="04Body"/>
      </w:pPr>
    </w:p>
    <w:p w:rsidR="00FE4F8E" w:rsidRDefault="00FE4F8E" w14:paraId="2806BADD" w14:textId="77777777">
      <w:pPr>
        <w:spacing w:line="240" w:lineRule="auto"/>
        <w:rPr>
          <w:b/>
        </w:rPr>
      </w:pPr>
      <w:r>
        <w:br w:type="page"/>
      </w:r>
    </w:p>
    <w:p w:rsidRPr="00AF1396" w:rsidR="00D34C5F" w:rsidP="00D34C5F" w:rsidRDefault="00D34C5F" w14:paraId="23D1B49D" w14:textId="78532030">
      <w:pPr>
        <w:pStyle w:val="05bKopstijl2"/>
      </w:pPr>
      <w:r>
        <w:lastRenderedPageBreak/>
        <w:t>Social media</w:t>
      </w:r>
    </w:p>
    <w:p w:rsidRPr="00D34C5F" w:rsidR="00570D54" w:rsidP="00D34C5F" w:rsidRDefault="00D34C5F" w14:paraId="2C11380F" w14:textId="6CDDC4C6">
      <w:pPr>
        <w:pStyle w:val="04Body"/>
      </w:pPr>
      <w:r w:rsidRPr="00D14D30">
        <w:t xml:space="preserve">Van januari 2024 tot en met december 2024 zijn </w:t>
      </w:r>
      <w:r w:rsidRPr="00945C44">
        <w:t xml:space="preserve">er </w:t>
      </w:r>
      <w:r w:rsidRPr="00945C44" w:rsidR="00945C44">
        <w:t>1</w:t>
      </w:r>
      <w:r w:rsidR="00BD5DF6">
        <w:t>.</w:t>
      </w:r>
      <w:r w:rsidRPr="00945C44" w:rsidR="00945C44">
        <w:t>868</w:t>
      </w:r>
      <w:r w:rsidRPr="00945C44">
        <w:t xml:space="preserve"> overtredingen</w:t>
      </w:r>
      <w:r>
        <w:t xml:space="preserve"> geconstateerd op socialmediakanalen</w:t>
      </w:r>
      <w:r w:rsidR="00CA5C22">
        <w:t xml:space="preserve"> en </w:t>
      </w:r>
      <w:r w:rsidR="009B4B31">
        <w:t xml:space="preserve">heeft de NVWA </w:t>
      </w:r>
      <w:r w:rsidR="00CA5C22">
        <w:t>de posts laten verwijderen</w:t>
      </w:r>
      <w:r>
        <w:t xml:space="preserve">. </w:t>
      </w:r>
      <w:r w:rsidRPr="00955A9A" w:rsidR="00955A9A">
        <w:t xml:space="preserve">Ondanks deze acties blijven overtredingen terugkeren, vaak door notoire overtreders. De NVWA heeft </w:t>
      </w:r>
      <w:r w:rsidR="00955A9A">
        <w:t xml:space="preserve">in 2024 een grote aanbieder van socialmediakanalen </w:t>
      </w:r>
      <w:r w:rsidRPr="00955A9A" w:rsidR="00955A9A">
        <w:t xml:space="preserve">aangesproken over het verwijderen van content, het opvragen van gegevens en hun preventieve aanpak tegen </w:t>
      </w:r>
      <w:r w:rsidR="00BD5DF6">
        <w:t xml:space="preserve">de </w:t>
      </w:r>
      <w:r w:rsidRPr="00955A9A" w:rsidR="00955A9A">
        <w:t>verkoop</w:t>
      </w:r>
      <w:r w:rsidR="00BD5DF6">
        <w:t xml:space="preserve"> van rookwaren</w:t>
      </w:r>
      <w:r w:rsidRPr="00955A9A" w:rsidR="00955A9A">
        <w:t xml:space="preserve">. Omdat </w:t>
      </w:r>
      <w:r w:rsidR="00955A9A">
        <w:t>dit bedrijf</w:t>
      </w:r>
      <w:r w:rsidRPr="00955A9A" w:rsidR="00955A9A">
        <w:t xml:space="preserve"> herhaaldelijk alleen content verwijderde en niet de accounts, heeft de NVWA een mogelijk</w:t>
      </w:r>
      <w:r w:rsidR="00955A9A">
        <w:t>e</w:t>
      </w:r>
      <w:r w:rsidRPr="00955A9A" w:rsidR="00955A9A">
        <w:t xml:space="preserve"> artikel 23-overtreding van de Digital Services Act (DSA) gemeld bij de Autoriteit Consument &amp; Markt (ACM), die dit signaal heeft doorgestuurd naar de </w:t>
      </w:r>
      <w:r w:rsidR="00955A9A">
        <w:t>betreffende</w:t>
      </w:r>
      <w:r w:rsidRPr="00955A9A" w:rsidR="00955A9A">
        <w:t xml:space="preserve"> autoriteit. Hoewel </w:t>
      </w:r>
      <w:r w:rsidR="00955A9A">
        <w:t xml:space="preserve">het bedrijf </w:t>
      </w:r>
      <w:r w:rsidRPr="00955A9A" w:rsidR="00955A9A">
        <w:t xml:space="preserve">het niet eens is met de overtreding, heeft het toegezegd </w:t>
      </w:r>
      <w:r w:rsidR="00CA5C22">
        <w:t xml:space="preserve">in ieder geval de </w:t>
      </w:r>
      <w:r w:rsidRPr="00955A9A" w:rsidR="00955A9A">
        <w:t xml:space="preserve">opgevraagde gegevens rechtstreeks aan de NVWA te verstrekken. De </w:t>
      </w:r>
      <w:r w:rsidR="00955A9A">
        <w:t xml:space="preserve">betreffende autoriteit </w:t>
      </w:r>
      <w:r w:rsidRPr="00955A9A" w:rsidR="00955A9A">
        <w:t>onderzoekt reeds het signaal over het niet verwijderen van accounts na herhaalde overtredingen.</w:t>
      </w:r>
    </w:p>
    <w:p w:rsidRPr="00AF1396" w:rsidR="00570D54" w:rsidP="00570D54" w:rsidRDefault="00570D54" w14:paraId="2BA068BF" w14:textId="77777777"/>
    <w:p w:rsidRPr="00AF1396" w:rsidR="00570D54" w:rsidP="00570D54" w:rsidRDefault="00570D54" w14:paraId="43DF444C" w14:textId="6443FD60">
      <w:pPr>
        <w:pStyle w:val="Tabeltitel"/>
        <w:rPr>
          <w:b w:val="0"/>
          <w:bCs/>
          <w:i/>
          <w:iCs/>
        </w:rPr>
      </w:pPr>
      <w:r w:rsidRPr="00AF1396">
        <w:rPr>
          <w:b w:val="0"/>
          <w:bCs/>
          <w:i/>
          <w:iCs/>
        </w:rPr>
        <w:t>Tabel 1 Uitgevoerde inspecties</w:t>
      </w:r>
      <w:r w:rsidRPr="00AF1396" w:rsidR="00AF1396">
        <w:rPr>
          <w:b w:val="0"/>
          <w:bCs/>
          <w:i/>
          <w:iCs/>
        </w:rPr>
        <w:t xml:space="preserve"> verkoopverbod op afstand</w:t>
      </w:r>
      <w:r w:rsidRPr="00AF1396">
        <w:rPr>
          <w:b w:val="0"/>
          <w:bCs/>
          <w:i/>
          <w:iCs/>
        </w:rPr>
        <w:t xml:space="preserve"> in 202</w:t>
      </w:r>
      <w:r w:rsidRPr="00AF1396" w:rsidR="00335BED">
        <w:rPr>
          <w:b w:val="0"/>
          <w:bCs/>
          <w:i/>
          <w:iCs/>
        </w:rPr>
        <w:t>4</w:t>
      </w:r>
    </w:p>
    <w:tbl>
      <w:tblPr>
        <w:tblStyle w:val="NVWABlauw1"/>
        <w:tblW w:w="9378" w:type="dxa"/>
        <w:tblInd w:w="-5" w:type="dxa"/>
        <w:tblLayout w:type="fixed"/>
        <w:tblLook w:val="04A0" w:firstRow="1" w:lastRow="0" w:firstColumn="1" w:lastColumn="0" w:noHBand="0" w:noVBand="1"/>
        <w:tblCaption w:val="Tabel 1 Uitgevoerde testkoopinspecties in januari 2022 tot juli 2023"/>
      </w:tblPr>
      <w:tblGrid>
        <w:gridCol w:w="1875"/>
        <w:gridCol w:w="1875"/>
        <w:gridCol w:w="1876"/>
        <w:gridCol w:w="1745"/>
        <w:gridCol w:w="2007"/>
      </w:tblGrid>
      <w:tr w:rsidRPr="00381438" w:rsidR="003C11F9" w:rsidTr="000674B0" w14:paraId="4EBEA6DD" w14:textId="77777777">
        <w:trPr>
          <w:cnfStyle w:val="100000000000" w:firstRow="1" w:lastRow="0" w:firstColumn="0" w:lastColumn="0" w:oddVBand="0" w:evenVBand="0" w:oddHBand="0" w:evenHBand="0" w:firstRowFirstColumn="0" w:firstRowLastColumn="0" w:lastRowFirstColumn="0" w:lastRowLastColumn="0"/>
        </w:trPr>
        <w:tc>
          <w:tcPr>
            <w:tcW w:w="1875" w:type="dxa"/>
          </w:tcPr>
          <w:p w:rsidRPr="003C11F9" w:rsidR="003C11F9" w:rsidP="00C02FB1" w:rsidRDefault="00B94D52" w14:paraId="674BFA70" w14:textId="33BEBFA5">
            <w:pPr>
              <w:rPr>
                <w:b w:val="0"/>
                <w:bCs/>
              </w:rPr>
            </w:pPr>
            <w:r>
              <w:rPr>
                <w:bCs/>
              </w:rPr>
              <w:t>Type aanbieders</w:t>
            </w:r>
          </w:p>
        </w:tc>
        <w:tc>
          <w:tcPr>
            <w:tcW w:w="1875" w:type="dxa"/>
          </w:tcPr>
          <w:p w:rsidRPr="003C11F9" w:rsidR="003C11F9" w:rsidP="00C02FB1" w:rsidRDefault="003C11F9" w14:paraId="68D38AEE" w14:textId="77777777">
            <w:pPr>
              <w:rPr>
                <w:b w:val="0"/>
                <w:bCs/>
              </w:rPr>
            </w:pPr>
            <w:r w:rsidRPr="003C11F9">
              <w:rPr>
                <w:bCs/>
              </w:rPr>
              <w:t>Aantal inspecties</w:t>
            </w:r>
          </w:p>
        </w:tc>
        <w:tc>
          <w:tcPr>
            <w:tcW w:w="1876" w:type="dxa"/>
          </w:tcPr>
          <w:p w:rsidRPr="003C11F9" w:rsidR="003C11F9" w:rsidP="00C02FB1" w:rsidRDefault="001A11C7" w14:paraId="1685AA0D" w14:textId="2EEC8663">
            <w:pPr>
              <w:rPr>
                <w:b w:val="0"/>
                <w:bCs/>
              </w:rPr>
            </w:pPr>
            <w:r>
              <w:rPr>
                <w:bCs/>
              </w:rPr>
              <w:t>O</w:t>
            </w:r>
            <w:r w:rsidRPr="003C11F9" w:rsidR="003C11F9">
              <w:rPr>
                <w:bCs/>
              </w:rPr>
              <w:t>fficiële waarschuwingen</w:t>
            </w:r>
          </w:p>
        </w:tc>
        <w:tc>
          <w:tcPr>
            <w:tcW w:w="1745" w:type="dxa"/>
          </w:tcPr>
          <w:p w:rsidRPr="003C11F9" w:rsidR="003C11F9" w:rsidP="00C02FB1" w:rsidRDefault="001A11C7" w14:paraId="3B95361C" w14:textId="6114BA4C">
            <w:pPr>
              <w:rPr>
                <w:bCs/>
              </w:rPr>
            </w:pPr>
            <w:r>
              <w:rPr>
                <w:bCs/>
              </w:rPr>
              <w:t>B</w:t>
            </w:r>
            <w:r w:rsidRPr="003C11F9" w:rsidR="003C11F9">
              <w:rPr>
                <w:bCs/>
              </w:rPr>
              <w:t>oetes</w:t>
            </w:r>
          </w:p>
        </w:tc>
        <w:tc>
          <w:tcPr>
            <w:tcW w:w="2007" w:type="dxa"/>
          </w:tcPr>
          <w:p w:rsidRPr="003C11F9" w:rsidR="003C11F9" w:rsidP="00C02FB1" w:rsidRDefault="001A11C7" w14:paraId="20D9632E" w14:textId="545E277A">
            <w:pPr>
              <w:rPr>
                <w:b w:val="0"/>
                <w:bCs/>
              </w:rPr>
            </w:pPr>
            <w:r>
              <w:rPr>
                <w:bCs/>
              </w:rPr>
              <w:t>M</w:t>
            </w:r>
            <w:r w:rsidR="000674B0">
              <w:rPr>
                <w:bCs/>
              </w:rPr>
              <w:t>aatregelen</w:t>
            </w:r>
          </w:p>
        </w:tc>
      </w:tr>
      <w:tr w:rsidRPr="00381438" w:rsidR="003C11F9" w:rsidTr="000674B0" w14:paraId="193AD32D" w14:textId="77777777">
        <w:trPr>
          <w:cnfStyle w:val="000000100000" w:firstRow="0" w:lastRow="0" w:firstColumn="0" w:lastColumn="0" w:oddVBand="0" w:evenVBand="0" w:oddHBand="1" w:evenHBand="0" w:firstRowFirstColumn="0" w:firstRowLastColumn="0" w:lastRowFirstColumn="0" w:lastRowLastColumn="0"/>
        </w:trPr>
        <w:tc>
          <w:tcPr>
            <w:tcW w:w="1875" w:type="dxa"/>
          </w:tcPr>
          <w:p w:rsidRPr="003C11F9" w:rsidR="003C11F9" w:rsidP="00C02FB1" w:rsidRDefault="003C11F9" w14:paraId="03144D3F" w14:textId="2A6366ED">
            <w:r w:rsidRPr="003C11F9">
              <w:t>Websites</w:t>
            </w:r>
          </w:p>
        </w:tc>
        <w:tc>
          <w:tcPr>
            <w:tcW w:w="1875" w:type="dxa"/>
          </w:tcPr>
          <w:p w:rsidRPr="003C11F9" w:rsidR="003C11F9" w:rsidP="00C02FB1" w:rsidRDefault="003C11F9" w14:paraId="3CE41F03" w14:textId="7CE1E243">
            <w:r w:rsidRPr="003C11F9">
              <w:t>232</w:t>
            </w:r>
          </w:p>
        </w:tc>
        <w:tc>
          <w:tcPr>
            <w:tcW w:w="1876" w:type="dxa"/>
          </w:tcPr>
          <w:p w:rsidRPr="003C11F9" w:rsidR="003C11F9" w:rsidP="00C02FB1" w:rsidRDefault="003C11F9" w14:paraId="1686879E" w14:textId="07FBB6BC">
            <w:r w:rsidRPr="003C11F9">
              <w:t>17</w:t>
            </w:r>
            <w:r w:rsidR="001A11C7">
              <w:t xml:space="preserve"> (</w:t>
            </w:r>
            <w:r w:rsidR="00B71007">
              <w:t>7</w:t>
            </w:r>
            <w:r w:rsidR="001A11C7">
              <w:t>%)</w:t>
            </w:r>
          </w:p>
        </w:tc>
        <w:tc>
          <w:tcPr>
            <w:tcW w:w="1745" w:type="dxa"/>
          </w:tcPr>
          <w:p w:rsidRPr="003C11F9" w:rsidR="003C11F9" w:rsidP="00C02FB1" w:rsidRDefault="003C11F9" w14:paraId="3270CDBF" w14:textId="1A440947">
            <w:r w:rsidRPr="003C11F9">
              <w:t>16</w:t>
            </w:r>
            <w:r w:rsidR="001A11C7">
              <w:t xml:space="preserve"> (</w:t>
            </w:r>
            <w:r w:rsidR="00B71007">
              <w:t>7</w:t>
            </w:r>
            <w:r w:rsidR="001A11C7">
              <w:t>%)</w:t>
            </w:r>
          </w:p>
        </w:tc>
        <w:tc>
          <w:tcPr>
            <w:tcW w:w="2007" w:type="dxa"/>
          </w:tcPr>
          <w:p w:rsidRPr="003C11F9" w:rsidR="003C11F9" w:rsidP="00C02FB1" w:rsidRDefault="001A11C7" w14:paraId="420D747E" w14:textId="7BD3EADB">
            <w:r>
              <w:t>33 (</w:t>
            </w:r>
            <w:r w:rsidR="000674B0">
              <w:t>14</w:t>
            </w:r>
            <w:r w:rsidRPr="003C11F9" w:rsidR="003C11F9">
              <w:t>%</w:t>
            </w:r>
            <w:r>
              <w:t>)</w:t>
            </w:r>
          </w:p>
        </w:tc>
      </w:tr>
      <w:tr w:rsidRPr="00381438" w:rsidR="003C11F9" w:rsidTr="000674B0" w14:paraId="4CC91666" w14:textId="77777777">
        <w:trPr>
          <w:cnfStyle w:val="000000010000" w:firstRow="0" w:lastRow="0" w:firstColumn="0" w:lastColumn="0" w:oddVBand="0" w:evenVBand="0" w:oddHBand="0" w:evenHBand="1" w:firstRowFirstColumn="0" w:firstRowLastColumn="0" w:lastRowFirstColumn="0" w:lastRowLastColumn="0"/>
        </w:trPr>
        <w:tc>
          <w:tcPr>
            <w:tcW w:w="1875" w:type="dxa"/>
          </w:tcPr>
          <w:p w:rsidRPr="00381438" w:rsidR="003C11F9" w:rsidP="00C02FB1" w:rsidRDefault="00D34C5F" w14:paraId="53632EE6" w14:textId="0555229B">
            <w:pPr>
              <w:rPr>
                <w:highlight w:val="yellow"/>
              </w:rPr>
            </w:pPr>
            <w:r w:rsidRPr="00D34C5F">
              <w:t>Social media</w:t>
            </w:r>
          </w:p>
        </w:tc>
        <w:tc>
          <w:tcPr>
            <w:tcW w:w="1875" w:type="dxa"/>
          </w:tcPr>
          <w:p w:rsidRPr="00381438" w:rsidR="003C11F9" w:rsidP="00C02FB1" w:rsidRDefault="00945C44" w14:paraId="1F0B1854" w14:textId="34D95836">
            <w:pPr>
              <w:rPr>
                <w:highlight w:val="yellow"/>
              </w:rPr>
            </w:pPr>
            <w:r>
              <w:t>1</w:t>
            </w:r>
            <w:r w:rsidR="00BD5DF6">
              <w:t>.</w:t>
            </w:r>
            <w:r>
              <w:t>868</w:t>
            </w:r>
            <w:r w:rsidRPr="00915FE7" w:rsidR="00D34C5F">
              <w:rPr>
                <w:vertAlign w:val="superscript"/>
              </w:rPr>
              <w:t>1</w:t>
            </w:r>
          </w:p>
        </w:tc>
        <w:tc>
          <w:tcPr>
            <w:tcW w:w="1876" w:type="dxa"/>
          </w:tcPr>
          <w:p w:rsidRPr="00381438" w:rsidR="003C11F9" w:rsidP="00C02FB1" w:rsidRDefault="003C11F9" w14:paraId="07B12224" w14:textId="77777777">
            <w:pPr>
              <w:rPr>
                <w:highlight w:val="yellow"/>
              </w:rPr>
            </w:pPr>
          </w:p>
        </w:tc>
        <w:tc>
          <w:tcPr>
            <w:tcW w:w="1745" w:type="dxa"/>
          </w:tcPr>
          <w:p w:rsidRPr="00381438" w:rsidR="003C11F9" w:rsidP="00C02FB1" w:rsidRDefault="003C11F9" w14:paraId="74CFFAB5" w14:textId="77777777">
            <w:pPr>
              <w:rPr>
                <w:highlight w:val="yellow"/>
              </w:rPr>
            </w:pPr>
          </w:p>
        </w:tc>
        <w:tc>
          <w:tcPr>
            <w:tcW w:w="2007" w:type="dxa"/>
          </w:tcPr>
          <w:p w:rsidRPr="00381438" w:rsidR="003C11F9" w:rsidP="00C02FB1" w:rsidRDefault="003C11F9" w14:paraId="31776777" w14:textId="2C91EA23">
            <w:pPr>
              <w:rPr>
                <w:highlight w:val="yellow"/>
              </w:rPr>
            </w:pPr>
          </w:p>
        </w:tc>
      </w:tr>
    </w:tbl>
    <w:p w:rsidR="00CD5231" w:rsidP="00D34C5F" w:rsidRDefault="00D34C5F" w14:paraId="47964BE2" w14:textId="0C83B011">
      <w:pPr>
        <w:pStyle w:val="07Bijschrift"/>
      </w:pPr>
      <w:r w:rsidRPr="00915FE7">
        <w:rPr>
          <w:vertAlign w:val="superscript"/>
        </w:rPr>
        <w:t>1</w:t>
      </w:r>
      <w:r>
        <w:t>Dit betreft het aantal overtredingen dat is geconstateerd</w:t>
      </w:r>
      <w:r w:rsidR="00CA5C22">
        <w:t xml:space="preserve">. Dit zijn </w:t>
      </w:r>
      <w:r w:rsidR="00BD5DF6">
        <w:t>posts waarvan de NVWA heeft aangegeven dat die verwijderd moeten worden.</w:t>
      </w:r>
      <w:r>
        <w:br/>
      </w:r>
    </w:p>
    <w:p w:rsidRPr="00AF1396" w:rsidR="0021639F" w:rsidP="0021639F" w:rsidRDefault="0021639F" w14:paraId="5CC1FD5B" w14:textId="3364C50A">
      <w:pPr>
        <w:pStyle w:val="05bKopstijl2"/>
      </w:pPr>
      <w:r w:rsidRPr="00AF1396">
        <w:t>Resultaten verkoopverbod</w:t>
      </w:r>
      <w:r>
        <w:t xml:space="preserve"> in supermarkten en horeca</w:t>
      </w:r>
    </w:p>
    <w:p w:rsidRPr="00381438" w:rsidR="0021639F" w:rsidP="00A70BD1" w:rsidRDefault="0021639F" w14:paraId="358209DC" w14:textId="1F3AE7E8">
      <w:pPr>
        <w:pStyle w:val="04Body"/>
        <w:rPr>
          <w:highlight w:val="yellow"/>
        </w:rPr>
      </w:pPr>
      <w:r w:rsidRPr="00AF1396">
        <w:t>Van j</w:t>
      </w:r>
      <w:r>
        <w:t>uli</w:t>
      </w:r>
      <w:r w:rsidRPr="00AF1396">
        <w:t xml:space="preserve"> 2024 tot en met december 2024 zijn er </w:t>
      </w:r>
      <w:r w:rsidR="00670575">
        <w:t>403</w:t>
      </w:r>
      <w:r w:rsidRPr="00AF1396">
        <w:t xml:space="preserve"> inspecties uitgevoerd. </w:t>
      </w:r>
      <w:r w:rsidR="0031255F">
        <w:t>Het gaat om 3</w:t>
      </w:r>
      <w:r w:rsidR="00845036">
        <w:t>63</w:t>
      </w:r>
      <w:r w:rsidR="0031255F">
        <w:t xml:space="preserve"> eerste inspecties (tabel 1) en </w:t>
      </w:r>
      <w:r w:rsidR="00670575">
        <w:t>4</w:t>
      </w:r>
      <w:r w:rsidR="00845036">
        <w:t>0</w:t>
      </w:r>
      <w:r w:rsidR="0031255F">
        <w:t xml:space="preserve"> herinspecties. De eerste i</w:t>
      </w:r>
      <w:r w:rsidRPr="00945C44" w:rsidR="00945C44">
        <w:t>nspecties zijn willekeurig uitgevoerd binnen verschillende sectoren om een beeld van de naleving</w:t>
      </w:r>
      <w:r w:rsidR="00561094">
        <w:t xml:space="preserve"> te krijgen</w:t>
      </w:r>
      <w:r w:rsidRPr="00945C44" w:rsidR="00945C44">
        <w:t>.</w:t>
      </w:r>
      <w:r w:rsidR="00945C44">
        <w:t xml:space="preserve"> </w:t>
      </w:r>
      <w:r w:rsidRPr="00A70BD1">
        <w:t xml:space="preserve">Tijdens deze inspecties beoordeelde de toezichthouder of </w:t>
      </w:r>
      <w:r w:rsidRPr="00A70BD1" w:rsidR="00A70BD1">
        <w:t xml:space="preserve">er in de supermarkt of horecagelegenheid </w:t>
      </w:r>
      <w:r w:rsidR="001C2BAA">
        <w:t xml:space="preserve">rookwaren </w:t>
      </w:r>
      <w:r w:rsidRPr="00A70BD1" w:rsidR="00A70BD1">
        <w:t xml:space="preserve">werden verkocht. </w:t>
      </w:r>
      <w:r w:rsidRPr="00A70BD1">
        <w:t xml:space="preserve">Bij </w:t>
      </w:r>
      <w:r w:rsidR="0031255F">
        <w:t>2</w:t>
      </w:r>
      <w:r w:rsidR="00845036">
        <w:t>1</w:t>
      </w:r>
      <w:r w:rsidRPr="00A70BD1">
        <w:t xml:space="preserve">% van deze </w:t>
      </w:r>
      <w:r w:rsidR="00670575">
        <w:t xml:space="preserve">eerste </w:t>
      </w:r>
      <w:r w:rsidRPr="00A70BD1">
        <w:t>inspecties werd een overtreding geconstateerd, waa</w:t>
      </w:r>
      <w:r w:rsidR="0031255F">
        <w:t>rbij</w:t>
      </w:r>
      <w:r w:rsidRPr="00A70BD1">
        <w:t xml:space="preserve"> </w:t>
      </w:r>
      <w:r w:rsidR="0031255F">
        <w:t xml:space="preserve">is opgetreden met een officiële waarschuwing. </w:t>
      </w:r>
    </w:p>
    <w:p w:rsidRPr="00AF1396" w:rsidR="0021639F" w:rsidP="0021639F" w:rsidRDefault="0021639F" w14:paraId="58C10F91" w14:textId="77777777"/>
    <w:p w:rsidRPr="00AF1396" w:rsidR="0021639F" w:rsidP="0021639F" w:rsidRDefault="0021639F" w14:paraId="017F14EE" w14:textId="6F8F5F62">
      <w:pPr>
        <w:pStyle w:val="Tabeltitel"/>
        <w:rPr>
          <w:b w:val="0"/>
          <w:bCs/>
          <w:i/>
          <w:iCs/>
        </w:rPr>
      </w:pPr>
      <w:r w:rsidRPr="00AF1396">
        <w:rPr>
          <w:b w:val="0"/>
          <w:bCs/>
          <w:i/>
          <w:iCs/>
        </w:rPr>
        <w:t xml:space="preserve">Tabel </w:t>
      </w:r>
      <w:r w:rsidR="00CD5231">
        <w:rPr>
          <w:b w:val="0"/>
          <w:bCs/>
          <w:i/>
          <w:iCs/>
        </w:rPr>
        <w:t>2</w:t>
      </w:r>
      <w:r w:rsidRPr="00AF1396">
        <w:rPr>
          <w:b w:val="0"/>
          <w:bCs/>
          <w:i/>
          <w:iCs/>
        </w:rPr>
        <w:t xml:space="preserve"> Uitgevoerde</w:t>
      </w:r>
      <w:r w:rsidR="00670575">
        <w:rPr>
          <w:b w:val="0"/>
          <w:bCs/>
          <w:i/>
          <w:iCs/>
        </w:rPr>
        <w:t xml:space="preserve"> (eerste)</w:t>
      </w:r>
      <w:r w:rsidRPr="00AF1396">
        <w:rPr>
          <w:b w:val="0"/>
          <w:bCs/>
          <w:i/>
          <w:iCs/>
        </w:rPr>
        <w:t xml:space="preserve"> inspecties </w:t>
      </w:r>
      <w:r w:rsidR="0030036F">
        <w:rPr>
          <w:b w:val="0"/>
          <w:bCs/>
          <w:i/>
          <w:iCs/>
        </w:rPr>
        <w:t>in supermarkten en horeca</w:t>
      </w:r>
      <w:r w:rsidRPr="00AF1396">
        <w:rPr>
          <w:b w:val="0"/>
          <w:bCs/>
          <w:i/>
          <w:iCs/>
        </w:rPr>
        <w:t xml:space="preserve"> in 2024</w:t>
      </w:r>
    </w:p>
    <w:tbl>
      <w:tblPr>
        <w:tblStyle w:val="NVWABlauw1"/>
        <w:tblW w:w="9356" w:type="dxa"/>
        <w:tblInd w:w="-5" w:type="dxa"/>
        <w:tblLayout w:type="fixed"/>
        <w:tblLook w:val="04A0" w:firstRow="1" w:lastRow="0" w:firstColumn="1" w:lastColumn="0" w:noHBand="0" w:noVBand="1"/>
        <w:tblCaption w:val="Tabel 1 Uitgevoerde testkoopinspecties in januari 2022 tot juli 2023"/>
      </w:tblPr>
      <w:tblGrid>
        <w:gridCol w:w="2268"/>
        <w:gridCol w:w="2268"/>
        <w:gridCol w:w="2268"/>
        <w:gridCol w:w="2552"/>
      </w:tblGrid>
      <w:tr w:rsidRPr="00381438" w:rsidR="001755FD" w:rsidTr="006154D2" w14:paraId="6479A86B" w14:textId="77777777">
        <w:trPr>
          <w:cnfStyle w:val="100000000000" w:firstRow="1" w:lastRow="0" w:firstColumn="0" w:lastColumn="0" w:oddVBand="0" w:evenVBand="0" w:oddHBand="0" w:evenHBand="0" w:firstRowFirstColumn="0" w:firstRowLastColumn="0" w:lastRowFirstColumn="0" w:lastRowLastColumn="0"/>
        </w:trPr>
        <w:tc>
          <w:tcPr>
            <w:tcW w:w="2268" w:type="dxa"/>
          </w:tcPr>
          <w:p w:rsidRPr="00915FE7" w:rsidR="001755FD" w:rsidP="00A812AE" w:rsidRDefault="001755FD" w14:paraId="0352AD7B" w14:textId="77777777">
            <w:pPr>
              <w:rPr>
                <w:b w:val="0"/>
                <w:bCs/>
              </w:rPr>
            </w:pPr>
            <w:r w:rsidRPr="00915FE7">
              <w:rPr>
                <w:bCs/>
              </w:rPr>
              <w:t>Sector</w:t>
            </w:r>
          </w:p>
        </w:tc>
        <w:tc>
          <w:tcPr>
            <w:tcW w:w="2268" w:type="dxa"/>
          </w:tcPr>
          <w:p w:rsidRPr="00915FE7" w:rsidR="001755FD" w:rsidP="00A812AE" w:rsidRDefault="001755FD" w14:paraId="15D5F1F2" w14:textId="77777777">
            <w:pPr>
              <w:rPr>
                <w:b w:val="0"/>
                <w:bCs/>
              </w:rPr>
            </w:pPr>
            <w:r w:rsidRPr="00915FE7">
              <w:rPr>
                <w:bCs/>
              </w:rPr>
              <w:t>Aantal inspecties</w:t>
            </w:r>
          </w:p>
        </w:tc>
        <w:tc>
          <w:tcPr>
            <w:tcW w:w="2268" w:type="dxa"/>
          </w:tcPr>
          <w:p w:rsidRPr="00915FE7" w:rsidR="001755FD" w:rsidP="00A812AE" w:rsidRDefault="001755FD" w14:paraId="4BAFA0F9" w14:textId="36D1078C">
            <w:pPr>
              <w:rPr>
                <w:b w:val="0"/>
                <w:bCs/>
              </w:rPr>
            </w:pPr>
            <w:r>
              <w:rPr>
                <w:bCs/>
              </w:rPr>
              <w:t>O</w:t>
            </w:r>
            <w:r w:rsidRPr="00915FE7">
              <w:rPr>
                <w:bCs/>
              </w:rPr>
              <w:t>fficiële waarschuwingen</w:t>
            </w:r>
          </w:p>
        </w:tc>
        <w:tc>
          <w:tcPr>
            <w:tcW w:w="2552" w:type="dxa"/>
          </w:tcPr>
          <w:p w:rsidRPr="00915FE7" w:rsidR="001755FD" w:rsidP="00A812AE" w:rsidRDefault="001755FD" w14:paraId="2BBF49A9" w14:textId="1DCA67CB">
            <w:pPr>
              <w:rPr>
                <w:b w:val="0"/>
                <w:bCs/>
              </w:rPr>
            </w:pPr>
            <w:r>
              <w:rPr>
                <w:bCs/>
              </w:rPr>
              <w:t>Maatregelen</w:t>
            </w:r>
            <w:r w:rsidRPr="00915FE7">
              <w:rPr>
                <w:bCs/>
              </w:rPr>
              <w:t xml:space="preserve"> </w:t>
            </w:r>
          </w:p>
        </w:tc>
      </w:tr>
      <w:tr w:rsidRPr="00381438" w:rsidR="001755FD" w:rsidTr="006154D2" w14:paraId="405BB196" w14:textId="77777777">
        <w:trPr>
          <w:cnfStyle w:val="000000100000" w:firstRow="0" w:lastRow="0" w:firstColumn="0" w:lastColumn="0" w:oddVBand="0" w:evenVBand="0" w:oddHBand="1" w:evenHBand="0" w:firstRowFirstColumn="0" w:firstRowLastColumn="0" w:lastRowFirstColumn="0" w:lastRowLastColumn="0"/>
        </w:trPr>
        <w:tc>
          <w:tcPr>
            <w:tcW w:w="2268" w:type="dxa"/>
          </w:tcPr>
          <w:p w:rsidRPr="00915FE7" w:rsidR="001755FD" w:rsidP="00371D85" w:rsidRDefault="001755FD" w14:paraId="1C6CC11E" w14:textId="77777777">
            <w:r w:rsidRPr="00915FE7">
              <w:t>Supermarkt (groot)</w:t>
            </w:r>
          </w:p>
        </w:tc>
        <w:tc>
          <w:tcPr>
            <w:tcW w:w="2268" w:type="dxa"/>
            <w:vAlign w:val="center"/>
          </w:tcPr>
          <w:p w:rsidRPr="00915FE7" w:rsidR="001755FD" w:rsidP="00371D85" w:rsidRDefault="001755FD" w14:paraId="13396FF9" w14:textId="5E5DEB22">
            <w:r>
              <w:rPr>
                <w:rFonts w:cs="Calibri"/>
                <w:szCs w:val="18"/>
              </w:rPr>
              <w:t>5</w:t>
            </w:r>
            <w:r w:rsidR="00845036">
              <w:rPr>
                <w:rFonts w:cs="Calibri"/>
                <w:szCs w:val="18"/>
              </w:rPr>
              <w:t>5</w:t>
            </w:r>
          </w:p>
        </w:tc>
        <w:tc>
          <w:tcPr>
            <w:tcW w:w="2268" w:type="dxa"/>
            <w:vAlign w:val="center"/>
          </w:tcPr>
          <w:p w:rsidRPr="00915FE7" w:rsidR="001755FD" w:rsidP="00371D85" w:rsidRDefault="00845036" w14:paraId="1D894F4B" w14:textId="5F3A2588">
            <w:r>
              <w:rPr>
                <w:rFonts w:cs="Calibri"/>
                <w:szCs w:val="18"/>
              </w:rPr>
              <w:t>2</w:t>
            </w:r>
          </w:p>
        </w:tc>
        <w:tc>
          <w:tcPr>
            <w:tcW w:w="2552" w:type="dxa"/>
            <w:vAlign w:val="center"/>
          </w:tcPr>
          <w:p w:rsidRPr="00A70BD1" w:rsidR="001755FD" w:rsidP="00371D85" w:rsidRDefault="00845036" w14:paraId="031B10AF" w14:textId="17BE3C1D">
            <w:r>
              <w:rPr>
                <w:rFonts w:cs="Calibri"/>
                <w:szCs w:val="18"/>
              </w:rPr>
              <w:t>4</w:t>
            </w:r>
            <w:r w:rsidR="001755FD">
              <w:rPr>
                <w:rFonts w:cs="Calibri"/>
                <w:szCs w:val="18"/>
              </w:rPr>
              <w:t>%</w:t>
            </w:r>
          </w:p>
        </w:tc>
      </w:tr>
      <w:tr w:rsidRPr="00381438" w:rsidR="001755FD" w:rsidTr="006154D2" w14:paraId="155DC9D0" w14:textId="77777777">
        <w:trPr>
          <w:cnfStyle w:val="000000010000" w:firstRow="0" w:lastRow="0" w:firstColumn="0" w:lastColumn="0" w:oddVBand="0" w:evenVBand="0" w:oddHBand="0" w:evenHBand="1" w:firstRowFirstColumn="0" w:firstRowLastColumn="0" w:lastRowFirstColumn="0" w:lastRowLastColumn="0"/>
        </w:trPr>
        <w:tc>
          <w:tcPr>
            <w:tcW w:w="2268" w:type="dxa"/>
          </w:tcPr>
          <w:p w:rsidRPr="00915FE7" w:rsidR="001755FD" w:rsidP="0031255F" w:rsidRDefault="001755FD" w14:paraId="2A3EEA69" w14:textId="679B58CA">
            <w:r w:rsidRPr="00915FE7">
              <w:t>Supermarkt (klein)</w:t>
            </w:r>
          </w:p>
        </w:tc>
        <w:tc>
          <w:tcPr>
            <w:tcW w:w="2268" w:type="dxa"/>
            <w:vAlign w:val="center"/>
          </w:tcPr>
          <w:p w:rsidRPr="00915FE7" w:rsidR="001755FD" w:rsidP="0031255F" w:rsidRDefault="001755FD" w14:paraId="4AB39A4E" w14:textId="5CE1840A">
            <w:r>
              <w:rPr>
                <w:rFonts w:cs="Calibri"/>
                <w:szCs w:val="18"/>
              </w:rPr>
              <w:t>15</w:t>
            </w:r>
            <w:r w:rsidR="00845036">
              <w:rPr>
                <w:rFonts w:cs="Calibri"/>
                <w:szCs w:val="18"/>
              </w:rPr>
              <w:t>7</w:t>
            </w:r>
          </w:p>
        </w:tc>
        <w:tc>
          <w:tcPr>
            <w:tcW w:w="2268" w:type="dxa"/>
            <w:vAlign w:val="center"/>
          </w:tcPr>
          <w:p w:rsidRPr="00915FE7" w:rsidR="001755FD" w:rsidP="0031255F" w:rsidRDefault="001755FD" w14:paraId="67338C35" w14:textId="79A81A43">
            <w:r>
              <w:rPr>
                <w:rFonts w:cs="Calibri"/>
                <w:szCs w:val="18"/>
              </w:rPr>
              <w:t>3</w:t>
            </w:r>
            <w:r w:rsidR="00845036">
              <w:rPr>
                <w:rFonts w:cs="Calibri"/>
                <w:szCs w:val="18"/>
              </w:rPr>
              <w:t>6</w:t>
            </w:r>
          </w:p>
        </w:tc>
        <w:tc>
          <w:tcPr>
            <w:tcW w:w="2552" w:type="dxa"/>
            <w:vAlign w:val="center"/>
          </w:tcPr>
          <w:p w:rsidRPr="00A70BD1" w:rsidR="001755FD" w:rsidP="0031255F" w:rsidRDefault="00845036" w14:paraId="3F96C058" w14:textId="55789CB0">
            <w:r>
              <w:rPr>
                <w:rFonts w:cs="Calibri"/>
                <w:szCs w:val="18"/>
              </w:rPr>
              <w:t>23</w:t>
            </w:r>
            <w:r w:rsidR="001755FD">
              <w:rPr>
                <w:rFonts w:cs="Calibri"/>
                <w:szCs w:val="18"/>
              </w:rPr>
              <w:t>%</w:t>
            </w:r>
          </w:p>
        </w:tc>
      </w:tr>
      <w:tr w:rsidRPr="00381438" w:rsidR="001755FD" w:rsidTr="006154D2" w14:paraId="72928DBC" w14:textId="77777777">
        <w:trPr>
          <w:cnfStyle w:val="000000100000" w:firstRow="0" w:lastRow="0" w:firstColumn="0" w:lastColumn="0" w:oddVBand="0" w:evenVBand="0" w:oddHBand="1" w:evenHBand="0" w:firstRowFirstColumn="0" w:firstRowLastColumn="0" w:lastRowFirstColumn="0" w:lastRowLastColumn="0"/>
        </w:trPr>
        <w:tc>
          <w:tcPr>
            <w:tcW w:w="2268" w:type="dxa"/>
          </w:tcPr>
          <w:p w:rsidRPr="00915FE7" w:rsidR="001755FD" w:rsidP="0031255F" w:rsidRDefault="001755FD" w14:paraId="427EED76" w14:textId="037BB904">
            <w:r w:rsidRPr="00915FE7">
              <w:t>Avondwinkel</w:t>
            </w:r>
          </w:p>
        </w:tc>
        <w:tc>
          <w:tcPr>
            <w:tcW w:w="2268" w:type="dxa"/>
            <w:vAlign w:val="center"/>
          </w:tcPr>
          <w:p w:rsidRPr="00915FE7" w:rsidR="001755FD" w:rsidP="0031255F" w:rsidRDefault="001755FD" w14:paraId="1A689C64" w14:textId="6DF734B7">
            <w:r>
              <w:rPr>
                <w:rFonts w:cs="Calibri"/>
                <w:szCs w:val="18"/>
              </w:rPr>
              <w:t>5</w:t>
            </w:r>
            <w:r w:rsidR="00845036">
              <w:rPr>
                <w:rFonts w:cs="Calibri"/>
                <w:szCs w:val="18"/>
              </w:rPr>
              <w:t>2</w:t>
            </w:r>
          </w:p>
        </w:tc>
        <w:tc>
          <w:tcPr>
            <w:tcW w:w="2268" w:type="dxa"/>
            <w:vAlign w:val="center"/>
          </w:tcPr>
          <w:p w:rsidRPr="00915FE7" w:rsidR="001755FD" w:rsidP="0031255F" w:rsidRDefault="001755FD" w14:paraId="3A44579C" w14:textId="1D431C5C">
            <w:r>
              <w:rPr>
                <w:rFonts w:cs="Calibri"/>
                <w:szCs w:val="18"/>
              </w:rPr>
              <w:t>2</w:t>
            </w:r>
            <w:r w:rsidR="00845036">
              <w:rPr>
                <w:rFonts w:cs="Calibri"/>
                <w:szCs w:val="18"/>
              </w:rPr>
              <w:t>3</w:t>
            </w:r>
          </w:p>
        </w:tc>
        <w:tc>
          <w:tcPr>
            <w:tcW w:w="2552" w:type="dxa"/>
            <w:vAlign w:val="center"/>
          </w:tcPr>
          <w:p w:rsidRPr="00A70BD1" w:rsidR="001755FD" w:rsidP="0031255F" w:rsidRDefault="00845036" w14:paraId="6AE1C6BF" w14:textId="57C43DAF">
            <w:r>
              <w:rPr>
                <w:rFonts w:cs="Calibri"/>
                <w:szCs w:val="18"/>
              </w:rPr>
              <w:t>44</w:t>
            </w:r>
            <w:r w:rsidR="001755FD">
              <w:rPr>
                <w:rFonts w:cs="Calibri"/>
                <w:szCs w:val="18"/>
              </w:rPr>
              <w:t>%</w:t>
            </w:r>
          </w:p>
        </w:tc>
      </w:tr>
      <w:tr w:rsidRPr="00381438" w:rsidR="001755FD" w:rsidTr="006154D2" w14:paraId="2BA8E4F2" w14:textId="77777777">
        <w:trPr>
          <w:cnfStyle w:val="000000010000" w:firstRow="0" w:lastRow="0" w:firstColumn="0" w:lastColumn="0" w:oddVBand="0" w:evenVBand="0" w:oddHBand="0" w:evenHBand="1" w:firstRowFirstColumn="0" w:firstRowLastColumn="0" w:lastRowFirstColumn="0" w:lastRowLastColumn="0"/>
        </w:trPr>
        <w:tc>
          <w:tcPr>
            <w:tcW w:w="2268" w:type="dxa"/>
          </w:tcPr>
          <w:p w:rsidRPr="00915FE7" w:rsidR="001755FD" w:rsidP="0031255F" w:rsidRDefault="001755FD" w14:paraId="7B546B57" w14:textId="1789638A">
            <w:r w:rsidRPr="00915FE7">
              <w:t>Horecagelegenheid</w:t>
            </w:r>
            <w:r w:rsidRPr="00915FE7">
              <w:rPr>
                <w:vertAlign w:val="superscript"/>
              </w:rPr>
              <w:t>1</w:t>
            </w:r>
          </w:p>
        </w:tc>
        <w:tc>
          <w:tcPr>
            <w:tcW w:w="2268" w:type="dxa"/>
            <w:vAlign w:val="center"/>
          </w:tcPr>
          <w:p w:rsidRPr="00915FE7" w:rsidR="001755FD" w:rsidP="0031255F" w:rsidRDefault="001755FD" w14:paraId="70A6E728" w14:textId="2D895629">
            <w:r>
              <w:rPr>
                <w:rFonts w:cs="Calibri"/>
                <w:szCs w:val="18"/>
              </w:rPr>
              <w:t>80</w:t>
            </w:r>
          </w:p>
        </w:tc>
        <w:tc>
          <w:tcPr>
            <w:tcW w:w="2268" w:type="dxa"/>
            <w:vAlign w:val="center"/>
          </w:tcPr>
          <w:p w:rsidRPr="00915FE7" w:rsidR="001755FD" w:rsidP="0031255F" w:rsidRDefault="001755FD" w14:paraId="4DFEE1CA" w14:textId="0FFC4228">
            <w:r>
              <w:rPr>
                <w:rFonts w:cs="Calibri"/>
                <w:szCs w:val="18"/>
              </w:rPr>
              <w:t>7</w:t>
            </w:r>
          </w:p>
        </w:tc>
        <w:tc>
          <w:tcPr>
            <w:tcW w:w="2552" w:type="dxa"/>
            <w:vAlign w:val="center"/>
          </w:tcPr>
          <w:p w:rsidRPr="00A70BD1" w:rsidR="001755FD" w:rsidP="0031255F" w:rsidRDefault="00670575" w14:paraId="4628F0C1" w14:textId="475B6EA5">
            <w:r>
              <w:rPr>
                <w:rFonts w:cs="Calibri"/>
                <w:szCs w:val="18"/>
              </w:rPr>
              <w:t>9</w:t>
            </w:r>
            <w:r w:rsidR="001755FD">
              <w:rPr>
                <w:rFonts w:cs="Calibri"/>
                <w:szCs w:val="18"/>
              </w:rPr>
              <w:t>%</w:t>
            </w:r>
          </w:p>
        </w:tc>
      </w:tr>
      <w:tr w:rsidRPr="00381438" w:rsidR="001755FD" w:rsidTr="006154D2" w14:paraId="4A918422" w14:textId="77777777">
        <w:trPr>
          <w:cnfStyle w:val="000000100000" w:firstRow="0" w:lastRow="0" w:firstColumn="0" w:lastColumn="0" w:oddVBand="0" w:evenVBand="0" w:oddHBand="1" w:evenHBand="0" w:firstRowFirstColumn="0" w:firstRowLastColumn="0" w:lastRowFirstColumn="0" w:lastRowLastColumn="0"/>
        </w:trPr>
        <w:tc>
          <w:tcPr>
            <w:tcW w:w="2268" w:type="dxa"/>
          </w:tcPr>
          <w:p w:rsidRPr="00915FE7" w:rsidR="001755FD" w:rsidP="0031255F" w:rsidRDefault="001755FD" w14:paraId="0963E0AC" w14:textId="5F176EAF">
            <w:r w:rsidRPr="00915FE7">
              <w:t>Overig</w:t>
            </w:r>
          </w:p>
        </w:tc>
        <w:tc>
          <w:tcPr>
            <w:tcW w:w="2268" w:type="dxa"/>
            <w:vAlign w:val="center"/>
          </w:tcPr>
          <w:p w:rsidRPr="00915FE7" w:rsidR="001755FD" w:rsidP="0031255F" w:rsidRDefault="001755FD" w14:paraId="57AEE845" w14:textId="5F0ED89C">
            <w:r>
              <w:rPr>
                <w:rFonts w:cs="Calibri"/>
                <w:szCs w:val="18"/>
              </w:rPr>
              <w:t>1</w:t>
            </w:r>
            <w:r w:rsidR="00670575">
              <w:rPr>
                <w:rFonts w:cs="Calibri"/>
                <w:szCs w:val="18"/>
              </w:rPr>
              <w:t>9</w:t>
            </w:r>
          </w:p>
        </w:tc>
        <w:tc>
          <w:tcPr>
            <w:tcW w:w="2268" w:type="dxa"/>
            <w:vAlign w:val="center"/>
          </w:tcPr>
          <w:p w:rsidRPr="00915FE7" w:rsidR="001755FD" w:rsidP="0031255F" w:rsidRDefault="001755FD" w14:paraId="6C118B56" w14:textId="71203F91">
            <w:r>
              <w:rPr>
                <w:rFonts w:cs="Calibri"/>
                <w:szCs w:val="18"/>
              </w:rPr>
              <w:t>7</w:t>
            </w:r>
          </w:p>
        </w:tc>
        <w:tc>
          <w:tcPr>
            <w:tcW w:w="2552" w:type="dxa"/>
            <w:vAlign w:val="center"/>
          </w:tcPr>
          <w:p w:rsidRPr="00A70BD1" w:rsidR="001755FD" w:rsidP="0031255F" w:rsidRDefault="00670575" w14:paraId="781B4E23" w14:textId="238E9BBF">
            <w:r>
              <w:rPr>
                <w:rFonts w:cs="Calibri"/>
                <w:szCs w:val="18"/>
              </w:rPr>
              <w:t>37</w:t>
            </w:r>
            <w:r w:rsidR="001755FD">
              <w:rPr>
                <w:rFonts w:cs="Calibri"/>
                <w:szCs w:val="18"/>
              </w:rPr>
              <w:t>%</w:t>
            </w:r>
          </w:p>
        </w:tc>
      </w:tr>
      <w:tr w:rsidRPr="00915FE7" w:rsidR="001755FD" w:rsidTr="006154D2" w14:paraId="5070C537" w14:textId="77777777">
        <w:trPr>
          <w:cnfStyle w:val="000000010000" w:firstRow="0" w:lastRow="0" w:firstColumn="0" w:lastColumn="0" w:oddVBand="0" w:evenVBand="0" w:oddHBand="0" w:evenHBand="1" w:firstRowFirstColumn="0" w:firstRowLastColumn="0" w:lastRowFirstColumn="0" w:lastRowLastColumn="0"/>
        </w:trPr>
        <w:tc>
          <w:tcPr>
            <w:tcW w:w="2268" w:type="dxa"/>
          </w:tcPr>
          <w:p w:rsidRPr="00915FE7" w:rsidR="001755FD" w:rsidP="0031255F" w:rsidRDefault="001755FD" w14:paraId="755EA380" w14:textId="77777777">
            <w:pPr>
              <w:rPr>
                <w:b/>
                <w:bCs/>
                <w:color w:val="007BC7"/>
              </w:rPr>
            </w:pPr>
            <w:r w:rsidRPr="00915FE7">
              <w:rPr>
                <w:b/>
                <w:bCs/>
                <w:color w:val="007BC7"/>
              </w:rPr>
              <w:t>Totaal</w:t>
            </w:r>
          </w:p>
        </w:tc>
        <w:tc>
          <w:tcPr>
            <w:tcW w:w="2268" w:type="dxa"/>
            <w:vAlign w:val="center"/>
          </w:tcPr>
          <w:p w:rsidRPr="00915FE7" w:rsidR="001755FD" w:rsidP="0031255F" w:rsidRDefault="00670575" w14:paraId="4AB35B10" w14:textId="5BC0A1C8">
            <w:pPr>
              <w:rPr>
                <w:b/>
                <w:bCs/>
                <w:color w:val="007BC7"/>
              </w:rPr>
            </w:pPr>
            <w:r>
              <w:rPr>
                <w:b/>
                <w:bCs/>
                <w:color w:val="007BC7"/>
              </w:rPr>
              <w:t>3</w:t>
            </w:r>
            <w:r w:rsidR="00845036">
              <w:rPr>
                <w:b/>
                <w:bCs/>
                <w:color w:val="007BC7"/>
              </w:rPr>
              <w:t>63</w:t>
            </w:r>
          </w:p>
        </w:tc>
        <w:tc>
          <w:tcPr>
            <w:tcW w:w="2268" w:type="dxa"/>
            <w:vAlign w:val="center"/>
          </w:tcPr>
          <w:p w:rsidRPr="00915FE7" w:rsidR="001755FD" w:rsidP="0031255F" w:rsidRDefault="00670575" w14:paraId="5DB94E80" w14:textId="34FE2C6C">
            <w:pPr>
              <w:rPr>
                <w:b/>
                <w:bCs/>
                <w:color w:val="007BC7"/>
              </w:rPr>
            </w:pPr>
            <w:r>
              <w:rPr>
                <w:b/>
                <w:bCs/>
                <w:color w:val="007BC7"/>
              </w:rPr>
              <w:t>7</w:t>
            </w:r>
            <w:r w:rsidR="00845036">
              <w:rPr>
                <w:b/>
                <w:bCs/>
                <w:color w:val="007BC7"/>
              </w:rPr>
              <w:t>5</w:t>
            </w:r>
          </w:p>
        </w:tc>
        <w:tc>
          <w:tcPr>
            <w:tcW w:w="2552" w:type="dxa"/>
            <w:vAlign w:val="center"/>
          </w:tcPr>
          <w:p w:rsidRPr="00915FE7" w:rsidR="001755FD" w:rsidP="0031255F" w:rsidRDefault="00845036" w14:paraId="29056E9A" w14:textId="15FD94FD">
            <w:pPr>
              <w:rPr>
                <w:b/>
                <w:bCs/>
                <w:color w:val="007BC7"/>
              </w:rPr>
            </w:pPr>
            <w:r>
              <w:rPr>
                <w:rFonts w:cs="Calibri"/>
                <w:b/>
                <w:bCs/>
                <w:color w:val="007BC7"/>
                <w:szCs w:val="18"/>
              </w:rPr>
              <w:t>21</w:t>
            </w:r>
            <w:r w:rsidR="001755FD">
              <w:rPr>
                <w:rFonts w:cs="Calibri"/>
                <w:b/>
                <w:bCs/>
                <w:color w:val="007BC7"/>
                <w:szCs w:val="18"/>
              </w:rPr>
              <w:t>%</w:t>
            </w:r>
          </w:p>
        </w:tc>
      </w:tr>
    </w:tbl>
    <w:p w:rsidR="00570D54" w:rsidP="00570D54" w:rsidRDefault="00945C44" w14:paraId="6C90B2F9" w14:textId="56082F0D">
      <w:pPr>
        <w:rPr>
          <w:vertAlign w:val="superscript"/>
        </w:rPr>
      </w:pPr>
      <w:r w:rsidRPr="00945C44">
        <w:rPr>
          <w:vertAlign w:val="superscript"/>
        </w:rPr>
        <w:t>1</w:t>
      </w:r>
      <w:r w:rsidRPr="00FE4F8E">
        <w:rPr>
          <w:sz w:val="16"/>
          <w:szCs w:val="16"/>
        </w:rPr>
        <w:t>Dit betreft voornamelijk snackbars</w:t>
      </w:r>
    </w:p>
    <w:p w:rsidRPr="00381438" w:rsidR="00945C44" w:rsidP="00570D54" w:rsidRDefault="00945C44" w14:paraId="49019376" w14:textId="77777777">
      <w:pPr>
        <w:rPr>
          <w:highlight w:val="yellow"/>
        </w:rPr>
      </w:pPr>
    </w:p>
    <w:p w:rsidR="005630EF" w:rsidP="005630EF" w:rsidRDefault="005630EF" w14:paraId="734EDABC" w14:textId="4C9D9087">
      <w:r w:rsidRPr="005630EF">
        <w:lastRenderedPageBreak/>
        <w:t>Wat betreft het verkoopverbod in supermarkten en de horeca, blijkt dat de naleving het laagst is bij avondwinkels (4</w:t>
      </w:r>
      <w:r w:rsidR="00845036">
        <w:t>4</w:t>
      </w:r>
      <w:r w:rsidRPr="005630EF">
        <w:t>%) en kleine supermarkten (2</w:t>
      </w:r>
      <w:r w:rsidR="00845036">
        <w:t>3</w:t>
      </w:r>
      <w:r w:rsidRPr="005630EF">
        <w:t>%). Daarentegen tonen grote supermarkten (</w:t>
      </w:r>
      <w:r w:rsidR="00845036">
        <w:t>4</w:t>
      </w:r>
      <w:r w:rsidRPr="005630EF">
        <w:t>%) en de horeca (</w:t>
      </w:r>
      <w:r w:rsidR="0031255F">
        <w:t>9</w:t>
      </w:r>
      <w:r w:rsidRPr="005630EF">
        <w:t>%) een relatief hoge naleving.</w:t>
      </w:r>
    </w:p>
    <w:p w:rsidR="0031255F" w:rsidP="005630EF" w:rsidRDefault="0031255F" w14:paraId="5704727B" w14:textId="77777777"/>
    <w:p w:rsidRPr="005630EF" w:rsidR="0031255F" w:rsidP="005630EF" w:rsidRDefault="00561094" w14:paraId="43F5036B" w14:textId="2EE7761F">
      <w:r>
        <w:t xml:space="preserve">Bij de </w:t>
      </w:r>
      <w:r w:rsidR="00670575">
        <w:t>4</w:t>
      </w:r>
      <w:r w:rsidR="00845036">
        <w:t>0</w:t>
      </w:r>
      <w:r w:rsidR="0031255F">
        <w:t xml:space="preserve"> </w:t>
      </w:r>
      <w:r>
        <w:t xml:space="preserve">uitgevoerde </w:t>
      </w:r>
      <w:r w:rsidR="0031255F">
        <w:t xml:space="preserve">herinspecties bleek </w:t>
      </w:r>
      <w:r>
        <w:t xml:space="preserve">dat </w:t>
      </w:r>
      <w:r w:rsidR="0031255F">
        <w:t>bij 7</w:t>
      </w:r>
      <w:r w:rsidR="005D3C3C">
        <w:t>3</w:t>
      </w:r>
      <w:r w:rsidR="0031255F">
        <w:t>% van de bedrijven de overtreding was opgeheven. Bij de andere 2</w:t>
      </w:r>
      <w:r w:rsidR="005D3C3C">
        <w:t>8</w:t>
      </w:r>
      <w:r w:rsidR="0031255F">
        <w:t>% werd</w:t>
      </w:r>
      <w:r>
        <w:t xml:space="preserve"> opgetreden met een boete.</w:t>
      </w:r>
    </w:p>
    <w:p w:rsidRPr="00E7541F" w:rsidR="00570D54" w:rsidP="005630EF" w:rsidRDefault="00570D54" w14:paraId="303074C9" w14:textId="3045D6DD"/>
    <w:p w:rsidRPr="00E7541F" w:rsidR="00570D54" w:rsidP="00570D54" w:rsidRDefault="00570D54" w14:paraId="00746AAE" w14:textId="65FB1143">
      <w:pPr>
        <w:pStyle w:val="Geenafstand"/>
        <w:rPr>
          <w:rFonts w:ascii="Verdana" w:hAnsi="Verdana"/>
        </w:rPr>
      </w:pPr>
      <w:r w:rsidRPr="00E7541F">
        <w:rPr>
          <w:rFonts w:ascii="Verdana" w:hAnsi="Verdana"/>
          <w:b/>
          <w:bCs/>
        </w:rPr>
        <w:t xml:space="preserve">Vervolgaanpak </w:t>
      </w:r>
    </w:p>
    <w:p w:rsidR="00BC4D74" w:rsidP="00E7541F" w:rsidRDefault="00BC4D74" w14:paraId="02556312" w14:textId="77777777"/>
    <w:p w:rsidR="00424351" w:rsidP="00E7541F" w:rsidRDefault="00E7541F" w14:paraId="63AF1813" w14:textId="77777777">
      <w:r w:rsidRPr="00E7541F">
        <w:t xml:space="preserve">Het is zorgelijk dat jongeren nog steeds via diverse online verkooppunten, zoals socialmediakanalen, toegang kunnen krijgen tot </w:t>
      </w:r>
      <w:r w:rsidR="00BD5DF6">
        <w:t>rookwaren</w:t>
      </w:r>
      <w:r w:rsidRPr="00E7541F">
        <w:t xml:space="preserve">. </w:t>
      </w:r>
      <w:r w:rsidR="00424351">
        <w:t xml:space="preserve">Dealers in verboden vapes met zoete smaken maken veelvuldig gebruik van deze kanalen om hun, veelal jonge, klanten te bedienen. </w:t>
      </w:r>
      <w:r w:rsidRPr="00C7773A" w:rsidR="00C7773A">
        <w:t xml:space="preserve">Daarom blijven we risicogerichte inspecties uitvoeren bij de verschillende online verkoopkanalen. </w:t>
      </w:r>
    </w:p>
    <w:p w:rsidRPr="00E7541F" w:rsidR="00E7541F" w:rsidP="00E7541F" w:rsidRDefault="00E7541F" w14:paraId="4BB5AFB2" w14:textId="5DDF899C">
      <w:r w:rsidRPr="00E7541F">
        <w:br/>
      </w:r>
      <w:r w:rsidR="000D1271">
        <w:t xml:space="preserve">De </w:t>
      </w:r>
      <w:r w:rsidR="00424351">
        <w:t xml:space="preserve">aanbieders van </w:t>
      </w:r>
      <w:r w:rsidR="000D1271">
        <w:t>g</w:t>
      </w:r>
      <w:r w:rsidRPr="00E7541F">
        <w:t xml:space="preserve">rote </w:t>
      </w:r>
      <w:r w:rsidR="00424351">
        <w:t xml:space="preserve">socialmediakanalen </w:t>
      </w:r>
      <w:r w:rsidRPr="00E7541F">
        <w:t xml:space="preserve">werken </w:t>
      </w:r>
      <w:r w:rsidR="00424351">
        <w:t>nog onvoldoende</w:t>
      </w:r>
      <w:r w:rsidRPr="00E7541F">
        <w:t xml:space="preserve"> mee aan het </w:t>
      </w:r>
      <w:r w:rsidR="00424351">
        <w:t>preventief scannen en verwijderen</w:t>
      </w:r>
      <w:r w:rsidRPr="00E7541F">
        <w:t xml:space="preserve"> van advertenties voor de verkoop van </w:t>
      </w:r>
      <w:r w:rsidR="00BD5DF6">
        <w:t>rookwaren</w:t>
      </w:r>
      <w:r w:rsidRPr="00E7541F">
        <w:t xml:space="preserve">. Daarnaast bieden zij niet altijd de nodige ondersteuning bij het zoeken naar oplossingen wanneer de NVWA een overtreding constateert op hun platformen. Dit bemoeilijkt en vertraagt het toezicht, waardoor de naleving online wordt belemmerd. Hoewel nieuwe wetgeving, zoals de Digital Services Act, extra handvatten biedt, blijft het een uitdaging om de juiste aanpak te vinden om de online verkoop van </w:t>
      </w:r>
      <w:r w:rsidR="00BD5DF6">
        <w:t>rookwaren</w:t>
      </w:r>
      <w:r w:rsidRPr="00E7541F">
        <w:t xml:space="preserve"> effectief tegen te gaan.</w:t>
      </w:r>
      <w:r w:rsidR="000D1271">
        <w:t xml:space="preserve"> Het is dan ook goed dat Nederland, samen met 11 andere landen, dit probleem op Europees niveau wil aanpakken omdat de betreffende bedrijven veelal internationaal werken. </w:t>
      </w:r>
      <w:r w:rsidRPr="00E7541F">
        <w:br/>
      </w:r>
    </w:p>
    <w:p w:rsidR="00E7541F" w:rsidP="00E7541F" w:rsidRDefault="00E7541F" w14:paraId="142221AC" w14:textId="703E6C58">
      <w:r w:rsidRPr="00E7541F">
        <w:t xml:space="preserve">Wat betreft de verkoop van </w:t>
      </w:r>
      <w:r w:rsidR="00BD5DF6">
        <w:t>rookwaren</w:t>
      </w:r>
      <w:r w:rsidRPr="00E7541F">
        <w:t xml:space="preserve"> in supermarkten en de horeca </w:t>
      </w:r>
      <w:r w:rsidR="000D1271">
        <w:t xml:space="preserve">blijken de meeste </w:t>
      </w:r>
      <w:r w:rsidR="00561094">
        <w:t xml:space="preserve">grotere </w:t>
      </w:r>
      <w:r w:rsidR="000D1271">
        <w:t xml:space="preserve">bedrijven </w:t>
      </w:r>
      <w:r w:rsidR="00561094">
        <w:t xml:space="preserve">en de horeca </w:t>
      </w:r>
      <w:r w:rsidR="000D1271">
        <w:t>het verbod na te leven. Bij de kleine</w:t>
      </w:r>
      <w:r w:rsidR="00BD5DF6">
        <w:t>re</w:t>
      </w:r>
      <w:r w:rsidR="000D1271">
        <w:t xml:space="preserve"> supermarkten en avondwinkels blijft de naleving nog achter. Hier zal de NVWA gericht op het verkoopverbod blijven controleren. </w:t>
      </w:r>
    </w:p>
    <w:p w:rsidR="00BD5DF6" w:rsidP="00E7541F" w:rsidRDefault="00BD5DF6" w14:paraId="53C16FED" w14:textId="77777777"/>
    <w:p w:rsidR="00561094" w:rsidP="00E7541F" w:rsidRDefault="00561094" w14:paraId="20B7EE45" w14:textId="325ABA6D">
      <w:r>
        <w:t xml:space="preserve">Nu het verkoopverbod enige tijd bekend is </w:t>
      </w:r>
      <w:r w:rsidR="00C43CFB">
        <w:t>en om het optreden in lijn te brengen met andere overtredingen van de Tabaks- en rookwarenwet, zal de NVWA het interventiebeleid aanpassen</w:t>
      </w:r>
      <w:r w:rsidR="005D3C3C">
        <w:t>. Daarbij zal</w:t>
      </w:r>
      <w:r w:rsidR="00C43CFB">
        <w:t xml:space="preserve"> bij </w:t>
      </w:r>
      <w:r w:rsidR="005D3C3C">
        <w:t xml:space="preserve">een </w:t>
      </w:r>
      <w:r w:rsidR="00C43CFB">
        <w:t xml:space="preserve">eerste </w:t>
      </w:r>
      <w:r w:rsidR="005D3C3C">
        <w:t xml:space="preserve">overtreding </w:t>
      </w:r>
      <w:r w:rsidR="00424351">
        <w:t>van het verkoopverbod d</w:t>
      </w:r>
      <w:r w:rsidR="005D3C3C">
        <w:t xml:space="preserve">irect </w:t>
      </w:r>
      <w:r w:rsidR="00C43CFB">
        <w:t>met een boete word</w:t>
      </w:r>
      <w:r w:rsidR="005D3C3C">
        <w:t>en</w:t>
      </w:r>
      <w:r w:rsidR="00C43CFB">
        <w:t xml:space="preserve"> opgetreden. </w:t>
      </w:r>
    </w:p>
    <w:p w:rsidRPr="00E7541F" w:rsidR="00561094" w:rsidP="00E7541F" w:rsidRDefault="00561094" w14:paraId="6C9A74F7" w14:textId="77777777"/>
    <w:p w:rsidRPr="00E7541F" w:rsidR="00E7541F" w:rsidP="00E7541F" w:rsidRDefault="000D1271" w14:paraId="7C728D6F" w14:textId="5EDD0F08">
      <w:r>
        <w:t xml:space="preserve">Met de handhaving op het verkoopverbod draagt de NVWA bij aan het terugdringen van het </w:t>
      </w:r>
      <w:r w:rsidR="005B533F">
        <w:t>aanbod</w:t>
      </w:r>
      <w:r>
        <w:t xml:space="preserve"> van rookwaren. Een afname van het aantal verkooppunten draagt bij aan het terugdringen van de blootstelling </w:t>
      </w:r>
      <w:r w:rsidR="00BD5DF6">
        <w:t xml:space="preserve">aan rookwaren en </w:t>
      </w:r>
      <w:r>
        <w:t xml:space="preserve">aan het denormaliseren van deze producten. </w:t>
      </w:r>
    </w:p>
    <w:p w:rsidRPr="00ED05B0" w:rsidR="000217B1" w:rsidP="00E7541F" w:rsidRDefault="000217B1" w14:paraId="09A63B20" w14:textId="3A64E518"/>
    <w:sectPr w:rsidRPr="00ED05B0" w:rsidR="000217B1" w:rsidSect="00570D54">
      <w:footerReference w:type="even" r:id="rId8"/>
      <w:headerReference w:type="first" r:id="rId9"/>
      <w:pgSz w:w="11906" w:h="16838" w:code="9"/>
      <w:pgMar w:top="2398" w:right="964" w:bottom="1077" w:left="1559" w:header="198" w:footer="65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72E7E" w14:textId="77777777" w:rsidR="00570D54" w:rsidRDefault="00570D54">
      <w:r>
        <w:separator/>
      </w:r>
    </w:p>
    <w:p w14:paraId="754F7CD9" w14:textId="77777777" w:rsidR="00570D54" w:rsidRDefault="00570D54"/>
    <w:p w14:paraId="05759263" w14:textId="77777777" w:rsidR="00570D54" w:rsidRDefault="00570D54"/>
  </w:endnote>
  <w:endnote w:type="continuationSeparator" w:id="0">
    <w:p w14:paraId="0EE463D9" w14:textId="77777777" w:rsidR="00570D54" w:rsidRDefault="00570D54">
      <w:r>
        <w:continuationSeparator/>
      </w:r>
    </w:p>
    <w:p w14:paraId="6AD72650" w14:textId="77777777" w:rsidR="00570D54" w:rsidRDefault="00570D54"/>
    <w:p w14:paraId="5AE5CAE4" w14:textId="77777777" w:rsidR="00570D54" w:rsidRDefault="00570D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000" w:firstRow="0" w:lastRow="0" w:firstColumn="0" w:lastColumn="0" w:noHBand="0" w:noVBand="0"/>
    </w:tblPr>
    <w:tblGrid>
      <w:gridCol w:w="7676"/>
      <w:gridCol w:w="1707"/>
    </w:tblGrid>
    <w:tr w:rsidR="007B5BD2" w14:paraId="7F03D70B" w14:textId="77777777" w:rsidTr="00B7359D">
      <w:trPr>
        <w:trHeight w:hRule="exact" w:val="240"/>
      </w:trPr>
      <w:tc>
        <w:tcPr>
          <w:tcW w:w="6260" w:type="dxa"/>
          <w:shd w:val="clear" w:color="auto" w:fill="auto"/>
        </w:tcPr>
        <w:p w14:paraId="3523E6EE" w14:textId="5BDF35FB" w:rsidR="007B5BD2" w:rsidRPr="00C12E90" w:rsidRDefault="00570D54" w:rsidP="004B7A11">
          <w:pPr>
            <w:pStyle w:val="Huisstijl-Paginanummering"/>
            <w:rPr>
              <w:rStyle w:val="Huisstijl-Rubricering"/>
            </w:rPr>
          </w:pPr>
          <w:r>
            <mc:AlternateContent>
              <mc:Choice Requires="wps">
                <w:drawing>
                  <wp:anchor distT="0" distB="0" distL="0" distR="0" simplePos="0" relativeHeight="251661312" behindDoc="0" locked="0" layoutInCell="1" allowOverlap="1" wp14:anchorId="1D26D878" wp14:editId="03BB5CCF">
                    <wp:simplePos x="635" y="635"/>
                    <wp:positionH relativeFrom="page">
                      <wp:align>left</wp:align>
                    </wp:positionH>
                    <wp:positionV relativeFrom="page">
                      <wp:align>bottom</wp:align>
                    </wp:positionV>
                    <wp:extent cx="443865" cy="443865"/>
                    <wp:effectExtent l="0" t="0" r="4445" b="0"/>
                    <wp:wrapNone/>
                    <wp:docPr id="4" name="Tekstvak 4"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B92BAB" w14:textId="4ACCFC1D" w:rsidR="00570D54" w:rsidRPr="00570D54" w:rsidRDefault="00570D54" w:rsidP="00570D54">
                                <w:pPr>
                                  <w:rPr>
                                    <w:rFonts w:ascii="Calibri" w:eastAsia="Calibri" w:hAnsi="Calibri" w:cs="Calibri"/>
                                    <w:noProof/>
                                    <w:color w:val="000000"/>
                                    <w:sz w:val="20"/>
                                    <w:szCs w:val="20"/>
                                  </w:rPr>
                                </w:pPr>
                                <w:r w:rsidRPr="00570D54">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26D878" id="_x0000_t202" coordsize="21600,21600" o:spt="202" path="m,l,21600r21600,l21600,xe">
                    <v:stroke joinstyle="miter"/>
                    <v:path gradientshapeok="t" o:connecttype="rect"/>
                  </v:shapetype>
                  <v:shape id="Tekstvak 4" o:spid="_x0000_s1026" type="#_x0000_t202" alt="Intern gebruik" style="position:absolute;left:0;text-align:left;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0B92BAB" w14:textId="4ACCFC1D" w:rsidR="00570D54" w:rsidRPr="00570D54" w:rsidRDefault="00570D54" w:rsidP="00570D54">
                          <w:pPr>
                            <w:rPr>
                              <w:rFonts w:ascii="Calibri" w:eastAsia="Calibri" w:hAnsi="Calibri" w:cs="Calibri"/>
                              <w:noProof/>
                              <w:color w:val="000000"/>
                              <w:sz w:val="20"/>
                              <w:szCs w:val="20"/>
                            </w:rPr>
                          </w:pPr>
                          <w:r w:rsidRPr="00570D54">
                            <w:rPr>
                              <w:rFonts w:ascii="Calibri" w:eastAsia="Calibri" w:hAnsi="Calibri" w:cs="Calibri"/>
                              <w:noProof/>
                              <w:color w:val="000000"/>
                              <w:sz w:val="20"/>
                              <w:szCs w:val="20"/>
                            </w:rPr>
                            <w:t>Intern gebruik</w:t>
                          </w:r>
                        </w:p>
                      </w:txbxContent>
                    </v:textbox>
                    <w10:wrap anchorx="page" anchory="page"/>
                  </v:shape>
                </w:pict>
              </mc:Fallback>
            </mc:AlternateContent>
          </w:r>
          <w:r w:rsidR="007B5BD2" w:rsidRPr="006B1455">
            <w:t xml:space="preserve">Pagina </w:t>
          </w:r>
          <w:r w:rsidR="007B5BD2" w:rsidRPr="006B1455">
            <w:fldChar w:fldCharType="begin"/>
          </w:r>
          <w:r w:rsidR="007B5BD2" w:rsidRPr="006B1455">
            <w:instrText xml:space="preserve"> PAGE   \* MERGEFORMAT </w:instrText>
          </w:r>
          <w:r w:rsidR="007B5BD2" w:rsidRPr="006B1455">
            <w:fldChar w:fldCharType="separate"/>
          </w:r>
          <w:r w:rsidR="00074CF6">
            <w:t>8</w:t>
          </w:r>
          <w:r w:rsidR="007B5BD2" w:rsidRPr="006B1455">
            <w:fldChar w:fldCharType="end"/>
          </w:r>
          <w:r w:rsidR="007B5BD2" w:rsidRPr="006B1455">
            <w:t xml:space="preserve"> van </w:t>
          </w:r>
          <w:r w:rsidR="00882F47">
            <w:fldChar w:fldCharType="begin"/>
          </w:r>
          <w:r w:rsidR="00882F47">
            <w:instrText xml:space="preserve"> NUMPAGES   \* MERGEFORMAT </w:instrText>
          </w:r>
          <w:r w:rsidR="00882F47">
            <w:fldChar w:fldCharType="separate"/>
          </w:r>
          <w:r w:rsidR="00074CF6">
            <w:t>8</w:t>
          </w:r>
          <w:r w:rsidR="00882F47">
            <w:fldChar w:fldCharType="end"/>
          </w:r>
        </w:p>
      </w:tc>
      <w:tc>
        <w:tcPr>
          <w:tcW w:w="1392" w:type="dxa"/>
        </w:tcPr>
        <w:p w14:paraId="3D5EF5AE" w14:textId="77777777" w:rsidR="007B5BD2" w:rsidRPr="006B1455" w:rsidRDefault="007B5BD2" w:rsidP="00B523B1">
          <w:pPr>
            <w:pStyle w:val="Huisstijl-Paginanummering"/>
          </w:pPr>
        </w:p>
      </w:tc>
    </w:tr>
  </w:tbl>
  <w:p w14:paraId="515DC219" w14:textId="77777777" w:rsidR="007B5BD2" w:rsidRPr="00BC3B53" w:rsidRDefault="007B5BD2" w:rsidP="00B523B1">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FFC31" w14:textId="77777777" w:rsidR="00570D54" w:rsidRPr="00B35331" w:rsidRDefault="00570D54" w:rsidP="00B35331">
      <w:pPr>
        <w:pStyle w:val="Voettekst"/>
      </w:pPr>
    </w:p>
  </w:footnote>
  <w:footnote w:type="continuationSeparator" w:id="0">
    <w:p w14:paraId="1A56BC7B" w14:textId="77777777" w:rsidR="00570D54" w:rsidRDefault="00570D54">
      <w:r>
        <w:continuationSeparator/>
      </w:r>
    </w:p>
    <w:p w14:paraId="0C897B80" w14:textId="77777777" w:rsidR="00570D54" w:rsidRDefault="00570D54"/>
    <w:p w14:paraId="1153958D" w14:textId="77777777" w:rsidR="00570D54" w:rsidRDefault="00570D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F6F8" w14:textId="0956FB0C" w:rsidR="00C8331E" w:rsidRDefault="00BC4D74">
    <w:pPr>
      <w:pStyle w:val="Koptekst"/>
    </w:pPr>
    <w:r>
      <w:rPr>
        <w:noProof/>
      </w:rPr>
      <w:drawing>
        <wp:anchor distT="0" distB="0" distL="114300" distR="114300" simplePos="0" relativeHeight="251663360" behindDoc="0" locked="0" layoutInCell="1" allowOverlap="1" wp14:anchorId="68E9BC78" wp14:editId="33036FB9">
          <wp:simplePos x="0" y="0"/>
          <wp:positionH relativeFrom="column">
            <wp:posOffset>3067685</wp:posOffset>
          </wp:positionH>
          <wp:positionV relativeFrom="paragraph">
            <wp:posOffset>-59055</wp:posOffset>
          </wp:positionV>
          <wp:extent cx="2340000" cy="1584000"/>
          <wp:effectExtent l="0" t="0" r="3175" b="0"/>
          <wp:wrapNone/>
          <wp:docPr id="1593890928" name="Afbeelding 1" descr="Nederlandse Voedsel- en Warenautoriteit&#10;Ministerie van Landbouw, Visserij, Voedselzekerheid en Natu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890928" name="Afbeelding 1" descr="Nederlandse Voedsel- en Warenautoriteit&#10;Ministerie van Landbouw, Visserij, Voedselzekerheid en Natuu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000" cy="1584000"/>
                  </a:xfrm>
                  <a:prstGeom prst="rect">
                    <a:avLst/>
                  </a:prstGeom>
                </pic:spPr>
              </pic:pic>
            </a:graphicData>
          </a:graphic>
          <wp14:sizeRelH relativeFrom="page">
            <wp14:pctWidth>0</wp14:pctWidth>
          </wp14:sizeRelH>
          <wp14:sizeRelV relativeFrom="page">
            <wp14:pctHeight>0</wp14:pctHeight>
          </wp14:sizeRelV>
        </wp:anchor>
      </w:drawing>
    </w:r>
    <w:r w:rsidR="00570D54">
      <w:rPr>
        <w:noProof/>
      </w:rPr>
      <w:drawing>
        <wp:anchor distT="0" distB="0" distL="114300" distR="114300" simplePos="0" relativeHeight="251659264" behindDoc="1" locked="1" layoutInCell="1" allowOverlap="1" wp14:anchorId="7A8B8AD0" wp14:editId="565939FC">
          <wp:simplePos x="0" y="0"/>
          <wp:positionH relativeFrom="page">
            <wp:posOffset>0</wp:posOffset>
          </wp:positionH>
          <wp:positionV relativeFrom="page">
            <wp:posOffset>0</wp:posOffset>
          </wp:positionV>
          <wp:extent cx="7560000" cy="1872000"/>
          <wp:effectExtent l="0" t="0" r="3175" b="0"/>
          <wp:wrapNone/>
          <wp:docPr id="1" name="Afbeelding 1" descr="Logo Nederlandse Voedsel- en Warenautoriteit. Ministerie van Landbouw, Natuur en Voedselkwalit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Nederlandse Voedsel- en Warenautoriteit. Ministerie van Landbouw, Natuur en Voedselkwaliteit"/>
                  <pic:cNvPicPr/>
                </pic:nvPicPr>
                <pic:blipFill>
                  <a:blip r:embed="rId2">
                    <a:extLst>
                      <a:ext uri="{28A0092B-C50C-407E-A947-70E740481C1C}">
                        <a14:useLocalDpi xmlns:a14="http://schemas.microsoft.com/office/drawing/2010/main" val="0"/>
                      </a:ext>
                    </a:extLst>
                  </a:blip>
                  <a:stretch>
                    <a:fillRect/>
                  </a:stretch>
                </pic:blipFill>
                <pic:spPr>
                  <a:xfrm>
                    <a:off x="0" y="0"/>
                    <a:ext cx="7560000" cy="1872000"/>
                  </a:xfrm>
                  <a:prstGeom prst="rect">
                    <a:avLst/>
                  </a:prstGeom>
                </pic:spPr>
              </pic:pic>
            </a:graphicData>
          </a:graphic>
          <wp14:sizeRelH relativeFrom="margin">
            <wp14:pctWidth>0</wp14:pctWidth>
          </wp14:sizeRelH>
          <wp14:sizeRelV relativeFrom="margin">
            <wp14:pctHeight>0</wp14:pctHeight>
          </wp14:sizeRelV>
        </wp:anchor>
      </w:drawing>
    </w:r>
  </w:p>
  <w:p w14:paraId="3A1F3F77" w14:textId="77777777" w:rsidR="00BB77C6" w:rsidRDefault="00BB77C6">
    <w:pPr>
      <w:pStyle w:val="Koptekst"/>
    </w:pPr>
  </w:p>
  <w:p w14:paraId="5BD29AFC" w14:textId="77777777" w:rsidR="00BB77C6" w:rsidRDefault="00BB77C6">
    <w:pPr>
      <w:pStyle w:val="Koptekst"/>
    </w:pPr>
  </w:p>
  <w:p w14:paraId="39909ED2" w14:textId="77777777" w:rsidR="00BB77C6" w:rsidRDefault="00BB77C6">
    <w:pPr>
      <w:pStyle w:val="Koptekst"/>
    </w:pPr>
  </w:p>
  <w:p w14:paraId="7C29BFFE" w14:textId="77777777" w:rsidR="00BB77C6" w:rsidRDefault="00BB77C6">
    <w:pPr>
      <w:pStyle w:val="Koptekst"/>
    </w:pPr>
  </w:p>
  <w:p w14:paraId="68B76E14" w14:textId="77777777" w:rsidR="00BB77C6" w:rsidRDefault="00BB77C6">
    <w:pPr>
      <w:pStyle w:val="Koptekst"/>
    </w:pPr>
  </w:p>
  <w:p w14:paraId="6006EA60" w14:textId="77777777" w:rsidR="00BB77C6" w:rsidRDefault="00BB77C6">
    <w:pPr>
      <w:pStyle w:val="Koptekst"/>
    </w:pPr>
  </w:p>
  <w:p w14:paraId="045A6169" w14:textId="77777777" w:rsidR="00BB77C6" w:rsidRDefault="00BB77C6">
    <w:pPr>
      <w:pStyle w:val="Koptekst"/>
    </w:pPr>
  </w:p>
  <w:p w14:paraId="1A57A847" w14:textId="77777777" w:rsidR="00BB77C6" w:rsidRDefault="00BB77C6">
    <w:pPr>
      <w:pStyle w:val="Koptekst"/>
    </w:pPr>
  </w:p>
  <w:p w14:paraId="2FDF68F0" w14:textId="77777777" w:rsidR="00C8331E" w:rsidRDefault="00C8331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BBFAD8F0"/>
    <w:lvl w:ilvl="0">
      <w:start w:val="1"/>
      <w:numFmt w:val="decimal"/>
      <w:lvlText w:val="%1."/>
      <w:lvlJc w:val="left"/>
      <w:pPr>
        <w:tabs>
          <w:tab w:val="num" w:pos="643"/>
        </w:tabs>
        <w:ind w:left="643" w:hanging="360"/>
      </w:pPr>
    </w:lvl>
  </w:abstractNum>
  <w:abstractNum w:abstractNumId="1" w15:restartNumberingAfterBreak="0">
    <w:nsid w:val="FFFFFF81"/>
    <w:multiLevelType w:val="singleLevel"/>
    <w:tmpl w:val="0534D73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8"/>
    <w:multiLevelType w:val="singleLevel"/>
    <w:tmpl w:val="840C5562"/>
    <w:lvl w:ilvl="0">
      <w:start w:val="1"/>
      <w:numFmt w:val="decimal"/>
      <w:pStyle w:val="Lijstnummering"/>
      <w:lvlText w:val="%1."/>
      <w:lvlJc w:val="left"/>
      <w:pPr>
        <w:tabs>
          <w:tab w:val="num" w:pos="360"/>
        </w:tabs>
        <w:ind w:left="360" w:hanging="360"/>
      </w:pPr>
    </w:lvl>
  </w:abstractNum>
  <w:abstractNum w:abstractNumId="3" w15:restartNumberingAfterBreak="0">
    <w:nsid w:val="09D434AC"/>
    <w:multiLevelType w:val="multilevel"/>
    <w:tmpl w:val="924E294C"/>
    <w:name w:val="RijksRapport"/>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none"/>
      <w:lvlRestart w:val="0"/>
      <w:pStyle w:val="Kop5"/>
      <w:suff w:val="nothing"/>
      <w:lvlText w:val=""/>
      <w:lvlJc w:val="left"/>
      <w:pPr>
        <w:ind w:left="-32767" w:firstLine="0"/>
      </w:pPr>
      <w:rPr>
        <w:rFonts w:hint="default"/>
      </w:rPr>
    </w:lvl>
    <w:lvl w:ilvl="5">
      <w:start w:val="1"/>
      <w:numFmt w:val="none"/>
      <w:lvlRestart w:val="0"/>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280" w:firstLine="32489"/>
      </w:pPr>
      <w:rPr>
        <w:rFonts w:hint="default"/>
      </w:rPr>
    </w:lvl>
    <w:lvl w:ilvl="8">
      <w:start w:val="1"/>
      <w:numFmt w:val="none"/>
      <w:lvlRestart w:val="0"/>
      <w:suff w:val="nothing"/>
      <w:lvlText w:val=""/>
      <w:lvlJc w:val="left"/>
      <w:pPr>
        <w:ind w:left="424" w:firstLine="32345"/>
      </w:pPr>
      <w:rPr>
        <w:rFonts w:hint="default"/>
      </w:rPr>
    </w:lvl>
  </w:abstractNum>
  <w:abstractNum w:abstractNumId="4" w15:restartNumberingAfterBreak="0">
    <w:nsid w:val="147800DE"/>
    <w:multiLevelType w:val="multilevel"/>
    <w:tmpl w:val="5016CADA"/>
    <w:lvl w:ilvl="0">
      <w:start w:val="1"/>
      <w:numFmt w:val="bullet"/>
      <w:pStyle w:val="Lijstopsomteken"/>
      <w:lvlText w:val=""/>
      <w:lvlJc w:val="left"/>
      <w:pPr>
        <w:tabs>
          <w:tab w:val="num" w:pos="227"/>
        </w:tabs>
        <w:ind w:left="227" w:hanging="227"/>
      </w:pPr>
      <w:rPr>
        <w:rFonts w:ascii="Symbol" w:hAnsi="Symbol" w:hint="default"/>
      </w:rPr>
    </w:lvl>
    <w:lvl w:ilvl="1">
      <w:start w:val="1"/>
      <w:numFmt w:val="bullet"/>
      <w:pStyle w:val="Lijstopsomteken2"/>
      <w:lvlText w:val="-"/>
      <w:lvlJc w:val="left"/>
      <w:pPr>
        <w:tabs>
          <w:tab w:val="num" w:pos="454"/>
        </w:tabs>
        <w:ind w:left="454" w:hanging="227"/>
      </w:pPr>
      <w:rPr>
        <w:rFonts w:ascii="Verdana" w:hAnsi="Verdana" w:hint="default"/>
      </w:rPr>
    </w:lvl>
    <w:lvl w:ilvl="2">
      <w:start w:val="1"/>
      <w:numFmt w:val="bullet"/>
      <w:pStyle w:val="Lijstopsomteken3"/>
      <w:lvlText w:val="-"/>
      <w:lvlJc w:val="left"/>
      <w:pPr>
        <w:tabs>
          <w:tab w:val="num" w:pos="680"/>
        </w:tabs>
        <w:ind w:left="680" w:hanging="226"/>
      </w:pPr>
      <w:rPr>
        <w:rFonts w:ascii="Verdana" w:hAnsi="Verdana" w:hint="default"/>
      </w:rPr>
    </w:lvl>
    <w:lvl w:ilvl="3">
      <w:start w:val="1"/>
      <w:numFmt w:val="bullet"/>
      <w:pStyle w:val="Lijstopsomteken4"/>
      <w:lvlText w:val="-"/>
      <w:lvlJc w:val="left"/>
      <w:pPr>
        <w:tabs>
          <w:tab w:val="num" w:pos="1134"/>
        </w:tabs>
        <w:ind w:left="1134" w:hanging="227"/>
      </w:pPr>
      <w:rPr>
        <w:rFonts w:ascii="Verdana" w:hAnsi="Verdana" w:hint="default"/>
      </w:rPr>
    </w:lvl>
    <w:lvl w:ilvl="4">
      <w:start w:val="1"/>
      <w:numFmt w:val="bullet"/>
      <w:pStyle w:val="Lijstopsomteken5"/>
      <w:lvlText w:val="-"/>
      <w:lvlJc w:val="left"/>
      <w:pPr>
        <w:tabs>
          <w:tab w:val="num" w:pos="1361"/>
        </w:tabs>
        <w:ind w:left="1361" w:hanging="227"/>
      </w:pPr>
      <w:rPr>
        <w:rFonts w:ascii="Verdana" w:hAnsi="Verdana"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3275642E"/>
    <w:multiLevelType w:val="multilevel"/>
    <w:tmpl w:val="30E2B50E"/>
    <w:name w:val="KopNumNVWA"/>
    <w:styleLink w:val="KopNum"/>
    <w:lvl w:ilvl="0">
      <w:start w:val="1"/>
      <w:numFmt w:val="decimal"/>
      <w:pStyle w:val="Kop1"/>
      <w:lvlText w:val="%1"/>
      <w:lvlJc w:val="right"/>
      <w:pPr>
        <w:tabs>
          <w:tab w:val="num" w:pos="0"/>
        </w:tabs>
        <w:ind w:left="0" w:hanging="284"/>
      </w:pPr>
      <w:rPr>
        <w:rFonts w:hint="default"/>
      </w:rPr>
    </w:lvl>
    <w:lvl w:ilvl="1">
      <w:start w:val="1"/>
      <w:numFmt w:val="decimal"/>
      <w:pStyle w:val="Kop2"/>
      <w:lvlText w:val="%1.%2"/>
      <w:lvlJc w:val="right"/>
      <w:pPr>
        <w:tabs>
          <w:tab w:val="num" w:pos="0"/>
        </w:tabs>
        <w:ind w:left="0" w:hanging="284"/>
      </w:pPr>
      <w:rPr>
        <w:rFonts w:hint="default"/>
      </w:rPr>
    </w:lvl>
    <w:lvl w:ilvl="2">
      <w:start w:val="1"/>
      <w:numFmt w:val="decimal"/>
      <w:pStyle w:val="Kop3"/>
      <w:lvlText w:val="%1.%2.%3"/>
      <w:lvlJc w:val="right"/>
      <w:pPr>
        <w:tabs>
          <w:tab w:val="num" w:pos="0"/>
        </w:tabs>
        <w:ind w:left="0" w:hanging="284"/>
      </w:pPr>
      <w:rPr>
        <w:rFonts w:hint="default"/>
      </w:rPr>
    </w:lvl>
    <w:lvl w:ilvl="3">
      <w:start w:val="1"/>
      <w:numFmt w:val="decimal"/>
      <w:pStyle w:val="Kop4"/>
      <w:lvlText w:val="%1.%2.%3.%4"/>
      <w:lvlJc w:val="right"/>
      <w:pPr>
        <w:tabs>
          <w:tab w:val="num" w:pos="0"/>
        </w:tabs>
        <w:ind w:left="0" w:hanging="284"/>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6"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7" w15:restartNumberingAfterBreak="0">
    <w:nsid w:val="7B6659FD"/>
    <w:multiLevelType w:val="multilevel"/>
    <w:tmpl w:val="EDAA1C46"/>
    <w:lvl w:ilvl="0">
      <w:start w:val="1"/>
      <w:numFmt w:val="decimal"/>
      <w:lvlText w:val="%1"/>
      <w:lvlJc w:val="left"/>
      <w:pPr>
        <w:tabs>
          <w:tab w:val="num" w:pos="227"/>
        </w:tabs>
        <w:ind w:left="227" w:hanging="227"/>
      </w:pPr>
      <w:rPr>
        <w:rFonts w:hint="default"/>
      </w:rPr>
    </w:lvl>
    <w:lvl w:ilvl="1">
      <w:start w:val="1"/>
      <w:numFmt w:val="bullet"/>
      <w:lvlText w:val="-"/>
      <w:lvlJc w:val="left"/>
      <w:pPr>
        <w:tabs>
          <w:tab w:val="num" w:pos="454"/>
        </w:tabs>
        <w:ind w:left="454" w:hanging="227"/>
      </w:pPr>
      <w:rPr>
        <w:rFonts w:ascii="Verdana" w:hAnsi="Verdana" w:hint="default"/>
      </w:rPr>
    </w:lvl>
    <w:lvl w:ilvl="2">
      <w:start w:val="1"/>
      <w:numFmt w:val="bullet"/>
      <w:pStyle w:val="Lijstnummering3"/>
      <w:lvlText w:val="-"/>
      <w:lvlJc w:val="left"/>
      <w:pPr>
        <w:tabs>
          <w:tab w:val="num" w:pos="680"/>
        </w:tabs>
        <w:ind w:left="680" w:hanging="226"/>
      </w:pPr>
      <w:rPr>
        <w:rFonts w:ascii="Verdana" w:hAnsi="Verdana" w:hint="default"/>
      </w:rPr>
    </w:lvl>
    <w:lvl w:ilvl="3">
      <w:start w:val="1"/>
      <w:numFmt w:val="bullet"/>
      <w:pStyle w:val="Lijstnummering4"/>
      <w:lvlText w:val="-"/>
      <w:lvlJc w:val="left"/>
      <w:pPr>
        <w:tabs>
          <w:tab w:val="num" w:pos="907"/>
        </w:tabs>
        <w:ind w:left="907" w:hanging="227"/>
      </w:pPr>
      <w:rPr>
        <w:rFonts w:ascii="Verdana" w:hAnsi="Verdana" w:hint="default"/>
      </w:rPr>
    </w:lvl>
    <w:lvl w:ilvl="4">
      <w:start w:val="1"/>
      <w:numFmt w:val="bullet"/>
      <w:pStyle w:val="Lijstnummering5"/>
      <w:lvlText w:val="-"/>
      <w:lvlJc w:val="left"/>
      <w:pPr>
        <w:tabs>
          <w:tab w:val="num" w:pos="1134"/>
        </w:tabs>
        <w:ind w:left="1134" w:hanging="227"/>
      </w:pPr>
      <w:rPr>
        <w:rFonts w:ascii="Verdana" w:hAnsi="Verdana"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992179218">
    <w:abstractNumId w:val="3"/>
  </w:num>
  <w:num w:numId="2" w16cid:durableId="882862490">
    <w:abstractNumId w:val="6"/>
  </w:num>
  <w:num w:numId="3" w16cid:durableId="354693180">
    <w:abstractNumId w:val="4"/>
  </w:num>
  <w:num w:numId="4" w16cid:durableId="1479690816">
    <w:abstractNumId w:val="7"/>
  </w:num>
  <w:num w:numId="5" w16cid:durableId="1364138326">
    <w:abstractNumId w:val="2"/>
  </w:num>
  <w:num w:numId="6" w16cid:durableId="1348865831">
    <w:abstractNumId w:val="0"/>
  </w:num>
  <w:num w:numId="7" w16cid:durableId="1414474544">
    <w:abstractNumId w:val="5"/>
  </w:num>
  <w:num w:numId="8" w16cid:durableId="328212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64384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063251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D54"/>
    <w:rsid w:val="0000392E"/>
    <w:rsid w:val="00020189"/>
    <w:rsid w:val="00020EE4"/>
    <w:rsid w:val="00020FCD"/>
    <w:rsid w:val="000217B1"/>
    <w:rsid w:val="00026447"/>
    <w:rsid w:val="000264FC"/>
    <w:rsid w:val="00027B21"/>
    <w:rsid w:val="000328A5"/>
    <w:rsid w:val="00032DA0"/>
    <w:rsid w:val="000331E8"/>
    <w:rsid w:val="00033426"/>
    <w:rsid w:val="00034A84"/>
    <w:rsid w:val="00035E67"/>
    <w:rsid w:val="00042DAF"/>
    <w:rsid w:val="00044809"/>
    <w:rsid w:val="00057B03"/>
    <w:rsid w:val="0006027D"/>
    <w:rsid w:val="0006347F"/>
    <w:rsid w:val="000674B0"/>
    <w:rsid w:val="00071F28"/>
    <w:rsid w:val="000740C5"/>
    <w:rsid w:val="00074CF6"/>
    <w:rsid w:val="00075D7B"/>
    <w:rsid w:val="00081825"/>
    <w:rsid w:val="00082BB1"/>
    <w:rsid w:val="000917ED"/>
    <w:rsid w:val="00094B45"/>
    <w:rsid w:val="00096680"/>
    <w:rsid w:val="000969E0"/>
    <w:rsid w:val="000A01F6"/>
    <w:rsid w:val="000A0C9F"/>
    <w:rsid w:val="000A1B4E"/>
    <w:rsid w:val="000B2A0F"/>
    <w:rsid w:val="000B7281"/>
    <w:rsid w:val="000C3F40"/>
    <w:rsid w:val="000C43A2"/>
    <w:rsid w:val="000C4F5A"/>
    <w:rsid w:val="000C7C15"/>
    <w:rsid w:val="000D0C97"/>
    <w:rsid w:val="000D1271"/>
    <w:rsid w:val="000D30D9"/>
    <w:rsid w:val="000D68F1"/>
    <w:rsid w:val="000D7BB7"/>
    <w:rsid w:val="000E131D"/>
    <w:rsid w:val="000E6C18"/>
    <w:rsid w:val="000F1A72"/>
    <w:rsid w:val="000F2632"/>
    <w:rsid w:val="0012016D"/>
    <w:rsid w:val="00123082"/>
    <w:rsid w:val="00123704"/>
    <w:rsid w:val="0012496E"/>
    <w:rsid w:val="001270C7"/>
    <w:rsid w:val="001376FC"/>
    <w:rsid w:val="00140407"/>
    <w:rsid w:val="0014156E"/>
    <w:rsid w:val="001429A1"/>
    <w:rsid w:val="00142BCD"/>
    <w:rsid w:val="00145104"/>
    <w:rsid w:val="0014786A"/>
    <w:rsid w:val="001516A4"/>
    <w:rsid w:val="00161E11"/>
    <w:rsid w:val="001665B6"/>
    <w:rsid w:val="00167615"/>
    <w:rsid w:val="001755FD"/>
    <w:rsid w:val="001779A2"/>
    <w:rsid w:val="001802CA"/>
    <w:rsid w:val="00183EF1"/>
    <w:rsid w:val="001850BF"/>
    <w:rsid w:val="00185576"/>
    <w:rsid w:val="00185951"/>
    <w:rsid w:val="001947E9"/>
    <w:rsid w:val="001A11C7"/>
    <w:rsid w:val="001A1461"/>
    <w:rsid w:val="001A1A76"/>
    <w:rsid w:val="001A2505"/>
    <w:rsid w:val="001A301F"/>
    <w:rsid w:val="001A4809"/>
    <w:rsid w:val="001B7D7E"/>
    <w:rsid w:val="001C2B48"/>
    <w:rsid w:val="001C2BAA"/>
    <w:rsid w:val="001C47F8"/>
    <w:rsid w:val="001C793E"/>
    <w:rsid w:val="001D5178"/>
    <w:rsid w:val="001D6E54"/>
    <w:rsid w:val="001E0C3F"/>
    <w:rsid w:val="001E2D3E"/>
    <w:rsid w:val="001E34C6"/>
    <w:rsid w:val="001E4AB5"/>
    <w:rsid w:val="001E5581"/>
    <w:rsid w:val="001F394D"/>
    <w:rsid w:val="001F7707"/>
    <w:rsid w:val="002014E3"/>
    <w:rsid w:val="002046A4"/>
    <w:rsid w:val="00215FC9"/>
    <w:rsid w:val="0021639F"/>
    <w:rsid w:val="00216ADD"/>
    <w:rsid w:val="00231B02"/>
    <w:rsid w:val="002368D4"/>
    <w:rsid w:val="002428E3"/>
    <w:rsid w:val="00246117"/>
    <w:rsid w:val="002552FE"/>
    <w:rsid w:val="00260BAF"/>
    <w:rsid w:val="00263E04"/>
    <w:rsid w:val="002650F7"/>
    <w:rsid w:val="002656FA"/>
    <w:rsid w:val="0026663C"/>
    <w:rsid w:val="00267585"/>
    <w:rsid w:val="00271BF9"/>
    <w:rsid w:val="00280F74"/>
    <w:rsid w:val="002833D2"/>
    <w:rsid w:val="002848D6"/>
    <w:rsid w:val="00286998"/>
    <w:rsid w:val="002934A7"/>
    <w:rsid w:val="002B153C"/>
    <w:rsid w:val="002B2383"/>
    <w:rsid w:val="002B4D61"/>
    <w:rsid w:val="002C4A54"/>
    <w:rsid w:val="002C6A5E"/>
    <w:rsid w:val="002D18A5"/>
    <w:rsid w:val="002D317B"/>
    <w:rsid w:val="002D53EB"/>
    <w:rsid w:val="002E0EC1"/>
    <w:rsid w:val="002E0F69"/>
    <w:rsid w:val="002E14E1"/>
    <w:rsid w:val="002E3CB7"/>
    <w:rsid w:val="002E4480"/>
    <w:rsid w:val="002E54D4"/>
    <w:rsid w:val="002E6FBA"/>
    <w:rsid w:val="002E7C4C"/>
    <w:rsid w:val="002F0D16"/>
    <w:rsid w:val="002F35DC"/>
    <w:rsid w:val="002F365A"/>
    <w:rsid w:val="002F6545"/>
    <w:rsid w:val="0030036F"/>
    <w:rsid w:val="0031255F"/>
    <w:rsid w:val="00312597"/>
    <w:rsid w:val="00312C0E"/>
    <w:rsid w:val="003141F7"/>
    <w:rsid w:val="00317ABE"/>
    <w:rsid w:val="003258A6"/>
    <w:rsid w:val="00335BED"/>
    <w:rsid w:val="00342938"/>
    <w:rsid w:val="00353D56"/>
    <w:rsid w:val="00354DFE"/>
    <w:rsid w:val="00360F12"/>
    <w:rsid w:val="0036223B"/>
    <w:rsid w:val="0036252A"/>
    <w:rsid w:val="00364D9D"/>
    <w:rsid w:val="00371412"/>
    <w:rsid w:val="003717BA"/>
    <w:rsid w:val="00372215"/>
    <w:rsid w:val="003737A8"/>
    <w:rsid w:val="0037461E"/>
    <w:rsid w:val="00374748"/>
    <w:rsid w:val="00375A16"/>
    <w:rsid w:val="00375BBD"/>
    <w:rsid w:val="00381438"/>
    <w:rsid w:val="00383906"/>
    <w:rsid w:val="00383DA1"/>
    <w:rsid w:val="0039744C"/>
    <w:rsid w:val="003A0203"/>
    <w:rsid w:val="003A06C8"/>
    <w:rsid w:val="003A0D7C"/>
    <w:rsid w:val="003A19AC"/>
    <w:rsid w:val="003A6875"/>
    <w:rsid w:val="003A74F5"/>
    <w:rsid w:val="003B0BC2"/>
    <w:rsid w:val="003B58E3"/>
    <w:rsid w:val="003B7612"/>
    <w:rsid w:val="003B7EE7"/>
    <w:rsid w:val="003C11F9"/>
    <w:rsid w:val="003C18C0"/>
    <w:rsid w:val="003C5DC6"/>
    <w:rsid w:val="003C6B49"/>
    <w:rsid w:val="003D39EC"/>
    <w:rsid w:val="003D6DF3"/>
    <w:rsid w:val="003E033E"/>
    <w:rsid w:val="003E1394"/>
    <w:rsid w:val="003E3DD5"/>
    <w:rsid w:val="003F44B7"/>
    <w:rsid w:val="003F4A16"/>
    <w:rsid w:val="00403383"/>
    <w:rsid w:val="00404B07"/>
    <w:rsid w:val="00411F4D"/>
    <w:rsid w:val="00413D48"/>
    <w:rsid w:val="004213B0"/>
    <w:rsid w:val="00421FFA"/>
    <w:rsid w:val="00422FEE"/>
    <w:rsid w:val="00424351"/>
    <w:rsid w:val="00433BEB"/>
    <w:rsid w:val="00441AC2"/>
    <w:rsid w:val="004436AC"/>
    <w:rsid w:val="00444592"/>
    <w:rsid w:val="0045077B"/>
    <w:rsid w:val="00451FCD"/>
    <w:rsid w:val="004520E4"/>
    <w:rsid w:val="00452BCD"/>
    <w:rsid w:val="00456B63"/>
    <w:rsid w:val="004757DE"/>
    <w:rsid w:val="00483F0B"/>
    <w:rsid w:val="00492A5E"/>
    <w:rsid w:val="004946A3"/>
    <w:rsid w:val="004A17CD"/>
    <w:rsid w:val="004B02EC"/>
    <w:rsid w:val="004B34CF"/>
    <w:rsid w:val="004B5465"/>
    <w:rsid w:val="004B7A11"/>
    <w:rsid w:val="004C44D3"/>
    <w:rsid w:val="004C57EA"/>
    <w:rsid w:val="004D128F"/>
    <w:rsid w:val="004D1671"/>
    <w:rsid w:val="004D20FC"/>
    <w:rsid w:val="004E0DCE"/>
    <w:rsid w:val="004E13BE"/>
    <w:rsid w:val="004E32F0"/>
    <w:rsid w:val="004E5EF6"/>
    <w:rsid w:val="00516022"/>
    <w:rsid w:val="005169A8"/>
    <w:rsid w:val="00521CEE"/>
    <w:rsid w:val="00525DB6"/>
    <w:rsid w:val="00532FB7"/>
    <w:rsid w:val="00534880"/>
    <w:rsid w:val="005369E0"/>
    <w:rsid w:val="00536EF7"/>
    <w:rsid w:val="00550A25"/>
    <w:rsid w:val="00554260"/>
    <w:rsid w:val="00561094"/>
    <w:rsid w:val="005630EF"/>
    <w:rsid w:val="0056454C"/>
    <w:rsid w:val="005709D3"/>
    <w:rsid w:val="00570D54"/>
    <w:rsid w:val="00573041"/>
    <w:rsid w:val="005764EE"/>
    <w:rsid w:val="00577226"/>
    <w:rsid w:val="005866D8"/>
    <w:rsid w:val="005868E9"/>
    <w:rsid w:val="0058690D"/>
    <w:rsid w:val="005903FB"/>
    <w:rsid w:val="0059439B"/>
    <w:rsid w:val="005A03A3"/>
    <w:rsid w:val="005A2FB8"/>
    <w:rsid w:val="005A584F"/>
    <w:rsid w:val="005B24C8"/>
    <w:rsid w:val="005B4F97"/>
    <w:rsid w:val="005B533F"/>
    <w:rsid w:val="005B77E3"/>
    <w:rsid w:val="005C164B"/>
    <w:rsid w:val="005C1A3A"/>
    <w:rsid w:val="005C3FE0"/>
    <w:rsid w:val="005C740C"/>
    <w:rsid w:val="005D0300"/>
    <w:rsid w:val="005D3C3C"/>
    <w:rsid w:val="005D5604"/>
    <w:rsid w:val="005F0E31"/>
    <w:rsid w:val="005F2F08"/>
    <w:rsid w:val="006030B1"/>
    <w:rsid w:val="00603891"/>
    <w:rsid w:val="00604859"/>
    <w:rsid w:val="006048F4"/>
    <w:rsid w:val="00605072"/>
    <w:rsid w:val="0060660A"/>
    <w:rsid w:val="00612294"/>
    <w:rsid w:val="006154D2"/>
    <w:rsid w:val="00617A44"/>
    <w:rsid w:val="00625CD0"/>
    <w:rsid w:val="00625DF9"/>
    <w:rsid w:val="00635DE3"/>
    <w:rsid w:val="00645EC4"/>
    <w:rsid w:val="006469F6"/>
    <w:rsid w:val="0065362D"/>
    <w:rsid w:val="00654293"/>
    <w:rsid w:val="00654CEC"/>
    <w:rsid w:val="0065551C"/>
    <w:rsid w:val="006614C4"/>
    <w:rsid w:val="00661591"/>
    <w:rsid w:val="0066632F"/>
    <w:rsid w:val="006665E1"/>
    <w:rsid w:val="00667BAB"/>
    <w:rsid w:val="00670575"/>
    <w:rsid w:val="00672E5D"/>
    <w:rsid w:val="006764F9"/>
    <w:rsid w:val="00680FD5"/>
    <w:rsid w:val="00683C88"/>
    <w:rsid w:val="00686594"/>
    <w:rsid w:val="006869B7"/>
    <w:rsid w:val="006902BA"/>
    <w:rsid w:val="00691A92"/>
    <w:rsid w:val="006B03A6"/>
    <w:rsid w:val="006B03AF"/>
    <w:rsid w:val="006B1B4D"/>
    <w:rsid w:val="006B2753"/>
    <w:rsid w:val="006C2535"/>
    <w:rsid w:val="006C2A54"/>
    <w:rsid w:val="006D4B0D"/>
    <w:rsid w:val="006D4E87"/>
    <w:rsid w:val="006D60B4"/>
    <w:rsid w:val="006D75E1"/>
    <w:rsid w:val="006E00F0"/>
    <w:rsid w:val="006E263E"/>
    <w:rsid w:val="006E3546"/>
    <w:rsid w:val="006E7216"/>
    <w:rsid w:val="006F0F65"/>
    <w:rsid w:val="006F0F93"/>
    <w:rsid w:val="006F206B"/>
    <w:rsid w:val="006F35FA"/>
    <w:rsid w:val="00703707"/>
    <w:rsid w:val="00703AEF"/>
    <w:rsid w:val="007148C0"/>
    <w:rsid w:val="00714CD7"/>
    <w:rsid w:val="00715237"/>
    <w:rsid w:val="00715F39"/>
    <w:rsid w:val="007254A5"/>
    <w:rsid w:val="00725748"/>
    <w:rsid w:val="007314D7"/>
    <w:rsid w:val="0073720D"/>
    <w:rsid w:val="007378F9"/>
    <w:rsid w:val="007402E0"/>
    <w:rsid w:val="00741BBB"/>
    <w:rsid w:val="00742AB9"/>
    <w:rsid w:val="00744CED"/>
    <w:rsid w:val="00747591"/>
    <w:rsid w:val="007506B4"/>
    <w:rsid w:val="00752047"/>
    <w:rsid w:val="00752CE4"/>
    <w:rsid w:val="00754FBF"/>
    <w:rsid w:val="00755A4E"/>
    <w:rsid w:val="007571AA"/>
    <w:rsid w:val="0076016D"/>
    <w:rsid w:val="007740FE"/>
    <w:rsid w:val="00775344"/>
    <w:rsid w:val="007777DF"/>
    <w:rsid w:val="007779BE"/>
    <w:rsid w:val="00783559"/>
    <w:rsid w:val="00790F6B"/>
    <w:rsid w:val="007A371F"/>
    <w:rsid w:val="007A4105"/>
    <w:rsid w:val="007A474C"/>
    <w:rsid w:val="007A4E96"/>
    <w:rsid w:val="007B0280"/>
    <w:rsid w:val="007B0FAD"/>
    <w:rsid w:val="007B5BD2"/>
    <w:rsid w:val="007C27AA"/>
    <w:rsid w:val="007C406E"/>
    <w:rsid w:val="007D04EB"/>
    <w:rsid w:val="007D2C23"/>
    <w:rsid w:val="007D2F6A"/>
    <w:rsid w:val="007D4AC9"/>
    <w:rsid w:val="007D4E48"/>
    <w:rsid w:val="007E5DC2"/>
    <w:rsid w:val="007E6A36"/>
    <w:rsid w:val="007E6CF1"/>
    <w:rsid w:val="007F428E"/>
    <w:rsid w:val="008002FE"/>
    <w:rsid w:val="00800418"/>
    <w:rsid w:val="00812028"/>
    <w:rsid w:val="00814D03"/>
    <w:rsid w:val="00814F8F"/>
    <w:rsid w:val="00816074"/>
    <w:rsid w:val="00816DC4"/>
    <w:rsid w:val="00827BEF"/>
    <w:rsid w:val="0083178B"/>
    <w:rsid w:val="00833695"/>
    <w:rsid w:val="008413D3"/>
    <w:rsid w:val="008425C1"/>
    <w:rsid w:val="00842CD8"/>
    <w:rsid w:val="00845036"/>
    <w:rsid w:val="00851FC3"/>
    <w:rsid w:val="00852F31"/>
    <w:rsid w:val="008535FF"/>
    <w:rsid w:val="008543CC"/>
    <w:rsid w:val="00854BE3"/>
    <w:rsid w:val="008553C7"/>
    <w:rsid w:val="00857143"/>
    <w:rsid w:val="00857FEB"/>
    <w:rsid w:val="00860B95"/>
    <w:rsid w:val="008616E0"/>
    <w:rsid w:val="00862050"/>
    <w:rsid w:val="008646B0"/>
    <w:rsid w:val="00864C1B"/>
    <w:rsid w:val="008666D2"/>
    <w:rsid w:val="00866D59"/>
    <w:rsid w:val="00882F47"/>
    <w:rsid w:val="00885D98"/>
    <w:rsid w:val="00890249"/>
    <w:rsid w:val="00891692"/>
    <w:rsid w:val="00895D30"/>
    <w:rsid w:val="008A2826"/>
    <w:rsid w:val="008B329E"/>
    <w:rsid w:val="008B3929"/>
    <w:rsid w:val="008B3C2F"/>
    <w:rsid w:val="008B4CB3"/>
    <w:rsid w:val="008B54B2"/>
    <w:rsid w:val="008B7106"/>
    <w:rsid w:val="008C46FD"/>
    <w:rsid w:val="008C4A6F"/>
    <w:rsid w:val="008C67AF"/>
    <w:rsid w:val="008C7752"/>
    <w:rsid w:val="008D044D"/>
    <w:rsid w:val="008D0A88"/>
    <w:rsid w:val="008D156A"/>
    <w:rsid w:val="008F0C84"/>
    <w:rsid w:val="008F2143"/>
    <w:rsid w:val="008F5538"/>
    <w:rsid w:val="009047C8"/>
    <w:rsid w:val="009048DE"/>
    <w:rsid w:val="00910642"/>
    <w:rsid w:val="00915FE7"/>
    <w:rsid w:val="00917821"/>
    <w:rsid w:val="009235AB"/>
    <w:rsid w:val="00923E78"/>
    <w:rsid w:val="009311C8"/>
    <w:rsid w:val="00932DB2"/>
    <w:rsid w:val="00933376"/>
    <w:rsid w:val="009336FC"/>
    <w:rsid w:val="00942355"/>
    <w:rsid w:val="00943E23"/>
    <w:rsid w:val="0094534A"/>
    <w:rsid w:val="009456D6"/>
    <w:rsid w:val="0094598D"/>
    <w:rsid w:val="00945C44"/>
    <w:rsid w:val="00946957"/>
    <w:rsid w:val="00955A9A"/>
    <w:rsid w:val="0095748C"/>
    <w:rsid w:val="00961FA7"/>
    <w:rsid w:val="009622DD"/>
    <w:rsid w:val="009668DE"/>
    <w:rsid w:val="0097034E"/>
    <w:rsid w:val="009718F9"/>
    <w:rsid w:val="00975112"/>
    <w:rsid w:val="00975202"/>
    <w:rsid w:val="009753D7"/>
    <w:rsid w:val="00983333"/>
    <w:rsid w:val="0098464F"/>
    <w:rsid w:val="009848CB"/>
    <w:rsid w:val="0099139F"/>
    <w:rsid w:val="00991B5F"/>
    <w:rsid w:val="00994ADF"/>
    <w:rsid w:val="009A3B71"/>
    <w:rsid w:val="009A3CA0"/>
    <w:rsid w:val="009A61BC"/>
    <w:rsid w:val="009A676D"/>
    <w:rsid w:val="009B424D"/>
    <w:rsid w:val="009B4B31"/>
    <w:rsid w:val="009B722B"/>
    <w:rsid w:val="009C1AC6"/>
    <w:rsid w:val="009C34ED"/>
    <w:rsid w:val="009C4F04"/>
    <w:rsid w:val="009C6F1A"/>
    <w:rsid w:val="009D7AC3"/>
    <w:rsid w:val="009E042D"/>
    <w:rsid w:val="009E4DCB"/>
    <w:rsid w:val="009E6427"/>
    <w:rsid w:val="009F3851"/>
    <w:rsid w:val="009F3A3E"/>
    <w:rsid w:val="009F43F0"/>
    <w:rsid w:val="009F50C2"/>
    <w:rsid w:val="00A021E0"/>
    <w:rsid w:val="00A0614F"/>
    <w:rsid w:val="00A07FD4"/>
    <w:rsid w:val="00A12458"/>
    <w:rsid w:val="00A26959"/>
    <w:rsid w:val="00A27328"/>
    <w:rsid w:val="00A30E68"/>
    <w:rsid w:val="00A34AA0"/>
    <w:rsid w:val="00A373DC"/>
    <w:rsid w:val="00A41EFC"/>
    <w:rsid w:val="00A42DB7"/>
    <w:rsid w:val="00A56946"/>
    <w:rsid w:val="00A578D8"/>
    <w:rsid w:val="00A61759"/>
    <w:rsid w:val="00A61AF1"/>
    <w:rsid w:val="00A61FFA"/>
    <w:rsid w:val="00A65FF9"/>
    <w:rsid w:val="00A67A37"/>
    <w:rsid w:val="00A70BD1"/>
    <w:rsid w:val="00A731ED"/>
    <w:rsid w:val="00A90B0B"/>
    <w:rsid w:val="00A90E1A"/>
    <w:rsid w:val="00A94A09"/>
    <w:rsid w:val="00A9770F"/>
    <w:rsid w:val="00AB2FD7"/>
    <w:rsid w:val="00AB6D51"/>
    <w:rsid w:val="00AB762B"/>
    <w:rsid w:val="00AB777A"/>
    <w:rsid w:val="00AB78E0"/>
    <w:rsid w:val="00AC0797"/>
    <w:rsid w:val="00AC0810"/>
    <w:rsid w:val="00AC489E"/>
    <w:rsid w:val="00AC49D8"/>
    <w:rsid w:val="00AC50F3"/>
    <w:rsid w:val="00AC523C"/>
    <w:rsid w:val="00AC5ADF"/>
    <w:rsid w:val="00AD3A3C"/>
    <w:rsid w:val="00AE11B7"/>
    <w:rsid w:val="00AE4D8D"/>
    <w:rsid w:val="00AF0524"/>
    <w:rsid w:val="00AF0612"/>
    <w:rsid w:val="00AF1396"/>
    <w:rsid w:val="00AF399C"/>
    <w:rsid w:val="00AF40A0"/>
    <w:rsid w:val="00AF5193"/>
    <w:rsid w:val="00B04ED7"/>
    <w:rsid w:val="00B06C4D"/>
    <w:rsid w:val="00B22E61"/>
    <w:rsid w:val="00B26CCF"/>
    <w:rsid w:val="00B316B9"/>
    <w:rsid w:val="00B3235D"/>
    <w:rsid w:val="00B343F4"/>
    <w:rsid w:val="00B35331"/>
    <w:rsid w:val="00B35842"/>
    <w:rsid w:val="00B42C73"/>
    <w:rsid w:val="00B45EE2"/>
    <w:rsid w:val="00B45F19"/>
    <w:rsid w:val="00B46438"/>
    <w:rsid w:val="00B51544"/>
    <w:rsid w:val="00B523B1"/>
    <w:rsid w:val="00B531DD"/>
    <w:rsid w:val="00B60860"/>
    <w:rsid w:val="00B71007"/>
    <w:rsid w:val="00B71045"/>
    <w:rsid w:val="00B71DC2"/>
    <w:rsid w:val="00B73546"/>
    <w:rsid w:val="00B7359D"/>
    <w:rsid w:val="00B73994"/>
    <w:rsid w:val="00B74DD5"/>
    <w:rsid w:val="00B74F88"/>
    <w:rsid w:val="00B76A6E"/>
    <w:rsid w:val="00B80361"/>
    <w:rsid w:val="00B83DB3"/>
    <w:rsid w:val="00B8434F"/>
    <w:rsid w:val="00B91BDD"/>
    <w:rsid w:val="00B93893"/>
    <w:rsid w:val="00B94D52"/>
    <w:rsid w:val="00B97501"/>
    <w:rsid w:val="00BB1670"/>
    <w:rsid w:val="00BB216D"/>
    <w:rsid w:val="00BB27E1"/>
    <w:rsid w:val="00BB77C6"/>
    <w:rsid w:val="00BC12A3"/>
    <w:rsid w:val="00BC2301"/>
    <w:rsid w:val="00BC3B53"/>
    <w:rsid w:val="00BC4D74"/>
    <w:rsid w:val="00BC56F5"/>
    <w:rsid w:val="00BD0291"/>
    <w:rsid w:val="00BD0852"/>
    <w:rsid w:val="00BD5DF6"/>
    <w:rsid w:val="00BE7ED9"/>
    <w:rsid w:val="00BF0273"/>
    <w:rsid w:val="00BF1809"/>
    <w:rsid w:val="00BF37A3"/>
    <w:rsid w:val="00BF72F2"/>
    <w:rsid w:val="00C02C36"/>
    <w:rsid w:val="00C03C2F"/>
    <w:rsid w:val="00C07041"/>
    <w:rsid w:val="00C12E90"/>
    <w:rsid w:val="00C206F1"/>
    <w:rsid w:val="00C26079"/>
    <w:rsid w:val="00C2634D"/>
    <w:rsid w:val="00C272FF"/>
    <w:rsid w:val="00C275CF"/>
    <w:rsid w:val="00C35A91"/>
    <w:rsid w:val="00C40C60"/>
    <w:rsid w:val="00C43CFB"/>
    <w:rsid w:val="00C52A55"/>
    <w:rsid w:val="00C53426"/>
    <w:rsid w:val="00C569E4"/>
    <w:rsid w:val="00C6245E"/>
    <w:rsid w:val="00C63108"/>
    <w:rsid w:val="00C644BC"/>
    <w:rsid w:val="00C6537C"/>
    <w:rsid w:val="00C7773A"/>
    <w:rsid w:val="00C82326"/>
    <w:rsid w:val="00C8331E"/>
    <w:rsid w:val="00C876B7"/>
    <w:rsid w:val="00C90846"/>
    <w:rsid w:val="00C91B6B"/>
    <w:rsid w:val="00CA0A69"/>
    <w:rsid w:val="00CA0E76"/>
    <w:rsid w:val="00CA47D3"/>
    <w:rsid w:val="00CA5C22"/>
    <w:rsid w:val="00CA7A7F"/>
    <w:rsid w:val="00CB4806"/>
    <w:rsid w:val="00CB5009"/>
    <w:rsid w:val="00CB5A73"/>
    <w:rsid w:val="00CB75CD"/>
    <w:rsid w:val="00CC3710"/>
    <w:rsid w:val="00CC72A1"/>
    <w:rsid w:val="00CC7DB6"/>
    <w:rsid w:val="00CD166F"/>
    <w:rsid w:val="00CD5231"/>
    <w:rsid w:val="00CD604A"/>
    <w:rsid w:val="00CD6791"/>
    <w:rsid w:val="00CD6B5C"/>
    <w:rsid w:val="00CE085D"/>
    <w:rsid w:val="00CE12BB"/>
    <w:rsid w:val="00CE2EA9"/>
    <w:rsid w:val="00CE74D9"/>
    <w:rsid w:val="00CF053F"/>
    <w:rsid w:val="00CF41E8"/>
    <w:rsid w:val="00CF4635"/>
    <w:rsid w:val="00CF7C8B"/>
    <w:rsid w:val="00D05932"/>
    <w:rsid w:val="00D0673D"/>
    <w:rsid w:val="00D078E1"/>
    <w:rsid w:val="00D12A7F"/>
    <w:rsid w:val="00D14D30"/>
    <w:rsid w:val="00D22F88"/>
    <w:rsid w:val="00D23522"/>
    <w:rsid w:val="00D27869"/>
    <w:rsid w:val="00D279AE"/>
    <w:rsid w:val="00D30452"/>
    <w:rsid w:val="00D34C5F"/>
    <w:rsid w:val="00D405AB"/>
    <w:rsid w:val="00D422FA"/>
    <w:rsid w:val="00D45165"/>
    <w:rsid w:val="00D46CA9"/>
    <w:rsid w:val="00D5004B"/>
    <w:rsid w:val="00D53F0B"/>
    <w:rsid w:val="00D5423B"/>
    <w:rsid w:val="00D54F4E"/>
    <w:rsid w:val="00D55865"/>
    <w:rsid w:val="00D56274"/>
    <w:rsid w:val="00D60BA4"/>
    <w:rsid w:val="00D72421"/>
    <w:rsid w:val="00D73F97"/>
    <w:rsid w:val="00D80CCE"/>
    <w:rsid w:val="00D815C5"/>
    <w:rsid w:val="00D95238"/>
    <w:rsid w:val="00DA363B"/>
    <w:rsid w:val="00DB5530"/>
    <w:rsid w:val="00DB6A55"/>
    <w:rsid w:val="00DE578A"/>
    <w:rsid w:val="00DF1D1E"/>
    <w:rsid w:val="00DF21CD"/>
    <w:rsid w:val="00DF2583"/>
    <w:rsid w:val="00DF4A4F"/>
    <w:rsid w:val="00DF54D9"/>
    <w:rsid w:val="00DF7D0B"/>
    <w:rsid w:val="00E03D32"/>
    <w:rsid w:val="00E10DC6"/>
    <w:rsid w:val="00E11F8E"/>
    <w:rsid w:val="00E145EA"/>
    <w:rsid w:val="00E21486"/>
    <w:rsid w:val="00E225E8"/>
    <w:rsid w:val="00E364EF"/>
    <w:rsid w:val="00E37C42"/>
    <w:rsid w:val="00E426A4"/>
    <w:rsid w:val="00E42D22"/>
    <w:rsid w:val="00E436C9"/>
    <w:rsid w:val="00E50A17"/>
    <w:rsid w:val="00E519F6"/>
    <w:rsid w:val="00E634E3"/>
    <w:rsid w:val="00E659A6"/>
    <w:rsid w:val="00E7541F"/>
    <w:rsid w:val="00E8751F"/>
    <w:rsid w:val="00E87754"/>
    <w:rsid w:val="00E963D5"/>
    <w:rsid w:val="00EA75C1"/>
    <w:rsid w:val="00EB7550"/>
    <w:rsid w:val="00EC237D"/>
    <w:rsid w:val="00EC51E9"/>
    <w:rsid w:val="00EC736A"/>
    <w:rsid w:val="00ED05B0"/>
    <w:rsid w:val="00ED0F23"/>
    <w:rsid w:val="00ED7C90"/>
    <w:rsid w:val="00EE0B28"/>
    <w:rsid w:val="00EE10E6"/>
    <w:rsid w:val="00EE1A75"/>
    <w:rsid w:val="00EE4A1F"/>
    <w:rsid w:val="00EF069A"/>
    <w:rsid w:val="00EF1B5A"/>
    <w:rsid w:val="00EF266E"/>
    <w:rsid w:val="00EF2CCA"/>
    <w:rsid w:val="00EF2E00"/>
    <w:rsid w:val="00F03E1B"/>
    <w:rsid w:val="00F062CC"/>
    <w:rsid w:val="00F16EBD"/>
    <w:rsid w:val="00F24A6C"/>
    <w:rsid w:val="00F2608D"/>
    <w:rsid w:val="00F36803"/>
    <w:rsid w:val="00F427AD"/>
    <w:rsid w:val="00F46AA1"/>
    <w:rsid w:val="00F53F91"/>
    <w:rsid w:val="00F54912"/>
    <w:rsid w:val="00F57321"/>
    <w:rsid w:val="00F61A72"/>
    <w:rsid w:val="00F63A5C"/>
    <w:rsid w:val="00F63CD3"/>
    <w:rsid w:val="00F66A5F"/>
    <w:rsid w:val="00F66F13"/>
    <w:rsid w:val="00F7344A"/>
    <w:rsid w:val="00F73F98"/>
    <w:rsid w:val="00F74073"/>
    <w:rsid w:val="00F768C2"/>
    <w:rsid w:val="00F77453"/>
    <w:rsid w:val="00F81CC4"/>
    <w:rsid w:val="00F96D30"/>
    <w:rsid w:val="00FA1759"/>
    <w:rsid w:val="00FA3E57"/>
    <w:rsid w:val="00FA7A89"/>
    <w:rsid w:val="00FB06ED"/>
    <w:rsid w:val="00FB34AE"/>
    <w:rsid w:val="00FB69B9"/>
    <w:rsid w:val="00FB76DB"/>
    <w:rsid w:val="00FC36AB"/>
    <w:rsid w:val="00FC43E6"/>
    <w:rsid w:val="00FC78C7"/>
    <w:rsid w:val="00FD1727"/>
    <w:rsid w:val="00FD2798"/>
    <w:rsid w:val="00FD33B0"/>
    <w:rsid w:val="00FD7B96"/>
    <w:rsid w:val="00FE1A0D"/>
    <w:rsid w:val="00FE4F08"/>
    <w:rsid w:val="00FE4F8E"/>
    <w:rsid w:val="00FF0D35"/>
    <w:rsid w:val="00FF18B1"/>
    <w:rsid w:val="00FF3BA4"/>
    <w:rsid w:val="00FF5C9C"/>
    <w:rsid w:val="00FF7E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5BC421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qFormat="1"/>
    <w:lsdException w:name="List Number" w:uiPriority="1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70D54"/>
    <w:pPr>
      <w:spacing w:line="240" w:lineRule="atLeast"/>
    </w:pPr>
    <w:rPr>
      <w:rFonts w:ascii="Verdana" w:hAnsi="Verdana"/>
      <w:sz w:val="18"/>
      <w:szCs w:val="24"/>
    </w:rPr>
  </w:style>
  <w:style w:type="paragraph" w:styleId="Kop1">
    <w:name w:val="heading 1"/>
    <w:basedOn w:val="Standaard"/>
    <w:next w:val="Standaard"/>
    <w:uiPriority w:val="19"/>
    <w:qFormat/>
    <w:rsid w:val="0006347F"/>
    <w:pPr>
      <w:pageBreakBefore/>
      <w:widowControl w:val="0"/>
      <w:numPr>
        <w:numId w:val="7"/>
      </w:numPr>
      <w:spacing w:after="700" w:line="300" w:lineRule="atLeast"/>
      <w:contextualSpacing/>
      <w:outlineLvl w:val="0"/>
    </w:pPr>
    <w:rPr>
      <w:rFonts w:cs="Arial"/>
      <w:bCs/>
      <w:kern w:val="32"/>
      <w:sz w:val="24"/>
      <w:szCs w:val="18"/>
    </w:rPr>
  </w:style>
  <w:style w:type="paragraph" w:styleId="Kop2">
    <w:name w:val="heading 2"/>
    <w:basedOn w:val="Kop1"/>
    <w:next w:val="Standaard"/>
    <w:uiPriority w:val="19"/>
    <w:qFormat/>
    <w:rsid w:val="0006347F"/>
    <w:pPr>
      <w:keepNext/>
      <w:pageBreakBefore w:val="0"/>
      <w:numPr>
        <w:ilvl w:val="1"/>
      </w:numPr>
      <w:spacing w:before="200" w:after="0"/>
      <w:outlineLvl w:val="1"/>
    </w:pPr>
    <w:rPr>
      <w:b/>
      <w:bCs w:val="0"/>
      <w:iCs/>
      <w:sz w:val="18"/>
      <w:szCs w:val="28"/>
    </w:rPr>
  </w:style>
  <w:style w:type="paragraph" w:styleId="Kop3">
    <w:name w:val="heading 3"/>
    <w:basedOn w:val="Kop1"/>
    <w:next w:val="Standaard"/>
    <w:uiPriority w:val="19"/>
    <w:qFormat/>
    <w:rsid w:val="0006347F"/>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uiPriority w:val="19"/>
    <w:qFormat/>
    <w:rsid w:val="0006347F"/>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semiHidden/>
    <w:qFormat/>
    <w:rsid w:val="0006347F"/>
    <w:pPr>
      <w:numPr>
        <w:ilvl w:val="4"/>
        <w:numId w:val="1"/>
      </w:numPr>
      <w:spacing w:before="240" w:after="60"/>
      <w:outlineLvl w:val="4"/>
    </w:pPr>
    <w:rPr>
      <w:b/>
      <w:bCs/>
      <w:i/>
      <w:iCs/>
      <w:sz w:val="26"/>
      <w:szCs w:val="26"/>
    </w:rPr>
  </w:style>
  <w:style w:type="paragraph" w:styleId="Kop6">
    <w:name w:val="heading 6"/>
    <w:basedOn w:val="Standaard"/>
    <w:next w:val="Standaard"/>
    <w:semiHidden/>
    <w:qFormat/>
    <w:rsid w:val="0006347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06347F"/>
    <w:pPr>
      <w:numPr>
        <w:ilvl w:val="6"/>
        <w:numId w:val="2"/>
      </w:numPr>
      <w:spacing w:before="240" w:after="60"/>
      <w:outlineLvl w:val="6"/>
    </w:pPr>
    <w:rPr>
      <w:rFonts w:ascii="Times New Roman" w:hAnsi="Times New Roman"/>
      <w:sz w:val="24"/>
    </w:rPr>
  </w:style>
  <w:style w:type="paragraph" w:styleId="Kop8">
    <w:name w:val="heading 8"/>
    <w:basedOn w:val="Standaard"/>
    <w:next w:val="Standaard"/>
    <w:semiHidden/>
    <w:qFormat/>
    <w:rsid w:val="0006347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semiHidden/>
    <w:qFormat/>
    <w:rsid w:val="0006347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semiHidden/>
    <w:rsid w:val="0006347F"/>
  </w:style>
  <w:style w:type="paragraph" w:customStyle="1" w:styleId="Kopzondernummering">
    <w:name w:val="Kop zonder nummering"/>
    <w:basedOn w:val="Standaard"/>
    <w:next w:val="Standaard"/>
    <w:semiHidden/>
    <w:rsid w:val="0006347F"/>
    <w:pPr>
      <w:spacing w:after="700" w:line="300" w:lineRule="atLeast"/>
      <w:contextualSpacing/>
    </w:pPr>
    <w:rPr>
      <w:sz w:val="24"/>
    </w:rPr>
  </w:style>
  <w:style w:type="character" w:styleId="Hyperlink">
    <w:name w:val="Hyperlink"/>
    <w:basedOn w:val="Standaardalinea-lettertype"/>
    <w:uiPriority w:val="99"/>
    <w:rsid w:val="0006347F"/>
    <w:rPr>
      <w:rFonts w:ascii="Verdana" w:hAnsi="Verdana"/>
      <w:color w:val="01689B"/>
      <w:u w:val="single"/>
    </w:rPr>
  </w:style>
  <w:style w:type="paragraph" w:styleId="Inhopg1">
    <w:name w:val="toc 1"/>
    <w:basedOn w:val="Standaard"/>
    <w:next w:val="Standaard"/>
    <w:uiPriority w:val="39"/>
    <w:rsid w:val="0006347F"/>
    <w:pPr>
      <w:tabs>
        <w:tab w:val="right" w:pos="8817"/>
      </w:tabs>
    </w:pPr>
  </w:style>
  <w:style w:type="paragraph" w:customStyle="1" w:styleId="Huisstijl-Paginanummering">
    <w:name w:val="Huisstijl-Paginanummering"/>
    <w:basedOn w:val="Standaard"/>
    <w:semiHidden/>
    <w:rsid w:val="0006347F"/>
    <w:pPr>
      <w:spacing w:line="180" w:lineRule="exact"/>
      <w:jc w:val="right"/>
    </w:pPr>
    <w:rPr>
      <w:noProof/>
      <w:sz w:val="13"/>
    </w:rPr>
  </w:style>
  <w:style w:type="character" w:customStyle="1" w:styleId="Huisstijl-Koptekst">
    <w:name w:val="Huisstijl-Koptekst"/>
    <w:basedOn w:val="Standaardalinea-lettertype"/>
    <w:semiHidden/>
    <w:rsid w:val="0006347F"/>
    <w:rPr>
      <w:rFonts w:ascii="Verdana" w:hAnsi="Verdana"/>
      <w:dstrike w:val="0"/>
      <w:sz w:val="13"/>
      <w:vertAlign w:val="baseline"/>
    </w:rPr>
  </w:style>
  <w:style w:type="paragraph" w:styleId="Koptekst">
    <w:name w:val="header"/>
    <w:basedOn w:val="Standaard"/>
    <w:semiHidden/>
    <w:rsid w:val="0006347F"/>
    <w:pPr>
      <w:tabs>
        <w:tab w:val="center" w:pos="4536"/>
        <w:tab w:val="right" w:pos="9072"/>
      </w:tabs>
    </w:pPr>
  </w:style>
  <w:style w:type="paragraph" w:styleId="Voettekst">
    <w:name w:val="footer"/>
    <w:basedOn w:val="Standaard"/>
    <w:link w:val="VoettekstChar"/>
    <w:uiPriority w:val="99"/>
    <w:rsid w:val="0006347F"/>
    <w:pPr>
      <w:tabs>
        <w:tab w:val="center" w:pos="4536"/>
        <w:tab w:val="right" w:pos="9072"/>
      </w:tabs>
    </w:pPr>
  </w:style>
  <w:style w:type="paragraph" w:styleId="Lijstopsomteken2">
    <w:name w:val="List Bullet 2"/>
    <w:basedOn w:val="Standaard"/>
    <w:semiHidden/>
    <w:rsid w:val="0006347F"/>
    <w:pPr>
      <w:numPr>
        <w:ilvl w:val="1"/>
        <w:numId w:val="3"/>
      </w:numPr>
      <w:tabs>
        <w:tab w:val="clear" w:pos="454"/>
        <w:tab w:val="num" w:pos="360"/>
      </w:tabs>
      <w:ind w:left="0" w:firstLine="0"/>
    </w:pPr>
    <w:rPr>
      <w:szCs w:val="20"/>
    </w:rPr>
  </w:style>
  <w:style w:type="paragraph" w:styleId="Lijstopsomteken">
    <w:name w:val="List Bullet"/>
    <w:basedOn w:val="Standaard"/>
    <w:uiPriority w:val="10"/>
    <w:qFormat/>
    <w:rsid w:val="0006347F"/>
    <w:pPr>
      <w:numPr>
        <w:numId w:val="3"/>
      </w:numPr>
    </w:pPr>
    <w:rPr>
      <w:szCs w:val="20"/>
    </w:rPr>
  </w:style>
  <w:style w:type="paragraph" w:styleId="Ondertitel">
    <w:name w:val="Subtitle"/>
    <w:basedOn w:val="Standaard"/>
    <w:next w:val="Standaard"/>
    <w:uiPriority w:val="40"/>
    <w:semiHidden/>
    <w:qFormat/>
    <w:rsid w:val="0006347F"/>
    <w:pPr>
      <w:spacing w:line="320" w:lineRule="atLeast"/>
      <w:outlineLvl w:val="1"/>
    </w:pPr>
    <w:rPr>
      <w:sz w:val="24"/>
    </w:rPr>
  </w:style>
  <w:style w:type="paragraph" w:styleId="Titel">
    <w:name w:val="Title"/>
    <w:basedOn w:val="Standaard"/>
    <w:next w:val="Standaard"/>
    <w:link w:val="TitelChar"/>
    <w:uiPriority w:val="39"/>
    <w:qFormat/>
    <w:rsid w:val="0006347F"/>
    <w:pPr>
      <w:spacing w:line="320" w:lineRule="atLeast"/>
      <w:outlineLvl w:val="0"/>
    </w:pPr>
    <w:rPr>
      <w:rFonts w:cs="Arial"/>
      <w:b/>
      <w:bCs/>
      <w:kern w:val="28"/>
      <w:sz w:val="24"/>
      <w:szCs w:val="32"/>
    </w:rPr>
  </w:style>
  <w:style w:type="character" w:customStyle="1" w:styleId="Huisstijl-Rubricering">
    <w:name w:val="Huisstijl-Rubricering"/>
    <w:basedOn w:val="Standaardalinea-lettertype"/>
    <w:semiHidden/>
    <w:rsid w:val="0006347F"/>
    <w:rPr>
      <w:rFonts w:ascii="Verdana" w:hAnsi="Verdana"/>
      <w:b/>
      <w:caps/>
      <w:dstrike w:val="0"/>
      <w:sz w:val="13"/>
      <w:vertAlign w:val="baseline"/>
    </w:rPr>
  </w:style>
  <w:style w:type="paragraph" w:styleId="Inhopg2">
    <w:name w:val="toc 2"/>
    <w:basedOn w:val="Inhopg1"/>
    <w:next w:val="Standaard"/>
    <w:uiPriority w:val="39"/>
    <w:rsid w:val="0006347F"/>
    <w:pPr>
      <w:tabs>
        <w:tab w:val="left" w:pos="0"/>
      </w:tabs>
      <w:spacing w:before="240"/>
      <w:ind w:hanging="851"/>
    </w:pPr>
    <w:rPr>
      <w:b/>
    </w:rPr>
  </w:style>
  <w:style w:type="paragraph" w:styleId="Inhopg3">
    <w:name w:val="toc 3"/>
    <w:basedOn w:val="Inhopg2"/>
    <w:next w:val="Standaard"/>
    <w:uiPriority w:val="39"/>
    <w:rsid w:val="0006347F"/>
    <w:pPr>
      <w:spacing w:before="0"/>
    </w:pPr>
    <w:rPr>
      <w:b w:val="0"/>
    </w:rPr>
  </w:style>
  <w:style w:type="paragraph" w:customStyle="1" w:styleId="Huisstijl-TabelTitel">
    <w:name w:val="Huisstijl-TabelTitel"/>
    <w:basedOn w:val="Standaard"/>
    <w:next w:val="Standaard"/>
    <w:semiHidden/>
    <w:rsid w:val="0006347F"/>
    <w:rPr>
      <w:b/>
      <w:sz w:val="14"/>
    </w:rPr>
  </w:style>
  <w:style w:type="paragraph" w:customStyle="1" w:styleId="Huisstijl-Bijschrift">
    <w:name w:val="Huisstijl-Bijschrift"/>
    <w:basedOn w:val="Standaard"/>
    <w:next w:val="Standaard"/>
    <w:semiHidden/>
    <w:rsid w:val="0006347F"/>
    <w:rPr>
      <w:i/>
    </w:rPr>
  </w:style>
  <w:style w:type="table" w:styleId="Tabelraster">
    <w:name w:val="Table Grid"/>
    <w:basedOn w:val="Standaardtabel"/>
    <w:rsid w:val="0006347F"/>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06347F"/>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rPr>
        <w:b/>
      </w:rPr>
      <w:tblPr/>
      <w:tcPr>
        <w:tcMar>
          <w:top w:w="0" w:type="nil"/>
          <w:left w:w="60" w:type="dxa"/>
          <w:bottom w:w="120" w:type="dxa"/>
          <w:right w:w="60" w:type="dxa"/>
        </w:tcMar>
      </w:tcPr>
    </w:tblStylePr>
  </w:style>
  <w:style w:type="paragraph" w:customStyle="1" w:styleId="Huisstijl-TabelTekst">
    <w:name w:val="Huisstijl-TabelTekst"/>
    <w:basedOn w:val="Standaard"/>
    <w:semiHidden/>
    <w:rsid w:val="0006347F"/>
    <w:rPr>
      <w:sz w:val="14"/>
    </w:rPr>
  </w:style>
  <w:style w:type="paragraph" w:styleId="Inhopg4">
    <w:name w:val="toc 4"/>
    <w:basedOn w:val="Inhopg3"/>
    <w:next w:val="Standaard"/>
    <w:uiPriority w:val="39"/>
    <w:rsid w:val="0006347F"/>
  </w:style>
  <w:style w:type="paragraph" w:styleId="Inhopg5">
    <w:name w:val="toc 5"/>
    <w:basedOn w:val="Standaard"/>
    <w:next w:val="Standaard"/>
    <w:autoRedefine/>
    <w:semiHidden/>
    <w:rsid w:val="0006347F"/>
    <w:pPr>
      <w:ind w:left="720"/>
    </w:pPr>
  </w:style>
  <w:style w:type="paragraph" w:styleId="Voetnoottekst">
    <w:name w:val="footnote text"/>
    <w:basedOn w:val="Standaard"/>
    <w:link w:val="VoetnoottekstChar"/>
    <w:semiHidden/>
    <w:rsid w:val="0006347F"/>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06347F"/>
    <w:rPr>
      <w:vertAlign w:val="superscript"/>
    </w:rPr>
  </w:style>
  <w:style w:type="paragraph" w:styleId="Eindnoottekst">
    <w:name w:val="endnote text"/>
    <w:basedOn w:val="Standaard"/>
    <w:semiHidden/>
    <w:rsid w:val="0006347F"/>
    <w:rPr>
      <w:sz w:val="20"/>
      <w:szCs w:val="20"/>
    </w:rPr>
  </w:style>
  <w:style w:type="character" w:styleId="Eindnootmarkering">
    <w:name w:val="endnote reference"/>
    <w:basedOn w:val="Standaardalinea-lettertype"/>
    <w:semiHidden/>
    <w:rsid w:val="0006347F"/>
    <w:rPr>
      <w:vertAlign w:val="superscript"/>
    </w:rPr>
  </w:style>
  <w:style w:type="paragraph" w:styleId="Lijstnummering3">
    <w:name w:val="List Number 3"/>
    <w:basedOn w:val="Standaard"/>
    <w:semiHidden/>
    <w:rsid w:val="0006347F"/>
    <w:pPr>
      <w:numPr>
        <w:ilvl w:val="2"/>
        <w:numId w:val="4"/>
      </w:numPr>
    </w:pPr>
    <w:rPr>
      <w:szCs w:val="20"/>
    </w:rPr>
  </w:style>
  <w:style w:type="paragraph" w:customStyle="1" w:styleId="Colofontekst">
    <w:name w:val="Colofontekst"/>
    <w:basedOn w:val="Standaard"/>
    <w:semiHidden/>
    <w:rsid w:val="0006347F"/>
    <w:pPr>
      <w:tabs>
        <w:tab w:val="left" w:pos="2268"/>
      </w:tabs>
      <w:ind w:left="2268" w:hanging="2268"/>
    </w:pPr>
    <w:rPr>
      <w:noProof/>
    </w:rPr>
  </w:style>
  <w:style w:type="paragraph" w:customStyle="1" w:styleId="Witregelvoor">
    <w:name w:val="Witregel voor"/>
    <w:basedOn w:val="Colofontekst"/>
    <w:next w:val="Standaard"/>
    <w:semiHidden/>
    <w:rsid w:val="0006347F"/>
    <w:pPr>
      <w:spacing w:before="240"/>
    </w:pPr>
  </w:style>
  <w:style w:type="paragraph" w:styleId="Lijstopsomteken3">
    <w:name w:val="List Bullet 3"/>
    <w:basedOn w:val="Standaard"/>
    <w:semiHidden/>
    <w:rsid w:val="0006347F"/>
    <w:pPr>
      <w:numPr>
        <w:ilvl w:val="2"/>
        <w:numId w:val="3"/>
      </w:numPr>
    </w:pPr>
    <w:rPr>
      <w:szCs w:val="20"/>
    </w:rPr>
  </w:style>
  <w:style w:type="paragraph" w:styleId="Lijstopsomteken4">
    <w:name w:val="List Bullet 4"/>
    <w:basedOn w:val="Standaard"/>
    <w:semiHidden/>
    <w:rsid w:val="0006347F"/>
    <w:pPr>
      <w:numPr>
        <w:ilvl w:val="3"/>
        <w:numId w:val="3"/>
      </w:numPr>
    </w:pPr>
    <w:rPr>
      <w:szCs w:val="20"/>
    </w:rPr>
  </w:style>
  <w:style w:type="paragraph" w:styleId="Lijstopsomteken5">
    <w:name w:val="List Bullet 5"/>
    <w:basedOn w:val="Standaard"/>
    <w:semiHidden/>
    <w:rsid w:val="0006347F"/>
    <w:pPr>
      <w:numPr>
        <w:ilvl w:val="4"/>
        <w:numId w:val="3"/>
      </w:numPr>
    </w:pPr>
    <w:rPr>
      <w:szCs w:val="20"/>
    </w:rPr>
  </w:style>
  <w:style w:type="paragraph" w:styleId="Lijstnummering4">
    <w:name w:val="List Number 4"/>
    <w:basedOn w:val="Standaard"/>
    <w:semiHidden/>
    <w:rsid w:val="0006347F"/>
    <w:pPr>
      <w:numPr>
        <w:ilvl w:val="3"/>
        <w:numId w:val="4"/>
      </w:numPr>
    </w:pPr>
    <w:rPr>
      <w:szCs w:val="20"/>
    </w:rPr>
  </w:style>
  <w:style w:type="paragraph" w:styleId="Lijstnummering5">
    <w:name w:val="List Number 5"/>
    <w:basedOn w:val="Standaard"/>
    <w:semiHidden/>
    <w:rsid w:val="0006347F"/>
    <w:pPr>
      <w:numPr>
        <w:ilvl w:val="4"/>
        <w:numId w:val="4"/>
      </w:numPr>
    </w:pPr>
    <w:rPr>
      <w:szCs w:val="20"/>
    </w:rPr>
  </w:style>
  <w:style w:type="paragraph" w:customStyle="1" w:styleId="Tabeltitel">
    <w:name w:val="Tabeltitel"/>
    <w:basedOn w:val="Standaard"/>
    <w:semiHidden/>
    <w:rsid w:val="0006347F"/>
    <w:pPr>
      <w:keepNext/>
      <w:spacing w:after="240"/>
    </w:pPr>
    <w:rPr>
      <w:b/>
    </w:rPr>
  </w:style>
  <w:style w:type="paragraph" w:styleId="Ballontekst">
    <w:name w:val="Balloon Text"/>
    <w:basedOn w:val="Standaard"/>
    <w:link w:val="BallontekstChar"/>
    <w:semiHidden/>
    <w:rsid w:val="0006347F"/>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06347F"/>
    <w:rPr>
      <w:rFonts w:ascii="Tahoma" w:hAnsi="Tahoma" w:cs="Tahoma"/>
      <w:sz w:val="16"/>
      <w:szCs w:val="16"/>
    </w:rPr>
  </w:style>
  <w:style w:type="paragraph" w:customStyle="1" w:styleId="KoptekstPagina1">
    <w:name w:val="Koptekst Pagina 1"/>
    <w:basedOn w:val="Standaard"/>
    <w:next w:val="Standaard"/>
    <w:rsid w:val="0006347F"/>
    <w:pPr>
      <w:spacing w:after="1644"/>
    </w:pPr>
  </w:style>
  <w:style w:type="table" w:customStyle="1" w:styleId="NVWABlauw1">
    <w:name w:val="NVWA Blauw 1"/>
    <w:basedOn w:val="Standaardtabel"/>
    <w:uiPriority w:val="99"/>
    <w:rsid w:val="008002FE"/>
    <w:rPr>
      <w:rFonts w:ascii="Verdana" w:hAnsi="Verdana"/>
      <w:sz w:val="14"/>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left w:w="62" w:type="dxa"/>
        <w:bottom w:w="119" w:type="dxa"/>
        <w:right w:w="62" w:type="dxa"/>
      </w:tblCellMar>
    </w:tblPr>
    <w:tcPr>
      <w:shd w:val="clear" w:color="auto" w:fill="auto"/>
    </w:tcPr>
    <w:tblStylePr w:type="firstRow">
      <w:rPr>
        <w:b/>
        <w:color w:val="007BC7"/>
      </w:rPr>
      <w:tblPr/>
      <w:tcPr>
        <w:tcBorders>
          <w:top w:val="single" w:sz="4" w:space="0" w:color="007BC7"/>
          <w:left w:val="single" w:sz="4" w:space="0" w:color="007BC7"/>
          <w:bottom w:val="single" w:sz="4" w:space="0" w:color="007BC7"/>
          <w:right w:val="single" w:sz="4" w:space="0" w:color="007BC7"/>
          <w:insideH w:val="single" w:sz="4" w:space="0" w:color="007BC7"/>
          <w:insideV w:val="single" w:sz="4" w:space="0" w:color="007BC7"/>
          <w:tl2br w:val="nil"/>
          <w:tr2bl w:val="nil"/>
        </w:tcBorders>
        <w:shd w:val="clear" w:color="auto" w:fill="auto"/>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single" w:sz="4" w:space="0" w:color="007BC7"/>
          <w:left w:val="single" w:sz="4" w:space="0" w:color="007BC7"/>
          <w:bottom w:val="single" w:sz="4" w:space="0" w:color="007BC7"/>
          <w:right w:val="single" w:sz="4" w:space="0" w:color="007BC7"/>
          <w:insideH w:val="single" w:sz="4" w:space="0" w:color="007BC7"/>
          <w:insideV w:val="single" w:sz="4" w:space="0" w:color="007BC7"/>
          <w:tl2br w:val="nil"/>
          <w:tr2bl w:val="nil"/>
        </w:tcBorders>
        <w:shd w:val="clear" w:color="auto" w:fill="C0E7FF"/>
      </w:tcPr>
    </w:tblStylePr>
    <w:tblStylePr w:type="band2Horz">
      <w:tblPr/>
      <w:tcPr>
        <w:tcBorders>
          <w:top w:val="single" w:sz="4" w:space="0" w:color="007BC7"/>
          <w:left w:val="single" w:sz="4" w:space="0" w:color="007BC7"/>
          <w:bottom w:val="single" w:sz="4" w:space="0" w:color="007BC7"/>
          <w:right w:val="single" w:sz="4" w:space="0" w:color="007BC7"/>
          <w:insideH w:val="single" w:sz="4" w:space="0" w:color="007BC7"/>
          <w:insideV w:val="single" w:sz="4" w:space="0" w:color="007BC7"/>
          <w:tl2br w:val="nil"/>
          <w:tr2bl w:val="nil"/>
        </w:tcBorders>
        <w:shd w:val="clear" w:color="auto" w:fill="C0E7FF"/>
      </w:tcPr>
    </w:tblStylePr>
  </w:style>
  <w:style w:type="table" w:customStyle="1" w:styleId="NVWABlauw3">
    <w:name w:val="NVWA Blauw 3"/>
    <w:basedOn w:val="Standaardtabel"/>
    <w:uiPriority w:val="99"/>
    <w:rsid w:val="00F66A5F"/>
    <w:rPr>
      <w:rFonts w:ascii="Verdana" w:hAnsi="Verdana"/>
      <w:sz w:val="14"/>
    </w:rPr>
    <w:tblPr>
      <w:tblStyleRowBandSize w:val="1"/>
      <w:tblBorders>
        <w:top w:val="single" w:sz="4" w:space="0" w:color="007BC7"/>
        <w:left w:val="single" w:sz="4" w:space="0" w:color="007BC7"/>
        <w:bottom w:val="single" w:sz="4" w:space="0" w:color="007BC7"/>
        <w:right w:val="single" w:sz="4" w:space="0" w:color="007BC7"/>
        <w:insideH w:val="single" w:sz="4" w:space="0" w:color="007BC7"/>
        <w:insideV w:val="single" w:sz="4" w:space="0" w:color="007BC7"/>
      </w:tblBorders>
      <w:tblCellMar>
        <w:top w:w="119" w:type="dxa"/>
        <w:left w:w="62" w:type="dxa"/>
        <w:bottom w:w="119" w:type="dxa"/>
        <w:right w:w="62" w:type="dxa"/>
      </w:tblCellMar>
    </w:tblPr>
    <w:tcPr>
      <w:shd w:val="clear" w:color="auto" w:fill="auto"/>
    </w:tcPr>
    <w:tblStylePr w:type="firstRow">
      <w:rPr>
        <w:b/>
        <w:color w:val="FFFFFF" w:themeColor="background1"/>
      </w:rPr>
      <w:tblPr/>
      <w:tcPr>
        <w:tcBorders>
          <w:top w:val="single" w:sz="4" w:space="0" w:color="007BC7"/>
          <w:left w:val="single" w:sz="4" w:space="0" w:color="007BC7"/>
          <w:bottom w:val="single" w:sz="4" w:space="0" w:color="007BC7"/>
          <w:right w:val="single" w:sz="4" w:space="0" w:color="007BC7"/>
          <w:insideH w:val="nil"/>
          <w:insideV w:val="single" w:sz="4" w:space="0" w:color="007BC7"/>
          <w:tl2br w:val="nil"/>
          <w:tr2bl w:val="nil"/>
        </w:tcBorders>
        <w:shd w:val="clear" w:color="auto" w:fill="007BC7"/>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single" w:sz="4" w:space="0" w:color="007BC7"/>
          <w:left w:val="single" w:sz="4" w:space="0" w:color="007BC7"/>
          <w:bottom w:val="single" w:sz="4" w:space="0" w:color="007BC7"/>
          <w:right w:val="single" w:sz="4" w:space="0" w:color="007BC7"/>
          <w:insideH w:val="nil"/>
          <w:insideV w:val="single" w:sz="4" w:space="0" w:color="007BC7"/>
          <w:tl2br w:val="nil"/>
          <w:tr2bl w:val="nil"/>
        </w:tcBorders>
        <w:shd w:val="clear" w:color="auto" w:fill="C0E7FF"/>
      </w:tcPr>
    </w:tblStylePr>
    <w:tblStylePr w:type="band2Horz">
      <w:tblPr/>
      <w:tcPr>
        <w:tcBorders>
          <w:top w:val="single" w:sz="4" w:space="0" w:color="007BC7"/>
          <w:left w:val="single" w:sz="4" w:space="0" w:color="007BC7"/>
          <w:bottom w:val="single" w:sz="4" w:space="0" w:color="007BC7"/>
          <w:right w:val="single" w:sz="4" w:space="0" w:color="007BC7"/>
          <w:insideH w:val="nil"/>
          <w:insideV w:val="single" w:sz="4" w:space="0" w:color="007BC7"/>
          <w:tl2br w:val="nil"/>
          <w:tr2bl w:val="nil"/>
        </w:tcBorders>
        <w:shd w:val="clear" w:color="auto" w:fill="auto"/>
      </w:tcPr>
    </w:tblStylePr>
  </w:style>
  <w:style w:type="character" w:styleId="Onopgelostemelding">
    <w:name w:val="Unresolved Mention"/>
    <w:basedOn w:val="Standaardalinea-lettertype"/>
    <w:uiPriority w:val="99"/>
    <w:semiHidden/>
    <w:unhideWhenUsed/>
    <w:rsid w:val="0006347F"/>
    <w:rPr>
      <w:color w:val="605E5C"/>
      <w:shd w:val="clear" w:color="auto" w:fill="E1DFDD"/>
    </w:rPr>
  </w:style>
  <w:style w:type="character" w:styleId="GevolgdeHyperlink">
    <w:name w:val="FollowedHyperlink"/>
    <w:basedOn w:val="Standaardalinea-lettertype"/>
    <w:semiHidden/>
    <w:unhideWhenUsed/>
    <w:rsid w:val="0006347F"/>
    <w:rPr>
      <w:color w:val="01689B" w:themeColor="followedHyperlink"/>
      <w:u w:val="single"/>
    </w:rPr>
  </w:style>
  <w:style w:type="numbering" w:customStyle="1" w:styleId="KopNum">
    <w:name w:val="KopNum"/>
    <w:basedOn w:val="Geenlijst"/>
    <w:uiPriority w:val="99"/>
    <w:rsid w:val="0006347F"/>
    <w:pPr>
      <w:numPr>
        <w:numId w:val="7"/>
      </w:numPr>
    </w:pPr>
  </w:style>
  <w:style w:type="paragraph" w:styleId="Lijstnummering">
    <w:name w:val="List Number"/>
    <w:basedOn w:val="Standaard"/>
    <w:uiPriority w:val="10"/>
    <w:qFormat/>
    <w:rsid w:val="0006347F"/>
    <w:pPr>
      <w:numPr>
        <w:numId w:val="5"/>
      </w:numPr>
      <w:contextualSpacing/>
    </w:pPr>
  </w:style>
  <w:style w:type="paragraph" w:styleId="Bijschrift">
    <w:name w:val="caption"/>
    <w:basedOn w:val="Standaard"/>
    <w:next w:val="Standaard"/>
    <w:semiHidden/>
    <w:unhideWhenUsed/>
    <w:qFormat/>
    <w:rsid w:val="0006347F"/>
    <w:pPr>
      <w:spacing w:after="200" w:line="240" w:lineRule="auto"/>
    </w:pPr>
    <w:rPr>
      <w:i/>
      <w:iCs/>
      <w:szCs w:val="18"/>
    </w:rPr>
  </w:style>
  <w:style w:type="table" w:styleId="Onopgemaaktetabel5">
    <w:name w:val="Plain Table 5"/>
    <w:basedOn w:val="Standaardtabel"/>
    <w:uiPriority w:val="45"/>
    <w:rsid w:val="0006347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NVWABlauwAlternerend">
    <w:name w:val="NVWA Blauw Alternerend"/>
    <w:basedOn w:val="Standaardtabel"/>
    <w:uiPriority w:val="99"/>
    <w:rsid w:val="00F66A5F"/>
    <w:pPr>
      <w:spacing w:line="240" w:lineRule="atLeast"/>
    </w:pPr>
    <w:rPr>
      <w:rFonts w:ascii="Verdana" w:hAnsi="Verdana"/>
      <w:sz w:val="18"/>
    </w:rPr>
    <w:tblPr>
      <w:tblStyleRowBandSize w:val="1"/>
      <w:tblBorders>
        <w:top w:val="single" w:sz="4" w:space="0" w:color="007BC7"/>
        <w:left w:val="single" w:sz="4" w:space="0" w:color="007BC7"/>
        <w:bottom w:val="single" w:sz="4" w:space="0" w:color="007BC7"/>
        <w:right w:val="single" w:sz="4" w:space="0" w:color="007BC7"/>
        <w:insideH w:val="single" w:sz="4" w:space="0" w:color="007BC7"/>
        <w:insideV w:val="single" w:sz="4" w:space="0" w:color="007BC7"/>
      </w:tblBorders>
      <w:tblCellMar>
        <w:top w:w="119" w:type="dxa"/>
        <w:left w:w="62" w:type="dxa"/>
        <w:bottom w:w="119" w:type="dxa"/>
        <w:right w:w="62" w:type="dxa"/>
      </w:tblCellMar>
    </w:tblPr>
    <w:tblStylePr w:type="firstRow">
      <w:rPr>
        <w:b/>
        <w:i w:val="0"/>
        <w:color w:val="007BC7"/>
      </w:rPr>
    </w:tblStylePr>
    <w:tblStylePr w:type="band1Horz">
      <w:tblPr/>
      <w:tcPr>
        <w:tcBorders>
          <w:top w:val="single" w:sz="4" w:space="0" w:color="007BC7"/>
          <w:left w:val="single" w:sz="4" w:space="0" w:color="007BC7"/>
          <w:bottom w:val="single" w:sz="4" w:space="0" w:color="007BC7"/>
          <w:right w:val="single" w:sz="4" w:space="0" w:color="007BC7"/>
          <w:insideH w:val="single" w:sz="4" w:space="0" w:color="007BC7"/>
          <w:insideV w:val="single" w:sz="4" w:space="0" w:color="007BC7"/>
          <w:tl2br w:val="nil"/>
          <w:tr2bl w:val="nil"/>
        </w:tcBorders>
        <w:shd w:val="clear" w:color="auto" w:fill="C0E7FF"/>
      </w:tcPr>
    </w:tblStylePr>
  </w:style>
  <w:style w:type="character" w:customStyle="1" w:styleId="VWAVet">
    <w:name w:val="VWA Vet"/>
    <w:rsid w:val="00AC50F3"/>
    <w:rPr>
      <w:b/>
    </w:rPr>
  </w:style>
  <w:style w:type="paragraph" w:customStyle="1" w:styleId="VWAReferentiegegevens">
    <w:name w:val="VWA Referentiegegevens"/>
    <w:basedOn w:val="Standaard"/>
    <w:rsid w:val="00AC50F3"/>
    <w:pPr>
      <w:spacing w:line="180" w:lineRule="exact"/>
    </w:pPr>
    <w:rPr>
      <w:noProof/>
      <w:sz w:val="13"/>
      <w:szCs w:val="20"/>
    </w:rPr>
  </w:style>
  <w:style w:type="paragraph" w:customStyle="1" w:styleId="VWAReferentiegegevensW1na">
    <w:name w:val="VWA Referentiegegevens W1 na"/>
    <w:basedOn w:val="Standaard"/>
    <w:next w:val="Standaard"/>
    <w:rsid w:val="00AC50F3"/>
    <w:pPr>
      <w:spacing w:after="90" w:line="180" w:lineRule="exact"/>
    </w:pPr>
    <w:rPr>
      <w:noProof/>
      <w:sz w:val="13"/>
      <w:szCs w:val="20"/>
    </w:rPr>
  </w:style>
  <w:style w:type="paragraph" w:customStyle="1" w:styleId="VWAReferentiegegevensW1voor">
    <w:name w:val="VWA Referentiegegevens W1 voor"/>
    <w:basedOn w:val="VWAReferentiegegevens"/>
    <w:next w:val="VWAReferentiegegevens"/>
    <w:rsid w:val="00AC50F3"/>
    <w:pPr>
      <w:spacing w:before="90"/>
    </w:pPr>
  </w:style>
  <w:style w:type="paragraph" w:customStyle="1" w:styleId="VWAReferentiegegevensW2na">
    <w:name w:val="VWA Referentiegegevens W2 na"/>
    <w:basedOn w:val="Standaard"/>
    <w:next w:val="VWAReferentiegegevensW1na"/>
    <w:rsid w:val="00AC50F3"/>
    <w:pPr>
      <w:spacing w:after="180" w:line="180" w:lineRule="exact"/>
    </w:pPr>
    <w:rPr>
      <w:noProof/>
      <w:sz w:val="13"/>
      <w:szCs w:val="20"/>
    </w:rPr>
  </w:style>
  <w:style w:type="paragraph" w:customStyle="1" w:styleId="VWAReferentieTussenregel">
    <w:name w:val="VWA ReferentieTussenregel"/>
    <w:basedOn w:val="VWAReferentiegegevens"/>
    <w:rsid w:val="00AC50F3"/>
    <w:pPr>
      <w:spacing w:line="120" w:lineRule="exact"/>
    </w:pPr>
  </w:style>
  <w:style w:type="paragraph" w:styleId="Geenafstand">
    <w:name w:val="No Spacing"/>
    <w:uiPriority w:val="1"/>
    <w:qFormat/>
    <w:rsid w:val="00570D54"/>
    <w:rPr>
      <w:rFonts w:asciiTheme="minorHAnsi" w:eastAsiaTheme="minorHAnsi" w:hAnsiTheme="minorHAnsi" w:cstheme="minorBidi"/>
      <w:sz w:val="22"/>
      <w:szCs w:val="22"/>
      <w:lang w:eastAsia="en-US"/>
    </w:rPr>
  </w:style>
  <w:style w:type="character" w:customStyle="1" w:styleId="TitelChar">
    <w:name w:val="Titel Char"/>
    <w:basedOn w:val="Standaardalinea-lettertype"/>
    <w:link w:val="Titel"/>
    <w:uiPriority w:val="39"/>
    <w:rsid w:val="00570D54"/>
    <w:rPr>
      <w:rFonts w:ascii="Verdana" w:hAnsi="Verdana" w:cs="Arial"/>
      <w:b/>
      <w:bCs/>
      <w:kern w:val="28"/>
      <w:sz w:val="24"/>
      <w:szCs w:val="32"/>
    </w:rPr>
  </w:style>
  <w:style w:type="character" w:customStyle="1" w:styleId="VoetnoottekstChar">
    <w:name w:val="Voetnoottekst Char"/>
    <w:basedOn w:val="Standaardalinea-lettertype"/>
    <w:link w:val="Voetnoottekst"/>
    <w:semiHidden/>
    <w:rsid w:val="00570D54"/>
    <w:rPr>
      <w:rFonts w:ascii="Verdana" w:hAnsi="Verdana"/>
      <w:sz w:val="13"/>
    </w:rPr>
  </w:style>
  <w:style w:type="paragraph" w:customStyle="1" w:styleId="05bKopstijl2">
    <w:name w:val="05b. Kopstijl2"/>
    <w:basedOn w:val="04Body"/>
    <w:next w:val="04Body"/>
    <w:link w:val="05bKopstijl2Char"/>
    <w:qFormat/>
    <w:rsid w:val="00570D54"/>
    <w:pPr>
      <w:spacing w:before="240"/>
      <w:outlineLvl w:val="1"/>
    </w:pPr>
    <w:rPr>
      <w:b/>
    </w:rPr>
  </w:style>
  <w:style w:type="character" w:customStyle="1" w:styleId="05bKopstijl2Char">
    <w:name w:val="05b. Kopstijl2 Char"/>
    <w:basedOn w:val="Standaardalinea-lettertype"/>
    <w:link w:val="05bKopstijl2"/>
    <w:rsid w:val="00570D54"/>
    <w:rPr>
      <w:rFonts w:ascii="Verdana" w:hAnsi="Verdana"/>
      <w:b/>
      <w:sz w:val="18"/>
      <w:szCs w:val="24"/>
    </w:rPr>
  </w:style>
  <w:style w:type="paragraph" w:customStyle="1" w:styleId="04Body">
    <w:name w:val="04. Body"/>
    <w:basedOn w:val="Standaard"/>
    <w:qFormat/>
    <w:rsid w:val="00570D54"/>
  </w:style>
  <w:style w:type="paragraph" w:customStyle="1" w:styleId="07Bijschrift">
    <w:name w:val="07. Bijschrift"/>
    <w:basedOn w:val="04Body"/>
    <w:next w:val="04Body"/>
    <w:qFormat/>
    <w:rsid w:val="00570D54"/>
    <w:rPr>
      <w:sz w:val="14"/>
    </w:rPr>
  </w:style>
  <w:style w:type="character" w:styleId="Verwijzingopmerking">
    <w:name w:val="annotation reference"/>
    <w:basedOn w:val="Standaardalinea-lettertype"/>
    <w:semiHidden/>
    <w:unhideWhenUsed/>
    <w:rsid w:val="00B35842"/>
    <w:rPr>
      <w:sz w:val="16"/>
      <w:szCs w:val="16"/>
    </w:rPr>
  </w:style>
  <w:style w:type="paragraph" w:styleId="Tekstopmerking">
    <w:name w:val="annotation text"/>
    <w:basedOn w:val="Standaard"/>
    <w:link w:val="TekstopmerkingChar"/>
    <w:unhideWhenUsed/>
    <w:rsid w:val="00B35842"/>
    <w:pPr>
      <w:spacing w:line="240" w:lineRule="auto"/>
    </w:pPr>
    <w:rPr>
      <w:sz w:val="20"/>
      <w:szCs w:val="20"/>
    </w:rPr>
  </w:style>
  <w:style w:type="character" w:customStyle="1" w:styleId="TekstopmerkingChar">
    <w:name w:val="Tekst opmerking Char"/>
    <w:basedOn w:val="Standaardalinea-lettertype"/>
    <w:link w:val="Tekstopmerking"/>
    <w:rsid w:val="00B35842"/>
    <w:rPr>
      <w:rFonts w:ascii="Verdana" w:hAnsi="Verdana"/>
    </w:rPr>
  </w:style>
  <w:style w:type="paragraph" w:styleId="Onderwerpvanopmerking">
    <w:name w:val="annotation subject"/>
    <w:basedOn w:val="Tekstopmerking"/>
    <w:next w:val="Tekstopmerking"/>
    <w:link w:val="OnderwerpvanopmerkingChar"/>
    <w:semiHidden/>
    <w:unhideWhenUsed/>
    <w:rsid w:val="00B35842"/>
    <w:rPr>
      <w:b/>
      <w:bCs/>
    </w:rPr>
  </w:style>
  <w:style w:type="character" w:customStyle="1" w:styleId="OnderwerpvanopmerkingChar">
    <w:name w:val="Onderwerp van opmerking Char"/>
    <w:basedOn w:val="TekstopmerkingChar"/>
    <w:link w:val="Onderwerpvanopmerking"/>
    <w:semiHidden/>
    <w:rsid w:val="00B35842"/>
    <w:rPr>
      <w:rFonts w:ascii="Verdana" w:hAnsi="Verdana"/>
      <w:b/>
      <w:bCs/>
    </w:rPr>
  </w:style>
  <w:style w:type="paragraph" w:styleId="Revisie">
    <w:name w:val="Revision"/>
    <w:hidden/>
    <w:uiPriority w:val="99"/>
    <w:semiHidden/>
    <w:rsid w:val="00B35842"/>
    <w:rPr>
      <w:rFonts w:ascii="Verdana" w:hAnsi="Verdana"/>
      <w:sz w:val="18"/>
      <w:szCs w:val="24"/>
    </w:rPr>
  </w:style>
  <w:style w:type="character" w:customStyle="1" w:styleId="VoettekstChar">
    <w:name w:val="Voettekst Char"/>
    <w:basedOn w:val="Standaardalinea-lettertype"/>
    <w:link w:val="Voettekst"/>
    <w:uiPriority w:val="99"/>
    <w:rsid w:val="009047C8"/>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6341">
      <w:bodyDiv w:val="1"/>
      <w:marLeft w:val="0"/>
      <w:marRight w:val="0"/>
      <w:marTop w:val="0"/>
      <w:marBottom w:val="0"/>
      <w:divBdr>
        <w:top w:val="none" w:sz="0" w:space="0" w:color="auto"/>
        <w:left w:val="none" w:sz="0" w:space="0" w:color="auto"/>
        <w:bottom w:val="none" w:sz="0" w:space="0" w:color="auto"/>
        <w:right w:val="none" w:sz="0" w:space="0" w:color="auto"/>
      </w:divBdr>
    </w:div>
    <w:div w:id="86270333">
      <w:bodyDiv w:val="1"/>
      <w:marLeft w:val="0"/>
      <w:marRight w:val="0"/>
      <w:marTop w:val="0"/>
      <w:marBottom w:val="0"/>
      <w:divBdr>
        <w:top w:val="none" w:sz="0" w:space="0" w:color="auto"/>
        <w:left w:val="none" w:sz="0" w:space="0" w:color="auto"/>
        <w:bottom w:val="none" w:sz="0" w:space="0" w:color="auto"/>
        <w:right w:val="none" w:sz="0" w:space="0" w:color="auto"/>
      </w:divBdr>
    </w:div>
    <w:div w:id="692533238">
      <w:bodyDiv w:val="1"/>
      <w:marLeft w:val="0"/>
      <w:marRight w:val="0"/>
      <w:marTop w:val="0"/>
      <w:marBottom w:val="0"/>
      <w:divBdr>
        <w:top w:val="none" w:sz="0" w:space="0" w:color="auto"/>
        <w:left w:val="none" w:sz="0" w:space="0" w:color="auto"/>
        <w:bottom w:val="none" w:sz="0" w:space="0" w:color="auto"/>
        <w:right w:val="none" w:sz="0" w:space="0" w:color="auto"/>
      </w:divBdr>
      <w:divsChild>
        <w:div w:id="486749332">
          <w:marLeft w:val="0"/>
          <w:marRight w:val="0"/>
          <w:marTop w:val="0"/>
          <w:marBottom w:val="0"/>
          <w:divBdr>
            <w:top w:val="none" w:sz="0" w:space="0" w:color="auto"/>
            <w:left w:val="none" w:sz="0" w:space="0" w:color="auto"/>
            <w:bottom w:val="none" w:sz="0" w:space="0" w:color="auto"/>
            <w:right w:val="none" w:sz="0" w:space="0" w:color="auto"/>
          </w:divBdr>
        </w:div>
      </w:divsChild>
    </w:div>
    <w:div w:id="1000086790">
      <w:bodyDiv w:val="1"/>
      <w:marLeft w:val="0"/>
      <w:marRight w:val="0"/>
      <w:marTop w:val="0"/>
      <w:marBottom w:val="0"/>
      <w:divBdr>
        <w:top w:val="none" w:sz="0" w:space="0" w:color="auto"/>
        <w:left w:val="none" w:sz="0" w:space="0" w:color="auto"/>
        <w:bottom w:val="none" w:sz="0" w:space="0" w:color="auto"/>
        <w:right w:val="none" w:sz="0" w:space="0" w:color="auto"/>
      </w:divBdr>
    </w:div>
    <w:div w:id="1081027816">
      <w:bodyDiv w:val="1"/>
      <w:marLeft w:val="0"/>
      <w:marRight w:val="0"/>
      <w:marTop w:val="0"/>
      <w:marBottom w:val="0"/>
      <w:divBdr>
        <w:top w:val="none" w:sz="0" w:space="0" w:color="auto"/>
        <w:left w:val="none" w:sz="0" w:space="0" w:color="auto"/>
        <w:bottom w:val="none" w:sz="0" w:space="0" w:color="auto"/>
        <w:right w:val="none" w:sz="0" w:space="0" w:color="auto"/>
      </w:divBdr>
      <w:divsChild>
        <w:div w:id="1387333522">
          <w:marLeft w:val="0"/>
          <w:marRight w:val="0"/>
          <w:marTop w:val="0"/>
          <w:marBottom w:val="0"/>
          <w:divBdr>
            <w:top w:val="none" w:sz="0" w:space="0" w:color="auto"/>
            <w:left w:val="none" w:sz="0" w:space="0" w:color="auto"/>
            <w:bottom w:val="none" w:sz="0" w:space="0" w:color="auto"/>
            <w:right w:val="none" w:sz="0" w:space="0" w:color="auto"/>
          </w:divBdr>
        </w:div>
      </w:divsChild>
    </w:div>
    <w:div w:id="1155561632">
      <w:bodyDiv w:val="1"/>
      <w:marLeft w:val="0"/>
      <w:marRight w:val="0"/>
      <w:marTop w:val="0"/>
      <w:marBottom w:val="0"/>
      <w:divBdr>
        <w:top w:val="none" w:sz="0" w:space="0" w:color="auto"/>
        <w:left w:val="none" w:sz="0" w:space="0" w:color="auto"/>
        <w:bottom w:val="none" w:sz="0" w:space="0" w:color="auto"/>
        <w:right w:val="none" w:sz="0" w:space="0" w:color="auto"/>
      </w:divBdr>
    </w:div>
    <w:div w:id="1182822954">
      <w:bodyDiv w:val="1"/>
      <w:marLeft w:val="0"/>
      <w:marRight w:val="0"/>
      <w:marTop w:val="0"/>
      <w:marBottom w:val="0"/>
      <w:divBdr>
        <w:top w:val="none" w:sz="0" w:space="0" w:color="auto"/>
        <w:left w:val="none" w:sz="0" w:space="0" w:color="auto"/>
        <w:bottom w:val="none" w:sz="0" w:space="0" w:color="auto"/>
        <w:right w:val="none" w:sz="0" w:space="0" w:color="auto"/>
      </w:divBdr>
    </w:div>
    <w:div w:id="1599635037">
      <w:bodyDiv w:val="1"/>
      <w:marLeft w:val="0"/>
      <w:marRight w:val="0"/>
      <w:marTop w:val="0"/>
      <w:marBottom w:val="0"/>
      <w:divBdr>
        <w:top w:val="none" w:sz="0" w:space="0" w:color="auto"/>
        <w:left w:val="none" w:sz="0" w:space="0" w:color="auto"/>
        <w:bottom w:val="none" w:sz="0" w:space="0" w:color="auto"/>
        <w:right w:val="none" w:sz="0" w:space="0" w:color="auto"/>
      </w:divBdr>
    </w:div>
    <w:div w:id="1607806419">
      <w:bodyDiv w:val="1"/>
      <w:marLeft w:val="0"/>
      <w:marRight w:val="0"/>
      <w:marTop w:val="0"/>
      <w:marBottom w:val="0"/>
      <w:divBdr>
        <w:top w:val="none" w:sz="0" w:space="0" w:color="auto"/>
        <w:left w:val="none" w:sz="0" w:space="0" w:color="auto"/>
        <w:bottom w:val="none" w:sz="0" w:space="0" w:color="auto"/>
        <w:right w:val="none" w:sz="0" w:space="0" w:color="auto"/>
      </w:divBdr>
    </w:div>
    <w:div w:id="1717704873">
      <w:bodyDiv w:val="1"/>
      <w:marLeft w:val="0"/>
      <w:marRight w:val="0"/>
      <w:marTop w:val="0"/>
      <w:marBottom w:val="0"/>
      <w:divBdr>
        <w:top w:val="none" w:sz="0" w:space="0" w:color="auto"/>
        <w:left w:val="none" w:sz="0" w:space="0" w:color="auto"/>
        <w:bottom w:val="none" w:sz="0" w:space="0" w:color="auto"/>
        <w:right w:val="none" w:sz="0" w:space="0" w:color="auto"/>
      </w:divBdr>
    </w:div>
    <w:div w:id="202057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NVWA Toegankelijk Rapport">
      <a:dk1>
        <a:sysClr val="windowText" lastClr="000000"/>
      </a:dk1>
      <a:lt1>
        <a:sysClr val="window" lastClr="FFFFFF"/>
      </a:lt1>
      <a:dk2>
        <a:srgbClr val="1F497D"/>
      </a:dk2>
      <a:lt2>
        <a:srgbClr val="EEECE1"/>
      </a:lt2>
      <a:accent1>
        <a:srgbClr val="01689B"/>
      </a:accent1>
      <a:accent2>
        <a:srgbClr val="42145F"/>
      </a:accent2>
      <a:accent3>
        <a:srgbClr val="CA005D"/>
      </a:accent3>
      <a:accent4>
        <a:srgbClr val="275937"/>
      </a:accent4>
      <a:accent5>
        <a:srgbClr val="E17000"/>
      </a:accent5>
      <a:accent6>
        <a:srgbClr val="39870C"/>
      </a:accent6>
      <a:hlink>
        <a:srgbClr val="01689B"/>
      </a:hlink>
      <a:folHlink>
        <a:srgbClr val="01689B"/>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1059</ap:Words>
  <ap:Characters>6195</ap:Characters>
  <ap:DocSecurity>0</ap:DocSecurity>
  <ap:Lines>51</ap:Lines>
  <ap:Paragraphs>14</ap:Paragraphs>
  <ap:ScaleCrop>false</ap:ScaleCrop>
  <ap:LinksUpToDate>false</ap:LinksUpToDate>
  <ap:CharactersWithSpaces>7240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2025-07-11T10:37:00.0000000Z</dcterms:created>
  <dcterms:modified xsi:type="dcterms:W3CDTF">2025-07-11T10:37:00.0000000Z</dcterms:modified>
  <dc:description>------------------------</dc:description>
  <dc:subject/>
  <keywords/>
  <version/>
  <category/>
</coreProperties>
</file>