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2025Z14763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17 juli 2025)</w:t>
        <w:br/>
      </w:r>
    </w:p>
    <w:p>
      <w:r>
        <w:t xml:space="preserve">Vragen van het lid Dobbe (SP) aan de minister van Buitenlandse Zaken over het aangevraagde CAVV-advies inzake de verplichting van het voorkomen van genocide.</w:t>
      </w:r>
      <w:r>
        <w:br/>
      </w:r>
    </w:p>
    <w:p>
      <w:r>
        <w:t xml:space="preserve">1</w:t>
      </w:r>
      <w:r>
        <w:br/>
      </w:r>
    </w:p>
    <w:p>
      <w:r>
        <w:t xml:space="preserve">Heeft u het advies van de Commissie van advies inzake volkenrechtelijke vraagstukken (CAVV) inzake de verplichting van het voorkomen van genocide, waarvan u verzocht heeft het voor 30 juni 2025 te ontvangen, inmiddels gekregen?</w:t>
      </w:r>
      <w:r>
        <w:br/>
      </w:r>
    </w:p>
    <w:p>
      <w:r>
        <w:t xml:space="preserve">2</w:t>
      </w:r>
      <w:r>
        <w:br/>
      </w:r>
    </w:p>
    <w:p>
      <w:r>
        <w:t xml:space="preserve">Indien u het heeft ontvangen, zou u dit advies binnen twee weken na het stellen van deze vragen aan de Kamer willen doen toekomen? Zo nee, waarom niet?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