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092E" w:rsidR="00BD092E" w:rsidP="00BD092E" w:rsidRDefault="00BD092E" w14:paraId="5B35090A" w14:textId="77777777">
      <w:pPr>
        <w:pStyle w:val="Geenafstand"/>
        <w:rPr>
          <w:b/>
          <w:bCs/>
        </w:rPr>
      </w:pPr>
      <w:r w:rsidRPr="00BD092E">
        <w:rPr>
          <w:b/>
          <w:bCs/>
        </w:rPr>
        <w:t>AH 2748</w:t>
      </w:r>
    </w:p>
    <w:p w:rsidRPr="00BD092E" w:rsidR="00BD092E" w:rsidP="00BD092E" w:rsidRDefault="00BD092E" w14:paraId="1CA8A106" w14:textId="77777777">
      <w:pPr>
        <w:pStyle w:val="Geenafstand"/>
        <w:rPr>
          <w:b/>
          <w:bCs/>
        </w:rPr>
      </w:pPr>
      <w:r w:rsidRPr="00BD092E">
        <w:rPr>
          <w:b/>
          <w:bCs/>
        </w:rPr>
        <w:t>2025Z13346</w:t>
      </w:r>
    </w:p>
    <w:p w:rsidRPr="00BD092E" w:rsidR="00BD092E" w:rsidP="00BD092E" w:rsidRDefault="00BD092E" w14:paraId="0C36153C" w14:textId="77777777">
      <w:pPr>
        <w:pStyle w:val="Geenafstand"/>
        <w:rPr>
          <w:b/>
          <w:bCs/>
        </w:rPr>
      </w:pPr>
    </w:p>
    <w:p w:rsidRPr="00B67BFC" w:rsidR="00BD092E" w:rsidP="00BD092E" w:rsidRDefault="00BD092E" w14:paraId="11D95F2A" w14:textId="77777777">
      <w:r w:rsidRPr="00491DD3">
        <w:t xml:space="preserve">Antwoord van minister Hermans (Klimaat en Groene Groei) </w:t>
      </w:r>
      <w:r>
        <w:t xml:space="preserve">en </w:t>
      </w:r>
      <w:r w:rsidRPr="00491DD3">
        <w:t>van staatssecretaris Van Oostenbruggen (Financiën) (ontvangen</w:t>
      </w:r>
      <w:r>
        <w:t xml:space="preserve"> 17 juli 2025)</w:t>
      </w:r>
    </w:p>
    <w:p w:rsidRPr="00B67BFC" w:rsidR="00BD092E" w:rsidP="00BD092E" w:rsidRDefault="00BD092E" w14:paraId="5B2482DB" w14:textId="77777777">
      <w:r w:rsidRPr="00B67BFC">
        <w:br/>
        <w:t>1</w:t>
      </w:r>
      <w:r w:rsidRPr="00B67BFC">
        <w:br/>
        <w:t>Bent u bekend met de aangenomen motie-Van Dijk (Kamerstuk 36 725, nr. 11) waarin de regering wordt verzocht de CO2-heffing af te schaffen?</w:t>
      </w:r>
    </w:p>
    <w:p w:rsidRPr="00B67BFC" w:rsidR="00BD092E" w:rsidP="00BD092E" w:rsidRDefault="00BD092E" w14:paraId="22BCF908" w14:textId="77777777"/>
    <w:p w:rsidRPr="00B67BFC" w:rsidR="00BD092E" w:rsidP="00BD092E" w:rsidRDefault="00BD092E" w14:paraId="46AA69D8" w14:textId="77777777">
      <w:r w:rsidRPr="00B67BFC">
        <w:t>Antwoord</w:t>
      </w:r>
    </w:p>
    <w:p w:rsidRPr="00B67BFC" w:rsidR="00BD092E" w:rsidP="00BD092E" w:rsidRDefault="00BD092E" w14:paraId="12AB5751" w14:textId="77777777">
      <w:r w:rsidRPr="00B67BFC">
        <w:t xml:space="preserve">Ja. Hier heeft het kabinet op dinsdag 1 juli </w:t>
      </w:r>
      <w:proofErr w:type="spellStart"/>
      <w:r w:rsidRPr="00B67BFC">
        <w:t>j.l</w:t>
      </w:r>
      <w:proofErr w:type="spellEnd"/>
      <w:r w:rsidRPr="00B67BFC">
        <w:t xml:space="preserve">. ook reeds een reactie op gedeeld met de Kamer. Hierin is beschreven dat </w:t>
      </w:r>
      <w:r w:rsidRPr="00C30167">
        <w:t>voor de korte termijn (de periode tot 2030)</w:t>
      </w:r>
      <w:r w:rsidRPr="00B67BFC">
        <w:t xml:space="preserve"> het kabinet voornemens is om de heffing tijdelijk op te schorten, maar dat er eerst een aantal punten nader uitgezocht moeten worden alvorens hierover een definitief besluit genomen kan worden. </w:t>
      </w:r>
      <w:r w:rsidRPr="00C30167">
        <w:t xml:space="preserve">Tegelijkertijd start voor de lange termijn de Overlegtafel CO2-heffing. </w:t>
      </w:r>
      <w:bookmarkStart w:name="_Hlk203471128" w:id="0"/>
      <w:r w:rsidRPr="00C30167">
        <w:t xml:space="preserve">Deze wordt voorgezeten door een onafhankelijke voorzitter en krijgt de </w:t>
      </w:r>
      <w:bookmarkEnd w:id="0"/>
      <w:r w:rsidRPr="00C30167">
        <w:t xml:space="preserve">opdracht om te kijken welke alternatieve beleidsopties er zijn in de periode na 2030, en op weg naar 2040, om het doel, het verduurzamen van de industrie hier in Nederland, te realiseren. Die tafel krijgt de opdracht </w:t>
      </w:r>
      <w:r w:rsidRPr="00B67BFC">
        <w:t xml:space="preserve">om op 1 november een rapport op te leveren. </w:t>
      </w:r>
      <w:r w:rsidRPr="00B67BFC">
        <w:tab/>
      </w:r>
    </w:p>
    <w:p w:rsidRPr="00B67BFC" w:rsidR="00BD092E" w:rsidP="00BD092E" w:rsidRDefault="00BD092E" w14:paraId="52417BB7" w14:textId="77777777"/>
    <w:p w:rsidRPr="00B67BFC" w:rsidR="00BD092E" w:rsidP="00BD092E" w:rsidRDefault="00BD092E" w14:paraId="35340BA6" w14:textId="77777777">
      <w:r w:rsidRPr="00B67BFC">
        <w:t>2</w:t>
      </w:r>
    </w:p>
    <w:p w:rsidRPr="00B67BFC" w:rsidR="00BD092E" w:rsidP="00BD092E" w:rsidRDefault="00BD092E" w14:paraId="28AFB5EC" w14:textId="77777777">
      <w:r w:rsidRPr="00B67BFC">
        <w:t>Hoeveel bedrijven vallen er onder de CO2-heffing? Hoeveel stoten deze bedrijven gemiddeld uit en met hoeveel moeten zij deze uitstoot reduceren in 2030? Wat is nu de prognose met hoeveel zij hun CO2 uitstoot in 2030 zullen reduceren?</w:t>
      </w:r>
    </w:p>
    <w:p w:rsidRPr="00B67BFC" w:rsidR="00BD092E" w:rsidP="00BD092E" w:rsidRDefault="00BD092E" w14:paraId="77E2F7AC" w14:textId="77777777"/>
    <w:p w:rsidRPr="00B67BFC" w:rsidR="00BD092E" w:rsidP="00BD092E" w:rsidRDefault="00BD092E" w14:paraId="594472A0" w14:textId="77777777">
      <w:r w:rsidRPr="00B67BFC">
        <w:t>Antwoord</w:t>
      </w:r>
    </w:p>
    <w:p w:rsidRPr="00B67BFC" w:rsidR="00BD092E" w:rsidP="00BD092E" w:rsidRDefault="00BD092E" w14:paraId="31EE48C1" w14:textId="77777777">
      <w:r w:rsidRPr="00B67BFC">
        <w:t>De publiek beschikbare gegevens die jaarlijks worden gepubliceerd door de Nederlandse Emissie autoriteit (</w:t>
      </w:r>
      <w:proofErr w:type="spellStart"/>
      <w:r w:rsidRPr="00B67BFC">
        <w:t>NEa</w:t>
      </w:r>
      <w:proofErr w:type="spellEnd"/>
      <w:r w:rsidRPr="00B67BFC">
        <w:t xml:space="preserve">) laten zien dat er 274 installaties onder de heffing vielen in 2024 met een gemiddelde uitstoot van ongeveer 170 </w:t>
      </w:r>
      <w:proofErr w:type="spellStart"/>
      <w:r w:rsidRPr="00B67BFC">
        <w:t>kton</w:t>
      </w:r>
      <w:proofErr w:type="spellEnd"/>
      <w:r w:rsidRPr="00B67BFC">
        <w:t>.</w:t>
      </w:r>
      <w:r w:rsidRPr="00B67BFC">
        <w:rPr>
          <w:vertAlign w:val="superscript"/>
        </w:rPr>
        <w:footnoteReference w:id="1"/>
      </w:r>
      <w:r w:rsidRPr="00B67BFC">
        <w:t xml:space="preserve"> De exacte hoeveelheid bedrijven die onder de heffing vallen wijkt lichtelijk af van het aantal installaties. Zo zijn er verschillende bedrijven met meerdere installaties, zoals </w:t>
      </w:r>
      <w:proofErr w:type="spellStart"/>
      <w:r w:rsidRPr="00B67BFC">
        <w:t>Wienerberger</w:t>
      </w:r>
      <w:proofErr w:type="spellEnd"/>
      <w:r w:rsidRPr="00B67BFC">
        <w:t xml:space="preserve"> met 17 installaties verspreid door Nederland. Aan de andere kant vallen er meerdere bedrijven onder de installatie van </w:t>
      </w:r>
      <w:proofErr w:type="spellStart"/>
      <w:r w:rsidRPr="00B67BFC">
        <w:t>Chemelot</w:t>
      </w:r>
      <w:proofErr w:type="spellEnd"/>
      <w:r w:rsidRPr="00B67BFC">
        <w:t>.</w:t>
      </w:r>
    </w:p>
    <w:p w:rsidRPr="00B67BFC" w:rsidR="00BD092E" w:rsidP="00BD092E" w:rsidRDefault="00BD092E" w14:paraId="1D69EBC8" w14:textId="77777777"/>
    <w:p w:rsidRPr="00B67BFC" w:rsidR="00BD092E" w:rsidP="00BD092E" w:rsidRDefault="00BD092E" w14:paraId="03871F11" w14:textId="77777777">
      <w:r w:rsidRPr="00B67BFC">
        <w:t>Bedrijven moeten, op basis van de huidige vormgeving van de CO2-heffing in de wet, in 2030 ongeveer 33% minder uitstoten dan de relevante benchmark. Deze benchmark wordt gezet door de top 10% meest efficiënte installaties in Europa. Op dit moment is de gemiddelde emissie-efficiëntie van de Nederlandse industrie ongeveer 17% boven de benchmark. Dit betekent dat bedrijven in 2030 gemiddeld hun uitstootefficiëntie met ongeveer 43% moeten verbeteren om de heffing voor te blijven in 2030. Uiteraard verschilt de daadwerkelijke reductie-opgave per bedrijf doordat sommige bedrijven reeds duurzame investeringen hebben getroffen.</w:t>
      </w:r>
    </w:p>
    <w:p w:rsidRPr="00B67BFC" w:rsidR="00BD092E" w:rsidP="00BD092E" w:rsidRDefault="00BD092E" w14:paraId="71BF869F" w14:textId="77777777"/>
    <w:p w:rsidRPr="00B67BFC" w:rsidR="00BD092E" w:rsidP="00BD092E" w:rsidRDefault="00BD092E" w14:paraId="5B9C6B7C" w14:textId="77777777">
      <w:r w:rsidRPr="00B67BFC">
        <w:t xml:space="preserve">Sinds 1990 heeft de industrie al 33 </w:t>
      </w:r>
      <w:proofErr w:type="spellStart"/>
      <w:r w:rsidRPr="00B67BFC">
        <w:t>Mton</w:t>
      </w:r>
      <w:proofErr w:type="spellEnd"/>
      <w:r w:rsidRPr="00B67BFC">
        <w:t xml:space="preserve"> aan uitstoot verminderd. Uit het klimaatdashboard, dat ook publiekelijk beschikbaar is, blijkt dat de huidige verduurzamingsplannen van de industrie optellen tot een additionele 20 </w:t>
      </w:r>
      <w:proofErr w:type="spellStart"/>
      <w:r w:rsidRPr="00B67BFC">
        <w:t>Mton</w:t>
      </w:r>
      <w:proofErr w:type="spellEnd"/>
      <w:r w:rsidRPr="00B67BFC">
        <w:t xml:space="preserve"> in 2030.</w:t>
      </w:r>
      <w:r w:rsidRPr="00B67BFC">
        <w:rPr>
          <w:vertAlign w:val="superscript"/>
        </w:rPr>
        <w:footnoteReference w:id="2"/>
      </w:r>
      <w:r w:rsidRPr="00B67BFC">
        <w:t xml:space="preserve"> Het is uiteraard geen zekerheid dat deze plannen ook daadwerkelijk uitgevoerd kunnen worden. De grootste knelpunten voor bedrijven zijn financieel, hierbij worden bijvoorbeeld hoge energiekosten genoemd.</w:t>
      </w:r>
      <w:r w:rsidRPr="00B67BFC">
        <w:rPr>
          <w:vertAlign w:val="superscript"/>
        </w:rPr>
        <w:t xml:space="preserve"> </w:t>
      </w:r>
      <w:r w:rsidRPr="00B67BFC">
        <w:rPr>
          <w:vertAlign w:val="superscript"/>
        </w:rPr>
        <w:footnoteReference w:id="3"/>
      </w:r>
      <w:r w:rsidRPr="00B67BFC">
        <w:t xml:space="preserve"> Daarnaast zijn de plannen afhankelijk van beschikbare infrastructuur en tijdige vergunningverlening. Deze randvoorwaarden zijn nu vaak nog niet op orde. Uit de analyse van RVO, die ten gronde ligt aan het klimaatdashboard, blijkt dat van deze plannen 13 </w:t>
      </w:r>
      <w:proofErr w:type="spellStart"/>
      <w:r w:rsidRPr="00B67BFC">
        <w:t>Mton</w:t>
      </w:r>
      <w:proofErr w:type="spellEnd"/>
      <w:r w:rsidRPr="00B67BFC">
        <w:t xml:space="preserve"> ‘tamelijk zeker’ is en 7 </w:t>
      </w:r>
      <w:proofErr w:type="spellStart"/>
      <w:r w:rsidRPr="00B67BFC">
        <w:t>Mton</w:t>
      </w:r>
      <w:proofErr w:type="spellEnd"/>
      <w:r w:rsidRPr="00B67BFC">
        <w:t xml:space="preserve"> ‘nog onzeker’. Zelfs de zekere plannen kunnen alleen doorgaan als er bijvoorbeeld genoeg infrastructuur is, subsidies beschikbaar zijn of vergunningen worden verleend. </w:t>
      </w:r>
      <w:r w:rsidRPr="00C30167">
        <w:t xml:space="preserve">Hiervoor staan nu veel seinen op rood: de benodigde infrastructuur is nog niet aanwezig, vergunningverlening verloopt traag onder meer vanwege stikstofproblematiek en de industrie kampt met ongunstige marktcondities door overproductie in het buitenland. Als de seinen op groen komen te staan en alle plannen doorgaan blijft er in 2030 nog 33 </w:t>
      </w:r>
      <w:proofErr w:type="spellStart"/>
      <w:r w:rsidRPr="00C30167">
        <w:t>Mton</w:t>
      </w:r>
      <w:proofErr w:type="spellEnd"/>
      <w:r w:rsidRPr="00C30167">
        <w:t xml:space="preserve"> uitstoot over</w:t>
      </w:r>
      <w:r w:rsidRPr="00B67BFC">
        <w:t>.</w:t>
      </w:r>
    </w:p>
    <w:p w:rsidRPr="00B67BFC" w:rsidR="00BD092E" w:rsidP="00BD092E" w:rsidRDefault="00BD092E" w14:paraId="1AD45947" w14:textId="77777777"/>
    <w:p w:rsidRPr="00B67BFC" w:rsidR="00BD092E" w:rsidP="00BD092E" w:rsidRDefault="00BD092E" w14:paraId="5F71BB7A" w14:textId="77777777">
      <w:r w:rsidRPr="00C30167">
        <w:t xml:space="preserve">In de tariefstudie 2024 becijfert PBL een emissiereductie van 15,1 </w:t>
      </w:r>
      <w:proofErr w:type="spellStart"/>
      <w:r w:rsidRPr="00C30167">
        <w:t>Mton</w:t>
      </w:r>
      <w:proofErr w:type="spellEnd"/>
      <w:r w:rsidRPr="00C30167">
        <w:t xml:space="preserve"> emissiereductie tussen 2021 en 2030 bij bedrijven onder die onder de CO2-heffing vallen. Deze reductie wordt voornamelijk gedreven door de beschikbare SDE++-subsidie en het EU ETS. Volgens PBL resteert er in 2030 een gat van 6 </w:t>
      </w:r>
      <w:proofErr w:type="spellStart"/>
      <w:r w:rsidRPr="00C30167">
        <w:t>Mton</w:t>
      </w:r>
      <w:proofErr w:type="spellEnd"/>
      <w:r w:rsidRPr="00C30167">
        <w:t xml:space="preserve"> tot het heffingsdoel in 2030</w:t>
      </w:r>
      <w:r w:rsidRPr="00B67BFC">
        <w:t>.</w:t>
      </w:r>
      <w:r w:rsidRPr="00B67BFC">
        <w:rPr>
          <w:vertAlign w:val="superscript"/>
        </w:rPr>
        <w:footnoteReference w:id="4"/>
      </w:r>
    </w:p>
    <w:p w:rsidRPr="00B67BFC" w:rsidR="00BD092E" w:rsidP="00BD092E" w:rsidRDefault="00BD092E" w14:paraId="29322A7D" w14:textId="77777777"/>
    <w:p w:rsidRPr="00B67BFC" w:rsidR="00BD092E" w:rsidP="00BD092E" w:rsidRDefault="00BD092E" w14:paraId="0494B7DC" w14:textId="77777777">
      <w:r w:rsidRPr="00B67BFC">
        <w:t xml:space="preserve">3 </w:t>
      </w:r>
    </w:p>
    <w:p w:rsidRPr="00B67BFC" w:rsidR="00BD092E" w:rsidP="00BD092E" w:rsidRDefault="00BD092E" w14:paraId="585E1A1C" w14:textId="77777777">
      <w:r w:rsidRPr="00B67BFC">
        <w:lastRenderedPageBreak/>
        <w:t>Hoeveel CO2-heffing is er in 2024 betaald? Hoeveel verwacht u dat de bedrijven onderhavig aan de CO2-heffing in 2025 zullen moeten betalen?</w:t>
      </w:r>
    </w:p>
    <w:p w:rsidRPr="00B67BFC" w:rsidR="00BD092E" w:rsidP="00BD092E" w:rsidRDefault="00BD092E" w14:paraId="2D1C7DF0" w14:textId="77777777"/>
    <w:p w:rsidRPr="00B67BFC" w:rsidR="00BD092E" w:rsidP="00BD092E" w:rsidRDefault="00BD092E" w14:paraId="39182AE4" w14:textId="77777777">
      <w:r w:rsidRPr="00B67BFC">
        <w:t>Antwoord</w:t>
      </w:r>
    </w:p>
    <w:p w:rsidRPr="00B67BFC" w:rsidR="00BD092E" w:rsidP="00BD092E" w:rsidRDefault="00BD092E" w14:paraId="6F324A56" w14:textId="77777777">
      <w:r w:rsidRPr="00B67BFC">
        <w:t xml:space="preserve">In 2024 is er geen CO2-heffing industrie betaald omdat voor het overgrote deel van de bedrijven onder de heffing het effectieve tarief 0 bedroeg doordat de EU ETS-prijs boven het heffingstarief lag. De bedrijven die niet onder het EU ETS vallen (afvalverbrandingsinstallaties en twee lachgasinstallaties) hadden geen belastbare emissies doordat de belastbare emissies lager waren dan de dispensatierechten van deze bedrijven. </w:t>
      </w:r>
    </w:p>
    <w:p w:rsidRPr="00B67BFC" w:rsidR="00BD092E" w:rsidP="00BD092E" w:rsidRDefault="00BD092E" w14:paraId="775AB974" w14:textId="77777777"/>
    <w:p w:rsidRPr="00B67BFC" w:rsidR="00BD092E" w:rsidP="00BD092E" w:rsidRDefault="00BD092E" w14:paraId="6E898CDA" w14:textId="77777777">
      <w:r w:rsidRPr="00B67BFC">
        <w:t>2025 is het eerste jaar dat het heffingstarief (€87,90) hoger is dan de vastgestelde ETS-prijs (€ 66,76). De te betalen heffing over de niet vrijgestelde uitstoot komt in 2025 daarmee te liggen op € 21,14.</w:t>
      </w:r>
      <w:r w:rsidRPr="00B67BFC">
        <w:rPr>
          <w:vertAlign w:val="superscript"/>
        </w:rPr>
        <w:footnoteReference w:id="5"/>
      </w:r>
      <w:r w:rsidRPr="00B67BFC">
        <w:t xml:space="preserve"> Bedrijven betalen dit jaar (2025) alleen CO2-heffing als ze minder CO2-efficiënt produceren dan de 10% meest CO2-efficiënte bedrijven onder het Europese emissiehandelssysteem (ETS benchmark). De geraamde opbrengsten van de CO2-heffing industrie bedragen €17 miljoen. Bij deze raming is echter uitgegaan van een ETS-prijs van €78, waardoor de daadwerkelijk inkomsten naar verwachting hoger zullen uitvallen. </w:t>
      </w:r>
      <w:r w:rsidRPr="00C30167">
        <w:t>De exacte inkomsten zijn in oktober bekend.</w:t>
      </w:r>
    </w:p>
    <w:p w:rsidRPr="00B67BFC" w:rsidR="00BD092E" w:rsidP="00BD092E" w:rsidRDefault="00BD092E" w14:paraId="2DED6ED3" w14:textId="77777777">
      <w:r w:rsidRPr="00B67BFC">
        <w:tab/>
      </w:r>
    </w:p>
    <w:p w:rsidRPr="00B67BFC" w:rsidR="00BD092E" w:rsidP="00BD092E" w:rsidRDefault="00BD092E" w14:paraId="08C15039" w14:textId="77777777">
      <w:r w:rsidRPr="00B67BFC">
        <w:t>4</w:t>
      </w:r>
    </w:p>
    <w:p w:rsidRPr="00B67BFC" w:rsidR="00BD092E" w:rsidP="00BD092E" w:rsidRDefault="00BD092E" w14:paraId="7B2F5DB1" w14:textId="77777777">
      <w:r w:rsidRPr="00B67BFC">
        <w:t>Heeft u signalen gehad van bedrijven die dreigen om te vallen door de CO2-heffing? Zo ja, hoeveel bedrijven zijn dit en wat heeft u hier mee gedaan?</w:t>
      </w:r>
    </w:p>
    <w:p w:rsidRPr="00B67BFC" w:rsidR="00BD092E" w:rsidP="00BD092E" w:rsidRDefault="00BD092E" w14:paraId="632A37F9" w14:textId="77777777"/>
    <w:p w:rsidRPr="00B67BFC" w:rsidR="00BD092E" w:rsidP="00BD092E" w:rsidRDefault="00BD092E" w14:paraId="65B24237" w14:textId="77777777">
      <w:r w:rsidRPr="00B67BFC">
        <w:t>Antwoord</w:t>
      </w:r>
    </w:p>
    <w:p w:rsidRPr="00B67BFC" w:rsidR="00BD092E" w:rsidP="00BD092E" w:rsidRDefault="00BD092E" w14:paraId="02A3345E" w14:textId="77777777">
      <w:r w:rsidRPr="00B67BFC">
        <w:t xml:space="preserve">Het kabinet ziet dat industrie in Nederland het zwaar heeft en dat hier verschillende factoren aan ten gronde liggen. Zo heeft de industrie te kampen met hoge en deels nog stijgende energiekosten en daarnaast met ongunstige marktcondities vanwege gesubsidieerde overproductie, bijvoorbeeld uit China. Daar komt de grote verduurzamingsopgave van de industrie bovenop. Het kabinet ziet dat hierdoor de concurrentiepositie van de industrie afneemt. </w:t>
      </w:r>
    </w:p>
    <w:p w:rsidRPr="00B67BFC" w:rsidR="00BD092E" w:rsidP="00BD092E" w:rsidRDefault="00BD092E" w14:paraId="4A1C9B57" w14:textId="77777777"/>
    <w:p w:rsidRPr="00B67BFC" w:rsidR="00BD092E" w:rsidP="00BD092E" w:rsidRDefault="00BD092E" w14:paraId="4680445B" w14:textId="77777777">
      <w:r w:rsidRPr="00B67BFC">
        <w:t xml:space="preserve">Hier komt bij dat het handelingsperspectief voor bedrijven om te verduurzamen in Nederland in veel gevallen ontoereikend is, met als mogelijk gevolg dat eventuele CO2 effecten in Nederland vooral door weglek worden gerealiseerd. </w:t>
      </w:r>
      <w:r w:rsidRPr="00B67BFC">
        <w:lastRenderedPageBreak/>
        <w:t>En dat is nooit de bedoeling geweest. Het is bovendien niet mogelijk gebleken om een hardheidsclausule te introduceren om bedrijven die wel willen maar niet kunnen verduurzamen te ontzien.</w:t>
      </w:r>
    </w:p>
    <w:p w:rsidRPr="00B67BFC" w:rsidR="00BD092E" w:rsidP="00BD092E" w:rsidRDefault="00BD092E" w14:paraId="41CB292E" w14:textId="77777777"/>
    <w:p w:rsidRPr="00B67BFC" w:rsidR="00BD092E" w:rsidP="00BD092E" w:rsidRDefault="00BD092E" w14:paraId="29F7A68C" w14:textId="77777777">
      <w:bookmarkStart w:name="_Hlk201939672" w:id="2"/>
      <w:r w:rsidRPr="00B67BFC">
        <w:t>Het kabinet wil waarborgen dat toekomstbestendige industriële bedrijven hier in Nederland kunnen blijven produceren én verduurzamen. Daar waar bedrijven toch besluiten om locaties te sluiten of productie af te schalen gebeurt dit door een samenhang van onder andere de factoren zoals hierboven beschreven en dit verschilt ook per bedrijf eveneens in welke markt dit bedrijf opereert. Sluitingen zijn daarmee meestal niet toe te wijzen aan één enkele reden.</w:t>
      </w:r>
      <w:bookmarkEnd w:id="2"/>
      <w:r w:rsidRPr="00B67BFC">
        <w:t xml:space="preserve"> Zoals hiervoor aangegeven heeft de CO2-heffing nog geen opbrengst gegenereerd. De recente sluitingen binnen de industrie lijken daarom niet gedreven door de kosten van de CO2-heffing tot op dit moment.</w:t>
      </w:r>
    </w:p>
    <w:p w:rsidRPr="00B67BFC" w:rsidR="00BD092E" w:rsidP="00BD092E" w:rsidRDefault="00BD092E" w14:paraId="1CBD24B9" w14:textId="77777777"/>
    <w:p w:rsidRPr="00B67BFC" w:rsidR="00BD092E" w:rsidP="00BD092E" w:rsidRDefault="00BD092E" w14:paraId="1F369B36" w14:textId="77777777">
      <w:r w:rsidRPr="00B67BFC">
        <w:t>5</w:t>
      </w:r>
    </w:p>
    <w:p w:rsidRPr="00B67BFC" w:rsidR="00BD092E" w:rsidP="00BD092E" w:rsidRDefault="00BD092E" w14:paraId="0CED1D78" w14:textId="77777777">
      <w:r w:rsidRPr="00B67BFC">
        <w:t>Bent u het ermee eens dat de CO2-heffing is bedoeld om bedrijven investeringszekerheid te geven en dat het afschaffen ervan een straf is voor bedrijven die wel hebben geïnvesteerd in verduurzaming?</w:t>
      </w:r>
    </w:p>
    <w:p w:rsidRPr="00B67BFC" w:rsidR="00BD092E" w:rsidP="00BD092E" w:rsidRDefault="00BD092E" w14:paraId="7F903691" w14:textId="77777777"/>
    <w:p w:rsidRPr="00B67BFC" w:rsidR="00BD092E" w:rsidP="00BD092E" w:rsidRDefault="00BD092E" w14:paraId="5A8A5ECC" w14:textId="77777777">
      <w:r w:rsidRPr="00B67BFC">
        <w:t>Antwoord</w:t>
      </w:r>
    </w:p>
    <w:p w:rsidRPr="00B67BFC" w:rsidR="00BD092E" w:rsidP="00BD092E" w:rsidRDefault="00BD092E" w14:paraId="09639759" w14:textId="77777777">
      <w:r w:rsidRPr="00B67BFC">
        <w:t>De CO2-heffing industrie is bedoeld om verduurzaming te prikkelen binnen de industrie, waarbij de heffing tevens de investeringszekerheid vergroot. De prikkelende werking wordt daarbij enkel gerealiseerd indien bedrijven ook daadwerkelijk handelingsperspectief hebben. Zoals in de beantwoording van vragen van het lid Bontenbal</w:t>
      </w:r>
      <w:r w:rsidRPr="00B67BFC">
        <w:rPr>
          <w:vertAlign w:val="superscript"/>
        </w:rPr>
        <w:footnoteReference w:id="6"/>
      </w:r>
      <w:r w:rsidRPr="00B67BFC">
        <w:t xml:space="preserve"> aangegeven, heeft het afschaffen van de CO2-heffing industrie een negatieve impact op doelbereik.</w:t>
      </w:r>
    </w:p>
    <w:p w:rsidRPr="00B67BFC" w:rsidR="00BD092E" w:rsidP="00BD092E" w:rsidRDefault="00BD092E" w14:paraId="4CB1DFA3" w14:textId="77777777"/>
    <w:p w:rsidRPr="00B67BFC" w:rsidR="00BD092E" w:rsidP="00BD092E" w:rsidRDefault="00BD092E" w14:paraId="5EDD53CB" w14:textId="77777777">
      <w:r w:rsidRPr="00B67BFC">
        <w:t xml:space="preserve">Zoals aangegeven in de Kamerbrief die dinsdag 1 juli </w:t>
      </w:r>
      <w:proofErr w:type="spellStart"/>
      <w:r w:rsidRPr="00B67BFC">
        <w:t>j.l</w:t>
      </w:r>
      <w:proofErr w:type="spellEnd"/>
      <w:r w:rsidRPr="00B67BFC">
        <w:t xml:space="preserve">. met de Kamer is gedeeld gaat het kabinet onderzoeken in welke mate er sprake is van een negatieve impact van het eventueel opschorten van de CO2-heffing industrie op bedrijven die reeds hebben geïnvesteerd in verduurzaming. Hierover wordt de Kamer zo </w:t>
      </w:r>
      <w:r w:rsidRPr="00C30167">
        <w:t>snel mogelijk</w:t>
      </w:r>
      <w:r w:rsidRPr="00B67BFC">
        <w:t xml:space="preserve"> nader geïnformeerd.</w:t>
      </w:r>
    </w:p>
    <w:p w:rsidRPr="00B67BFC" w:rsidR="00BD092E" w:rsidP="00BD092E" w:rsidRDefault="00BD092E" w14:paraId="6BE47BF1" w14:textId="77777777"/>
    <w:p w:rsidRPr="00B67BFC" w:rsidR="00BD092E" w:rsidP="00BD092E" w:rsidRDefault="00BD092E" w14:paraId="3773CDA7" w14:textId="77777777">
      <w:r w:rsidRPr="00B67BFC">
        <w:t>6</w:t>
      </w:r>
    </w:p>
    <w:p w:rsidRPr="00B67BFC" w:rsidR="00BD092E" w:rsidP="00BD092E" w:rsidRDefault="00BD092E" w14:paraId="70A5584E" w14:textId="77777777">
      <w:r w:rsidRPr="00B67BFC">
        <w:lastRenderedPageBreak/>
        <w:t>Bent u het ermee eens dat de CO2-heffing een belangrijke pijler is binnen het bredere klimaatbeleid, waarbij de CO2-heffing (naast talloze subsidies voor de industrie) ervoor zorgt dat verduurzaming geen vrijblijvende keuze is en de afgesproken reductie daadwerkelijk wordt gerealiseerd?</w:t>
      </w:r>
    </w:p>
    <w:p w:rsidRPr="00B67BFC" w:rsidR="00BD092E" w:rsidP="00BD092E" w:rsidRDefault="00BD092E" w14:paraId="1239A3F9" w14:textId="77777777"/>
    <w:p w:rsidRPr="00B67BFC" w:rsidR="00BD092E" w:rsidP="00BD092E" w:rsidRDefault="00BD092E" w14:paraId="48542FD8" w14:textId="77777777">
      <w:r w:rsidRPr="00B67BFC">
        <w:t>Antwoord</w:t>
      </w:r>
    </w:p>
    <w:p w:rsidRPr="00B67BFC" w:rsidR="00BD092E" w:rsidP="00BD092E" w:rsidRDefault="00BD092E" w14:paraId="60BC47A2" w14:textId="77777777">
      <w:r w:rsidRPr="00B67BFC">
        <w:t xml:space="preserve">Ja, de heffing is in de ratio van het beleid een belangrijke pijler. Zoals ook aangegeven in beantwoording op recente Kamervragen van het lid Bontenbal heeft de CO2-heffing als nationale </w:t>
      </w:r>
      <w:proofErr w:type="spellStart"/>
      <w:r w:rsidRPr="00B67BFC">
        <w:t>beprijzingsprikkel</w:t>
      </w:r>
      <w:proofErr w:type="spellEnd"/>
      <w:r w:rsidRPr="00B67BFC">
        <w:t xml:space="preserve"> een belangrijke rol binnen de beleidsmix voor de verduurzaming van de industrie. De heffing is bedoeld als stok achter de deur en ooit zo vormgegeven dat bedrijven de heffing voor konden blijven door, met behulp van subsidies, tijdig te investeren in verduurzaming. </w:t>
      </w:r>
    </w:p>
    <w:p w:rsidRPr="00B67BFC" w:rsidR="00BD092E" w:rsidP="00BD092E" w:rsidRDefault="00BD092E" w14:paraId="32150DB6" w14:textId="77777777"/>
    <w:p w:rsidRPr="00B67BFC" w:rsidR="00BD092E" w:rsidP="00BD092E" w:rsidRDefault="00BD092E" w14:paraId="6CBBBC42" w14:textId="77777777">
      <w:r w:rsidRPr="00B67BFC">
        <w:t xml:space="preserve">De praktijk is echter weerbarstiger en het kabinet ziet dat de heffing niet werkt zoals initieel beoogd. De randvoorwaarde voor verduurzaming zijn niet op orde waardoor bedrijven niet in staat zijn om tijdig te verduurzamen. Hierdoor verandert de heffing die bedoeld was als verduurzamingsprikkel in een boeteheffing.  </w:t>
      </w:r>
    </w:p>
    <w:p w:rsidRPr="00B67BFC" w:rsidR="00BD092E" w:rsidP="00BD092E" w:rsidRDefault="00BD092E" w14:paraId="79321234" w14:textId="77777777"/>
    <w:p w:rsidRPr="00B67BFC" w:rsidR="00BD092E" w:rsidP="00BD092E" w:rsidRDefault="00BD092E" w14:paraId="10F15A31" w14:textId="77777777">
      <w:r w:rsidRPr="00B67BFC">
        <w:t xml:space="preserve">Het kabinet erkent het risico dat het wegvallen van de prijsprikkel van de CO2-heffing de resterende subsidies vrijblijvender maakt, wat ertoe kan leiden dat bedrijven zich afwachtend opstellen. Of dit effect daadwerkelijk optreedt is onzeker. Jaarlijkse RVO interviews laten zien dat het merendeel van de bedrijven CO2-reductie als zeer belangrijk ervaren voor de toekomstbestendigheid van hun bedrijf en het concurrentievermogen in Europa, waar ook het ETS stuurt op </w:t>
      </w:r>
      <w:proofErr w:type="spellStart"/>
      <w:r w:rsidRPr="00B67BFC">
        <w:t>decarbonisatie</w:t>
      </w:r>
      <w:proofErr w:type="spellEnd"/>
      <w:r w:rsidRPr="00B67BFC">
        <w:t xml:space="preserve"> in een toenemend tempo.</w:t>
      </w:r>
      <w:r w:rsidRPr="00B67BFC">
        <w:rPr>
          <w:vertAlign w:val="superscript"/>
        </w:rPr>
        <w:t xml:space="preserve"> </w:t>
      </w:r>
      <w:r w:rsidRPr="00B67BFC">
        <w:rPr>
          <w:vertAlign w:val="superscript"/>
        </w:rPr>
        <w:footnoteReference w:id="7"/>
      </w:r>
      <w:r w:rsidRPr="00B67BFC">
        <w:t xml:space="preserve"> Daarnaast kan onzekerheid over de toekomstige beschikbaarheid van belangrijke subsidies zoals de SDE++ een prikkel voor bedrijven zijn om gebruik te maken van de subsidies zolang er budget is. </w:t>
      </w:r>
    </w:p>
    <w:p w:rsidRPr="00B67BFC" w:rsidR="00BD092E" w:rsidP="00BD092E" w:rsidRDefault="00BD092E" w14:paraId="161DC2AD" w14:textId="77777777"/>
    <w:p w:rsidRPr="00B67BFC" w:rsidR="00BD092E" w:rsidP="00BD092E" w:rsidRDefault="00BD092E" w14:paraId="0EC21528" w14:textId="77777777">
      <w:r w:rsidRPr="00B67BFC">
        <w:t>7</w:t>
      </w:r>
    </w:p>
    <w:p w:rsidRPr="00B67BFC" w:rsidR="00BD092E" w:rsidP="00BD092E" w:rsidRDefault="00BD092E" w14:paraId="46B25CBF" w14:textId="77777777">
      <w:r w:rsidRPr="00B67BFC">
        <w:t>Wat zijn de juridische gevolgen van het schrappen van de CO2-heffing? Kan het schrappen van de heffing tot rechtszaken leiden van bedrijven die investeringen hebben gedaan in verduurzaming nu benadeeld worden?</w:t>
      </w:r>
    </w:p>
    <w:p w:rsidRPr="00B67BFC" w:rsidR="00BD092E" w:rsidP="00BD092E" w:rsidRDefault="00BD092E" w14:paraId="439CF496" w14:textId="77777777"/>
    <w:p w:rsidRPr="00B67BFC" w:rsidR="00BD092E" w:rsidP="00BD092E" w:rsidRDefault="00BD092E" w14:paraId="775FF93A" w14:textId="77777777">
      <w:r w:rsidRPr="00B67BFC">
        <w:lastRenderedPageBreak/>
        <w:t>Antwoord</w:t>
      </w:r>
    </w:p>
    <w:p w:rsidRPr="00B67BFC" w:rsidR="00BD092E" w:rsidP="00BD092E" w:rsidRDefault="00BD092E" w14:paraId="37E92500" w14:textId="77777777">
      <w:r w:rsidRPr="00B67BFC">
        <w:t>De CO2-heffing industrie is een nationaal instrument en betreft geen implementatie van Europees recht. De CO2-heffing industrie is wettelijk vastgelegd in Hoofdstuk 16b van de Wet milieubeheer en Hoofdstuk VIB van de Wet belastingen op milieugrondslag. Het opschorten van dit instrument gaat gepaard met een wetswijziging. Hierbij worden de algemene beginselen van behoorlijk bestuur in acht genomen en worden alle relevante belangen afgewogen, waaronder de belangen van bedrijven die wel of niet hebben verduurzaamd. Mocht de CO2-heffing industrie inderdaad hebben geleid tot verduurzaming bij bedrijven, dan blijft deze verduurzaming ook relevant bij de afschaffing van dit instrument. Het EU ETS blijft immers bestaan.</w:t>
      </w:r>
    </w:p>
    <w:p w:rsidRPr="00B67BFC" w:rsidR="00BD092E" w:rsidP="00BD092E" w:rsidRDefault="00BD092E" w14:paraId="063D3F74" w14:textId="77777777"/>
    <w:p w:rsidRPr="00B67BFC" w:rsidR="00BD092E" w:rsidP="00BD092E" w:rsidRDefault="00BD092E" w14:paraId="76B7FF6F" w14:textId="77777777">
      <w:r w:rsidRPr="00B67BFC">
        <w:t>8</w:t>
      </w:r>
    </w:p>
    <w:p w:rsidRPr="00B67BFC" w:rsidR="00BD092E" w:rsidP="00BD092E" w:rsidRDefault="00BD092E" w14:paraId="0BCF2B4E" w14:textId="77777777">
      <w:r w:rsidRPr="00B67BFC">
        <w:t>Wat zijn de gevolgen van het schrappen van de CO2-heffing voor de middelen die Nederland uit Brussel zou krijgen door het Herstel- en Veerkrachtplan?</w:t>
      </w:r>
    </w:p>
    <w:p w:rsidRPr="00B67BFC" w:rsidR="00BD092E" w:rsidP="00BD092E" w:rsidRDefault="00BD092E" w14:paraId="25BD0B0E" w14:textId="77777777"/>
    <w:p w:rsidRPr="00B67BFC" w:rsidR="00BD092E" w:rsidP="00BD092E" w:rsidRDefault="00BD092E" w14:paraId="605DE902" w14:textId="77777777">
      <w:r w:rsidRPr="00B67BFC">
        <w:t>Antwoord</w:t>
      </w:r>
    </w:p>
    <w:p w:rsidRPr="00B67BFC" w:rsidR="00BD092E" w:rsidP="00BD092E" w:rsidRDefault="00BD092E" w14:paraId="0DC0D22A" w14:textId="77777777">
      <w:r w:rsidRPr="00C30167">
        <w:t>De CO2-heffing als hervorming is opgenomen in het Herstel- en Veerkrachtplan (HVP).</w:t>
      </w:r>
      <w:r w:rsidRPr="00C30167">
        <w:rPr>
          <w:vertAlign w:val="superscript"/>
        </w:rPr>
        <w:footnoteReference w:id="8"/>
      </w:r>
      <w:r w:rsidRPr="00C30167">
        <w:t xml:space="preserve"> Het opschorten van de heffing kan hierdoor mogelijk leiden tot een korting op de middelen die Nederland ontvangt vanuit het HVP. Deze korting kan oplopen tot 600 miljoen euro per mijlpaal (dus 1,2 miljard euro in totaal). De komende weken zal in nauw overleg met de Europese Commissie in kaart worden gebracht welke opties er zijn om dit effect te mitigeren. Als een korting niet afgewend kan worden, dan moet er eerst overeenstemming zijn over de dekking. De kamer wordt hier zo snel mogelijk nader over geïnformeerd.</w:t>
      </w:r>
    </w:p>
    <w:p w:rsidRPr="00B67BFC" w:rsidR="00BD092E" w:rsidP="00BD092E" w:rsidRDefault="00BD092E" w14:paraId="394B3FF8" w14:textId="77777777">
      <w:r w:rsidRPr="00B67BFC">
        <w:br/>
      </w:r>
    </w:p>
    <w:p w:rsidRPr="00B67BFC" w:rsidR="00BD092E" w:rsidP="00BD092E" w:rsidRDefault="00BD092E" w14:paraId="16E1D51A" w14:textId="77777777">
      <w:r w:rsidRPr="00B67BFC">
        <w:t xml:space="preserve">9 </w:t>
      </w:r>
    </w:p>
    <w:p w:rsidRPr="00B67BFC" w:rsidR="00BD092E" w:rsidP="00BD092E" w:rsidRDefault="00BD092E" w14:paraId="70B90F46" w14:textId="77777777">
      <w:r w:rsidRPr="00B67BFC">
        <w:t>Hoeveel financiële middelen verwacht u mis te lopen door het schrappen van de CO2-heffing? Waar waren deze middelen voor bedoeld?</w:t>
      </w:r>
    </w:p>
    <w:p w:rsidRPr="00B67BFC" w:rsidR="00BD092E" w:rsidP="00BD092E" w:rsidRDefault="00BD092E" w14:paraId="068BDF8D" w14:textId="77777777"/>
    <w:p w:rsidRPr="00B67BFC" w:rsidR="00BD092E" w:rsidP="00BD092E" w:rsidRDefault="00BD092E" w14:paraId="3F0BE616" w14:textId="77777777">
      <w:r w:rsidRPr="00B67BFC">
        <w:t xml:space="preserve">Antwoord </w:t>
      </w:r>
    </w:p>
    <w:p w:rsidRPr="00B67BFC" w:rsidR="00BD092E" w:rsidP="00BD092E" w:rsidRDefault="00BD092E" w14:paraId="4686A6DE" w14:textId="77777777">
      <w:r w:rsidRPr="00B67BFC">
        <w:t xml:space="preserve">Het tijdelijk opschorten van de CO2-heffing heeft impact op de verwachte inkomsten van de CO2-heffing, aangezien bedrijven geen heffing meer zullen </w:t>
      </w:r>
      <w:r w:rsidRPr="00B67BFC">
        <w:lastRenderedPageBreak/>
        <w:t xml:space="preserve">hoeven te betalen. De onderstaande tabel bevat de geraamde inkomsten van de CO2-heffing tot en met 2028 (exclusief afvalverbrandingsinstallaties). Deze inkomsten vloeien terug naar het Klimaatfonds, perceel Verduurzaming Industrie. Indien de CO2-heffing wordt afgeschaft, dan wordt het budget van het Klimaatfonds evenredig verlaagd. </w:t>
      </w:r>
    </w:p>
    <w:p w:rsidRPr="00B67BFC" w:rsidR="00BD092E" w:rsidP="00BD092E" w:rsidRDefault="00BD092E" w14:paraId="36BC7A6D" w14:textId="77777777">
      <w:pPr>
        <w:rPr>
          <w:i/>
          <w:iCs/>
        </w:rPr>
      </w:pPr>
    </w:p>
    <w:p w:rsidRPr="00B67BFC" w:rsidR="00BD092E" w:rsidP="00BD092E" w:rsidRDefault="00BD092E" w14:paraId="77B17106" w14:textId="77777777">
      <w:pPr>
        <w:rPr>
          <w:i/>
          <w:iCs/>
        </w:rPr>
      </w:pPr>
      <w:r w:rsidRPr="00B67BFC">
        <w:rPr>
          <w:i/>
          <w:iCs/>
        </w:rPr>
        <w:t>Tabel 1. Geraamde opbrengsten uit de CO2-heffing industrie, exclusief afvalverbrandingsinstallaties (in mln. €, prijspeil 2025)</w:t>
      </w:r>
    </w:p>
    <w:tbl>
      <w:tblPr>
        <w:tblW w:w="56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1417"/>
        <w:gridCol w:w="1418"/>
        <w:gridCol w:w="1417"/>
        <w:gridCol w:w="1418"/>
      </w:tblGrid>
      <w:tr w:rsidRPr="00B67BFC" w:rsidR="00BD092E" w:rsidTr="00E03320" w14:paraId="73F6876C" w14:textId="77777777">
        <w:trPr>
          <w:trHeight w:val="300"/>
        </w:trPr>
        <w:tc>
          <w:tcPr>
            <w:tcW w:w="1417" w:type="dxa"/>
            <w:tcBorders>
              <w:top w:val="single" w:color="auto" w:sz="4" w:space="0"/>
              <w:left w:val="single" w:color="auto" w:sz="4" w:space="0"/>
              <w:bottom w:val="single" w:color="auto" w:sz="4" w:space="0"/>
              <w:right w:val="single" w:color="auto" w:sz="4" w:space="0"/>
            </w:tcBorders>
            <w:shd w:val="clear" w:color="auto" w:fill="002060"/>
            <w:noWrap/>
            <w:tcMar>
              <w:top w:w="0" w:type="dxa"/>
              <w:left w:w="70" w:type="dxa"/>
              <w:bottom w:w="0" w:type="dxa"/>
              <w:right w:w="70" w:type="dxa"/>
            </w:tcMar>
            <w:vAlign w:val="center"/>
            <w:hideMark/>
          </w:tcPr>
          <w:p w:rsidRPr="00B67BFC" w:rsidR="00BD092E" w:rsidP="00E03320" w:rsidRDefault="00BD092E" w14:paraId="6D49F3AE" w14:textId="77777777">
            <w:pPr>
              <w:rPr>
                <w:b/>
                <w:bCs/>
                <w:lang w:val="en-US"/>
              </w:rPr>
            </w:pPr>
            <w:r w:rsidRPr="00B67BFC">
              <w:rPr>
                <w:b/>
                <w:bCs/>
                <w:lang w:val="en-US"/>
              </w:rPr>
              <w:t>2025</w:t>
            </w:r>
          </w:p>
        </w:tc>
        <w:tc>
          <w:tcPr>
            <w:tcW w:w="1418" w:type="dxa"/>
            <w:tcBorders>
              <w:top w:val="single" w:color="auto" w:sz="4" w:space="0"/>
              <w:left w:val="single" w:color="auto" w:sz="4" w:space="0"/>
              <w:bottom w:val="single" w:color="auto" w:sz="4" w:space="0"/>
              <w:right w:val="single" w:color="auto" w:sz="4" w:space="0"/>
            </w:tcBorders>
            <w:shd w:val="clear" w:color="auto" w:fill="002060"/>
            <w:noWrap/>
            <w:tcMar>
              <w:top w:w="0" w:type="dxa"/>
              <w:left w:w="70" w:type="dxa"/>
              <w:bottom w:w="0" w:type="dxa"/>
              <w:right w:w="70" w:type="dxa"/>
            </w:tcMar>
            <w:vAlign w:val="center"/>
            <w:hideMark/>
          </w:tcPr>
          <w:p w:rsidRPr="00B67BFC" w:rsidR="00BD092E" w:rsidP="00E03320" w:rsidRDefault="00BD092E" w14:paraId="491647D5" w14:textId="77777777">
            <w:pPr>
              <w:rPr>
                <w:b/>
                <w:bCs/>
                <w:lang w:val="en-US"/>
              </w:rPr>
            </w:pPr>
            <w:r w:rsidRPr="00B67BFC">
              <w:rPr>
                <w:b/>
                <w:bCs/>
                <w:lang w:val="en-US"/>
              </w:rPr>
              <w:t>2026</w:t>
            </w:r>
          </w:p>
        </w:tc>
        <w:tc>
          <w:tcPr>
            <w:tcW w:w="1417" w:type="dxa"/>
            <w:tcBorders>
              <w:top w:val="single" w:color="auto" w:sz="4" w:space="0"/>
              <w:left w:val="single" w:color="auto" w:sz="4" w:space="0"/>
              <w:bottom w:val="single" w:color="auto" w:sz="4" w:space="0"/>
              <w:right w:val="single" w:color="auto" w:sz="4" w:space="0"/>
            </w:tcBorders>
            <w:shd w:val="clear" w:color="auto" w:fill="002060"/>
            <w:noWrap/>
            <w:tcMar>
              <w:top w:w="0" w:type="dxa"/>
              <w:left w:w="70" w:type="dxa"/>
              <w:bottom w:w="0" w:type="dxa"/>
              <w:right w:w="70" w:type="dxa"/>
            </w:tcMar>
            <w:vAlign w:val="center"/>
            <w:hideMark/>
          </w:tcPr>
          <w:p w:rsidRPr="00B67BFC" w:rsidR="00BD092E" w:rsidP="00E03320" w:rsidRDefault="00BD092E" w14:paraId="76CE8653" w14:textId="77777777">
            <w:pPr>
              <w:rPr>
                <w:b/>
                <w:bCs/>
                <w:lang w:val="en-US"/>
              </w:rPr>
            </w:pPr>
            <w:r w:rsidRPr="00B67BFC">
              <w:rPr>
                <w:b/>
                <w:bCs/>
                <w:lang w:val="en-US"/>
              </w:rPr>
              <w:t>2027</w:t>
            </w:r>
          </w:p>
        </w:tc>
        <w:tc>
          <w:tcPr>
            <w:tcW w:w="1418" w:type="dxa"/>
            <w:tcBorders>
              <w:top w:val="single" w:color="auto" w:sz="4" w:space="0"/>
              <w:left w:val="single" w:color="auto" w:sz="4" w:space="0"/>
              <w:bottom w:val="single" w:color="auto" w:sz="4" w:space="0"/>
              <w:right w:val="single" w:color="auto" w:sz="4" w:space="0"/>
            </w:tcBorders>
            <w:shd w:val="clear" w:color="auto" w:fill="002060"/>
            <w:noWrap/>
            <w:tcMar>
              <w:top w:w="0" w:type="dxa"/>
              <w:left w:w="70" w:type="dxa"/>
              <w:bottom w:w="0" w:type="dxa"/>
              <w:right w:w="70" w:type="dxa"/>
            </w:tcMar>
            <w:vAlign w:val="center"/>
            <w:hideMark/>
          </w:tcPr>
          <w:p w:rsidRPr="00B67BFC" w:rsidR="00BD092E" w:rsidP="00E03320" w:rsidRDefault="00BD092E" w14:paraId="6C041716" w14:textId="77777777">
            <w:pPr>
              <w:rPr>
                <w:b/>
                <w:bCs/>
                <w:lang w:val="en-US"/>
              </w:rPr>
            </w:pPr>
            <w:r w:rsidRPr="00B67BFC">
              <w:rPr>
                <w:b/>
                <w:bCs/>
                <w:lang w:val="en-US"/>
              </w:rPr>
              <w:t>2028</w:t>
            </w:r>
          </w:p>
        </w:tc>
      </w:tr>
      <w:tr w:rsidRPr="00B67BFC" w:rsidR="00BD092E" w:rsidTr="00E03320" w14:paraId="5207CD89" w14:textId="77777777">
        <w:trPr>
          <w:trHeight w:val="148"/>
        </w:trPr>
        <w:tc>
          <w:tcPr>
            <w:tcW w:w="1417"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Mar>
              <w:top w:w="0" w:type="dxa"/>
              <w:left w:w="70" w:type="dxa"/>
              <w:bottom w:w="0" w:type="dxa"/>
              <w:right w:w="70" w:type="dxa"/>
            </w:tcMar>
            <w:vAlign w:val="bottom"/>
            <w:hideMark/>
          </w:tcPr>
          <w:p w:rsidRPr="00B67BFC" w:rsidR="00BD092E" w:rsidP="00E03320" w:rsidRDefault="00BD092E" w14:paraId="53B631BE" w14:textId="77777777">
            <w:pPr>
              <w:rPr>
                <w:lang w:val="en-US"/>
              </w:rPr>
            </w:pPr>
            <w:r w:rsidRPr="00B67BFC">
              <w:rPr>
                <w:lang w:val="en-US"/>
              </w:rPr>
              <w:t>17</w:t>
            </w:r>
          </w:p>
        </w:tc>
        <w:tc>
          <w:tcPr>
            <w:tcW w:w="1418"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Mar>
              <w:top w:w="0" w:type="dxa"/>
              <w:left w:w="70" w:type="dxa"/>
              <w:bottom w:w="0" w:type="dxa"/>
              <w:right w:w="70" w:type="dxa"/>
            </w:tcMar>
            <w:vAlign w:val="bottom"/>
            <w:hideMark/>
          </w:tcPr>
          <w:p w:rsidRPr="00B67BFC" w:rsidR="00BD092E" w:rsidP="00E03320" w:rsidRDefault="00BD092E" w14:paraId="0F9F3B70" w14:textId="77777777">
            <w:pPr>
              <w:rPr>
                <w:lang w:val="en-US"/>
              </w:rPr>
            </w:pPr>
            <w:r w:rsidRPr="00B67BFC">
              <w:rPr>
                <w:lang w:val="en-US"/>
              </w:rPr>
              <w:t>61</w:t>
            </w:r>
          </w:p>
        </w:tc>
        <w:tc>
          <w:tcPr>
            <w:tcW w:w="1417"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Mar>
              <w:top w:w="0" w:type="dxa"/>
              <w:left w:w="70" w:type="dxa"/>
              <w:bottom w:w="0" w:type="dxa"/>
              <w:right w:w="70" w:type="dxa"/>
            </w:tcMar>
            <w:vAlign w:val="bottom"/>
            <w:hideMark/>
          </w:tcPr>
          <w:p w:rsidRPr="00B67BFC" w:rsidR="00BD092E" w:rsidP="00E03320" w:rsidRDefault="00BD092E" w14:paraId="6AB8035D" w14:textId="77777777">
            <w:pPr>
              <w:rPr>
                <w:lang w:val="en-US"/>
              </w:rPr>
            </w:pPr>
            <w:r w:rsidRPr="00B67BFC">
              <w:rPr>
                <w:lang w:val="en-US"/>
              </w:rPr>
              <w:t>88</w:t>
            </w:r>
          </w:p>
        </w:tc>
        <w:tc>
          <w:tcPr>
            <w:tcW w:w="1418"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Mar>
              <w:top w:w="0" w:type="dxa"/>
              <w:left w:w="70" w:type="dxa"/>
              <w:bottom w:w="0" w:type="dxa"/>
              <w:right w:w="70" w:type="dxa"/>
            </w:tcMar>
            <w:vAlign w:val="bottom"/>
            <w:hideMark/>
          </w:tcPr>
          <w:p w:rsidRPr="00B67BFC" w:rsidR="00BD092E" w:rsidP="00E03320" w:rsidRDefault="00BD092E" w14:paraId="3065F229" w14:textId="77777777">
            <w:pPr>
              <w:rPr>
                <w:lang w:val="en-US"/>
              </w:rPr>
            </w:pPr>
            <w:r w:rsidRPr="00B67BFC">
              <w:rPr>
                <w:lang w:val="en-US"/>
              </w:rPr>
              <w:t>125</w:t>
            </w:r>
          </w:p>
        </w:tc>
      </w:tr>
    </w:tbl>
    <w:p w:rsidRPr="00B67BFC" w:rsidR="00BD092E" w:rsidP="00BD092E" w:rsidRDefault="00BD092E" w14:paraId="1064D4EB" w14:textId="77777777"/>
    <w:p w:rsidRPr="00B67BFC" w:rsidR="00BD092E" w:rsidP="00BD092E" w:rsidRDefault="00BD092E" w14:paraId="0748EE2D" w14:textId="77777777">
      <w:r w:rsidRPr="00B67BFC">
        <w:t xml:space="preserve">Afvalverbrandingsinstallaties vallen ook onder de CO2-heffing industrie, maar afgelopen voorjaar is besloten om deze inkomsten niet terug te sluizen naar het Klimaatfonds en om deze in te zetten als dekking voor het niet doorgaan van de circulaire plastic heffing. Indien wordt beoogd om de CO2-heffing ook voor afvalverbrandingsinstallaties op te schorten, dan leidt dit tot een budgettaire derving in het inkomstenkader oplopend naar 340 mln. in 2029 (119 mln. </w:t>
      </w:r>
      <w:proofErr w:type="spellStart"/>
      <w:r w:rsidRPr="00B67BFC">
        <w:t>struc</w:t>
      </w:r>
      <w:proofErr w:type="spellEnd"/>
      <w:r w:rsidRPr="00B67BFC">
        <w:t>.), die conform begrotingsregels gedekt dient te worden. Dit budgettaire effect en het dekkingsvraagstuk treedt niet op wanneer wordt besloten dat de CO2-heffing voor afvalverbrandingsinstallaties blijft bestaan.</w:t>
      </w:r>
    </w:p>
    <w:p w:rsidRPr="00B67BFC" w:rsidR="00BD092E" w:rsidP="00BD092E" w:rsidRDefault="00BD092E" w14:paraId="13E5EDAC" w14:textId="77777777"/>
    <w:p w:rsidRPr="00B67BFC" w:rsidR="00BD092E" w:rsidP="00BD092E" w:rsidRDefault="00BD092E" w14:paraId="76DB913C" w14:textId="77777777">
      <w:r w:rsidRPr="00B67BFC">
        <w:t>Tot slot leidt afschaffing van de CO2-heffing mogelijk tot een korting op de middelen die Nederland uit het Herstel- en Veerkrachtplan ontvangt, zie vraag 8. Dit dient conform de begrotingsregels te worden gedekt.</w:t>
      </w:r>
    </w:p>
    <w:p w:rsidRPr="00B67BFC" w:rsidR="00BD092E" w:rsidP="00BD092E" w:rsidRDefault="00BD092E" w14:paraId="605F9C03" w14:textId="77777777"/>
    <w:p w:rsidRPr="00B67BFC" w:rsidR="00BD092E" w:rsidP="00BD092E" w:rsidRDefault="00BD092E" w14:paraId="4EF10A9D" w14:textId="77777777">
      <w:pPr>
        <w:rPr>
          <w:i/>
          <w:iCs/>
        </w:rPr>
      </w:pPr>
      <w:r w:rsidRPr="00B67BFC">
        <w:rPr>
          <w:i/>
          <w:iCs/>
        </w:rPr>
        <w:t>Tabel 2. Geraamde opbrengst CO2-heffing industrie afvalverbrandingsinstallaties inclusief veranderingen in de CO2-heffing zoals opgenomen in het voorjaarspakket 2025 (in mln. €, prijspeil 2025)</w:t>
      </w:r>
    </w:p>
    <w:tbl>
      <w:tblPr>
        <w:tblStyle w:val="Tabelraster"/>
        <w:tblW w:w="9345" w:type="dxa"/>
        <w:tblLook w:val="04A0" w:firstRow="1" w:lastRow="0" w:firstColumn="1" w:lastColumn="0" w:noHBand="0" w:noVBand="1"/>
      </w:tblPr>
      <w:tblGrid>
        <w:gridCol w:w="1335"/>
        <w:gridCol w:w="1335"/>
        <w:gridCol w:w="1335"/>
        <w:gridCol w:w="1335"/>
        <w:gridCol w:w="1335"/>
        <w:gridCol w:w="1335"/>
        <w:gridCol w:w="1335"/>
      </w:tblGrid>
      <w:tr w:rsidRPr="00B67BFC" w:rsidR="00BD092E" w:rsidTr="00E03320" w14:paraId="68A915A3" w14:textId="77777777">
        <w:trPr>
          <w:trHeight w:val="265"/>
        </w:trPr>
        <w:tc>
          <w:tcPr>
            <w:tcW w:w="1335" w:type="dxa"/>
            <w:tcBorders>
              <w:top w:val="single" w:color="auto" w:sz="4" w:space="0"/>
              <w:left w:val="single" w:color="auto" w:sz="4" w:space="0"/>
              <w:bottom w:val="single" w:color="auto" w:sz="4" w:space="0"/>
              <w:right w:val="single" w:color="auto" w:sz="4" w:space="0"/>
            </w:tcBorders>
            <w:shd w:val="clear" w:color="auto" w:fill="002060"/>
            <w:hideMark/>
          </w:tcPr>
          <w:p w:rsidRPr="00B67BFC" w:rsidR="00BD092E" w:rsidP="00E03320" w:rsidRDefault="00BD092E" w14:paraId="1030F59D" w14:textId="77777777">
            <w:pPr>
              <w:rPr>
                <w:b/>
                <w:bCs/>
              </w:rPr>
            </w:pPr>
            <w:r w:rsidRPr="00B67BFC">
              <w:rPr>
                <w:b/>
                <w:bCs/>
              </w:rPr>
              <w:t>2025</w:t>
            </w:r>
          </w:p>
        </w:tc>
        <w:tc>
          <w:tcPr>
            <w:tcW w:w="1335" w:type="dxa"/>
            <w:tcBorders>
              <w:top w:val="single" w:color="auto" w:sz="4" w:space="0"/>
              <w:left w:val="single" w:color="auto" w:sz="4" w:space="0"/>
              <w:bottom w:val="single" w:color="auto" w:sz="4" w:space="0"/>
              <w:right w:val="single" w:color="auto" w:sz="4" w:space="0"/>
            </w:tcBorders>
            <w:shd w:val="clear" w:color="auto" w:fill="002060"/>
            <w:hideMark/>
          </w:tcPr>
          <w:p w:rsidRPr="00B67BFC" w:rsidR="00BD092E" w:rsidP="00E03320" w:rsidRDefault="00BD092E" w14:paraId="414B53F0" w14:textId="77777777">
            <w:pPr>
              <w:rPr>
                <w:b/>
                <w:bCs/>
              </w:rPr>
            </w:pPr>
            <w:r w:rsidRPr="00B67BFC">
              <w:rPr>
                <w:b/>
                <w:bCs/>
              </w:rPr>
              <w:t>2026</w:t>
            </w:r>
          </w:p>
        </w:tc>
        <w:tc>
          <w:tcPr>
            <w:tcW w:w="1335" w:type="dxa"/>
            <w:tcBorders>
              <w:top w:val="single" w:color="auto" w:sz="4" w:space="0"/>
              <w:left w:val="single" w:color="auto" w:sz="4" w:space="0"/>
              <w:bottom w:val="single" w:color="auto" w:sz="4" w:space="0"/>
              <w:right w:val="single" w:color="auto" w:sz="4" w:space="0"/>
            </w:tcBorders>
            <w:shd w:val="clear" w:color="auto" w:fill="002060"/>
            <w:hideMark/>
          </w:tcPr>
          <w:p w:rsidRPr="00B67BFC" w:rsidR="00BD092E" w:rsidP="00E03320" w:rsidRDefault="00BD092E" w14:paraId="01DFF81B" w14:textId="77777777">
            <w:pPr>
              <w:rPr>
                <w:b/>
                <w:bCs/>
              </w:rPr>
            </w:pPr>
            <w:r w:rsidRPr="00B67BFC">
              <w:rPr>
                <w:b/>
                <w:bCs/>
              </w:rPr>
              <w:t>2027</w:t>
            </w:r>
          </w:p>
        </w:tc>
        <w:tc>
          <w:tcPr>
            <w:tcW w:w="1335" w:type="dxa"/>
            <w:tcBorders>
              <w:top w:val="single" w:color="auto" w:sz="4" w:space="0"/>
              <w:left w:val="single" w:color="auto" w:sz="4" w:space="0"/>
              <w:bottom w:val="single" w:color="auto" w:sz="4" w:space="0"/>
              <w:right w:val="single" w:color="auto" w:sz="4" w:space="0"/>
            </w:tcBorders>
            <w:shd w:val="clear" w:color="auto" w:fill="002060"/>
            <w:hideMark/>
          </w:tcPr>
          <w:p w:rsidRPr="00B67BFC" w:rsidR="00BD092E" w:rsidP="00E03320" w:rsidRDefault="00BD092E" w14:paraId="083DD617" w14:textId="77777777">
            <w:pPr>
              <w:rPr>
                <w:b/>
                <w:bCs/>
              </w:rPr>
            </w:pPr>
            <w:r w:rsidRPr="00B67BFC">
              <w:rPr>
                <w:b/>
                <w:bCs/>
              </w:rPr>
              <w:t>2028</w:t>
            </w:r>
          </w:p>
        </w:tc>
        <w:tc>
          <w:tcPr>
            <w:tcW w:w="1335" w:type="dxa"/>
            <w:tcBorders>
              <w:top w:val="single" w:color="auto" w:sz="4" w:space="0"/>
              <w:left w:val="single" w:color="auto" w:sz="4" w:space="0"/>
              <w:bottom w:val="single" w:color="auto" w:sz="4" w:space="0"/>
              <w:right w:val="single" w:color="auto" w:sz="4" w:space="0"/>
            </w:tcBorders>
            <w:shd w:val="clear" w:color="auto" w:fill="002060"/>
            <w:hideMark/>
          </w:tcPr>
          <w:p w:rsidRPr="00B67BFC" w:rsidR="00BD092E" w:rsidP="00E03320" w:rsidRDefault="00BD092E" w14:paraId="474ADF43" w14:textId="77777777">
            <w:pPr>
              <w:rPr>
                <w:b/>
                <w:bCs/>
              </w:rPr>
            </w:pPr>
            <w:r w:rsidRPr="00B67BFC">
              <w:rPr>
                <w:b/>
                <w:bCs/>
              </w:rPr>
              <w:t>2029</w:t>
            </w:r>
          </w:p>
        </w:tc>
        <w:tc>
          <w:tcPr>
            <w:tcW w:w="1335" w:type="dxa"/>
            <w:tcBorders>
              <w:top w:val="single" w:color="auto" w:sz="4" w:space="0"/>
              <w:left w:val="single" w:color="auto" w:sz="4" w:space="0"/>
              <w:bottom w:val="single" w:color="auto" w:sz="4" w:space="0"/>
              <w:right w:val="single" w:color="auto" w:sz="4" w:space="0"/>
            </w:tcBorders>
            <w:shd w:val="clear" w:color="auto" w:fill="002060"/>
            <w:hideMark/>
          </w:tcPr>
          <w:p w:rsidRPr="00B67BFC" w:rsidR="00BD092E" w:rsidP="00E03320" w:rsidRDefault="00BD092E" w14:paraId="1E63F2F0" w14:textId="77777777">
            <w:pPr>
              <w:rPr>
                <w:b/>
                <w:bCs/>
              </w:rPr>
            </w:pPr>
            <w:r w:rsidRPr="00B67BFC">
              <w:rPr>
                <w:b/>
                <w:bCs/>
              </w:rPr>
              <w:t>2030</w:t>
            </w:r>
          </w:p>
        </w:tc>
        <w:tc>
          <w:tcPr>
            <w:tcW w:w="1335" w:type="dxa"/>
            <w:tcBorders>
              <w:top w:val="single" w:color="auto" w:sz="4" w:space="0"/>
              <w:left w:val="single" w:color="auto" w:sz="4" w:space="0"/>
              <w:bottom w:val="single" w:color="auto" w:sz="4" w:space="0"/>
              <w:right w:val="single" w:color="auto" w:sz="4" w:space="0"/>
            </w:tcBorders>
            <w:shd w:val="clear" w:color="auto" w:fill="002060"/>
            <w:hideMark/>
          </w:tcPr>
          <w:p w:rsidRPr="00B67BFC" w:rsidR="00BD092E" w:rsidP="00E03320" w:rsidRDefault="00BD092E" w14:paraId="7B6B9110" w14:textId="77777777">
            <w:pPr>
              <w:rPr>
                <w:b/>
                <w:bCs/>
              </w:rPr>
            </w:pPr>
            <w:proofErr w:type="spellStart"/>
            <w:r w:rsidRPr="00B67BFC">
              <w:rPr>
                <w:b/>
                <w:bCs/>
              </w:rPr>
              <w:t>Struc</w:t>
            </w:r>
            <w:proofErr w:type="spellEnd"/>
            <w:r w:rsidRPr="00B67BFC">
              <w:rPr>
                <w:b/>
                <w:bCs/>
              </w:rPr>
              <w:t>.</w:t>
            </w:r>
          </w:p>
        </w:tc>
      </w:tr>
      <w:tr w:rsidRPr="00B67BFC" w:rsidR="00BD092E" w:rsidTr="00E03320" w14:paraId="6BA1DEB5" w14:textId="77777777">
        <w:trPr>
          <w:trHeight w:val="247"/>
        </w:trPr>
        <w:tc>
          <w:tcPr>
            <w:tcW w:w="1335"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B67BFC" w:rsidR="00BD092E" w:rsidP="00E03320" w:rsidRDefault="00BD092E" w14:paraId="39AFEDC0" w14:textId="77777777">
            <w:r w:rsidRPr="00B67BFC">
              <w:t>0</w:t>
            </w:r>
          </w:p>
        </w:tc>
        <w:tc>
          <w:tcPr>
            <w:tcW w:w="1335"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B67BFC" w:rsidR="00BD092E" w:rsidP="00E03320" w:rsidRDefault="00BD092E" w14:paraId="2D40A8EE" w14:textId="77777777">
            <w:r w:rsidRPr="00B67BFC">
              <w:t>0</w:t>
            </w:r>
          </w:p>
        </w:tc>
        <w:tc>
          <w:tcPr>
            <w:tcW w:w="1335"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B67BFC" w:rsidR="00BD092E" w:rsidP="00E03320" w:rsidRDefault="00BD092E" w14:paraId="249D858F" w14:textId="77777777">
            <w:r w:rsidRPr="00B67BFC">
              <w:t>73</w:t>
            </w:r>
          </w:p>
        </w:tc>
        <w:tc>
          <w:tcPr>
            <w:tcW w:w="1335"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B67BFC" w:rsidR="00BD092E" w:rsidP="00E03320" w:rsidRDefault="00BD092E" w14:paraId="4A198349" w14:textId="77777777">
            <w:r w:rsidRPr="00B67BFC">
              <w:t>136</w:t>
            </w:r>
          </w:p>
        </w:tc>
        <w:tc>
          <w:tcPr>
            <w:tcW w:w="1335"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B67BFC" w:rsidR="00BD092E" w:rsidP="00E03320" w:rsidRDefault="00BD092E" w14:paraId="4FCE542C" w14:textId="77777777">
            <w:r w:rsidRPr="00B67BFC">
              <w:t>340</w:t>
            </w:r>
          </w:p>
        </w:tc>
        <w:tc>
          <w:tcPr>
            <w:tcW w:w="1335"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B67BFC" w:rsidR="00BD092E" w:rsidP="00E03320" w:rsidRDefault="00BD092E" w14:paraId="397FEEDB" w14:textId="77777777">
            <w:r w:rsidRPr="00B67BFC">
              <w:t>290</w:t>
            </w:r>
          </w:p>
        </w:tc>
        <w:tc>
          <w:tcPr>
            <w:tcW w:w="1335"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B67BFC" w:rsidR="00BD092E" w:rsidP="00E03320" w:rsidRDefault="00BD092E" w14:paraId="7BFB1D59" w14:textId="77777777">
            <w:r w:rsidRPr="00B67BFC">
              <w:t>119</w:t>
            </w:r>
          </w:p>
        </w:tc>
      </w:tr>
    </w:tbl>
    <w:p w:rsidRPr="00B67BFC" w:rsidR="00BD092E" w:rsidP="00BD092E" w:rsidRDefault="00BD092E" w14:paraId="3BE9BDDD" w14:textId="77777777"/>
    <w:p w:rsidRPr="00B67BFC" w:rsidR="00BD092E" w:rsidP="00BD092E" w:rsidRDefault="00BD092E" w14:paraId="1125A7B9" w14:textId="77777777">
      <w:r w:rsidRPr="00B67BFC">
        <w:t>10</w:t>
      </w:r>
    </w:p>
    <w:p w:rsidRPr="00B67BFC" w:rsidR="00BD092E" w:rsidP="00BD092E" w:rsidRDefault="00BD092E" w14:paraId="6CA00EEA" w14:textId="77777777">
      <w:r w:rsidRPr="00B67BFC">
        <w:t>Deelt u de mening dat goed beleid een combinatie van beprijzen, subsidiëren en normeren is? Is er met het wegvallen van de CO2-heffing, een maatregel die een manier van beprijzen is die in combinatie met de maatwerkafspraken (subsidies) tot verduurzaming van de industrie moet leiden, nog wel balans in het beleid om de maatwerkafspraken door te zetten?</w:t>
      </w:r>
    </w:p>
    <w:p w:rsidRPr="00B67BFC" w:rsidR="00BD092E" w:rsidP="00BD092E" w:rsidRDefault="00BD092E" w14:paraId="53691560" w14:textId="77777777"/>
    <w:p w:rsidRPr="00B67BFC" w:rsidR="00BD092E" w:rsidP="00BD092E" w:rsidRDefault="00BD092E" w14:paraId="0165F326" w14:textId="77777777">
      <w:r w:rsidRPr="00B67BFC">
        <w:t>Antwoord</w:t>
      </w:r>
    </w:p>
    <w:p w:rsidRPr="00B67BFC" w:rsidR="00BD092E" w:rsidP="00BD092E" w:rsidRDefault="00BD092E" w14:paraId="3F2DA22A" w14:textId="77777777">
      <w:r w:rsidRPr="00B67BFC">
        <w:t xml:space="preserve">Goed beleid vergt een balans tussen verschillende beleidsmaatregelen die op een doeltreffende en doelmatige wijze bijdragen aan het behalen van de gestelde beleidsdoelen. Voor de verduurzaming van de industrie heeft het kabinet gekozen voor een beleidsmix met zowel </w:t>
      </w:r>
      <w:proofErr w:type="spellStart"/>
      <w:r w:rsidRPr="00B67BFC">
        <w:t>beprijzing</w:t>
      </w:r>
      <w:proofErr w:type="spellEnd"/>
      <w:r w:rsidRPr="00B67BFC">
        <w:t xml:space="preserve"> als subsidiëring. </w:t>
      </w:r>
    </w:p>
    <w:p w:rsidRPr="00B67BFC" w:rsidR="00BD092E" w:rsidP="00BD092E" w:rsidRDefault="00BD092E" w14:paraId="54B3094A" w14:textId="77777777"/>
    <w:p w:rsidRPr="00B67BFC" w:rsidR="00BD092E" w:rsidP="00BD092E" w:rsidRDefault="00BD092E" w14:paraId="73782DA0" w14:textId="77777777">
      <w:r w:rsidRPr="00B67BFC">
        <w:t xml:space="preserve">In het kader van de verduurzaming van de industrie is er reeds een </w:t>
      </w:r>
      <w:proofErr w:type="spellStart"/>
      <w:r w:rsidRPr="00B67BFC">
        <w:t>beprijzend</w:t>
      </w:r>
      <w:proofErr w:type="spellEnd"/>
      <w:r w:rsidRPr="00B67BFC">
        <w:t xml:space="preserve"> instrument dat emissiereductie op Europese schaal borgt: het EU ETS. Dit instrument blijft het grootste deel van de Nederlandse industrie prikkelen om te verduurzamen, waarbij er in 2040 geen emissierechten meer worden uitgegeven. </w:t>
      </w:r>
    </w:p>
    <w:p w:rsidRPr="00B67BFC" w:rsidR="00BD092E" w:rsidP="00BD092E" w:rsidRDefault="00BD092E" w14:paraId="647B59D8" w14:textId="77777777"/>
    <w:p w:rsidRPr="00B67BFC" w:rsidR="00BD092E" w:rsidP="00BD092E" w:rsidRDefault="00BD092E" w14:paraId="6B32A415" w14:textId="77777777">
      <w:r w:rsidRPr="00B67BFC">
        <w:t>Het EU ETS is echter onvoldoende om onze nationale doelen in 2030 te borgen, doordat de prijsprikkel te laag is om tijdig de benodigde investeringen te prikkelen. In de Trajectverkenning Klimaatneutraal 2050 PBL (2024) geeft het PBL aan dat de dalende emissieplafonds van het ETS1 en het ETS2, leiden tot een oplopende prijs voor CO2-uitstoot maar dat deze prijs naar verwachting niet voldoende is om de beoogde emissiereductie naar klimaatneutraliteit te realiseren. Tegelijkertijd stelt het PBL dat een hoge CO2-prijs zonder aanvullend beleid nevenschade kan creëren zoals inkomsteneffecten of weglek.</w:t>
      </w:r>
      <w:r w:rsidRPr="00B67BFC">
        <w:rPr>
          <w:vertAlign w:val="superscript"/>
        </w:rPr>
        <w:footnoteReference w:id="9"/>
      </w:r>
      <w:r w:rsidRPr="00B67BFC">
        <w:t xml:space="preserve"> Een te lage prikkel vanuit het ETS is een risico voor emissiereductiepotentieel waarvoor infrastructuur moet worden aangelegd of nieuwe technologieën voor moet worden ontwikkeld. Investeringen in verduurzaming van de industrie kennen doorgaans lange investeringsritmes en doorlooptijden. </w:t>
      </w:r>
    </w:p>
    <w:p w:rsidRPr="00B67BFC" w:rsidR="00BD092E" w:rsidP="00BD092E" w:rsidRDefault="00BD092E" w14:paraId="10CDBA0F" w14:textId="77777777"/>
    <w:p w:rsidRPr="00B67BFC" w:rsidR="00BD092E" w:rsidP="00BD092E" w:rsidRDefault="00BD092E" w14:paraId="3F6791D0" w14:textId="77777777">
      <w:r w:rsidRPr="00B67BFC">
        <w:t>Mede daarom gaat het kabinet in gesprek met de industrie en overige stakeholders om te onderzoeken welke alternatieve borgende maatregelen denkbaar zijn.</w:t>
      </w:r>
    </w:p>
    <w:p w:rsidRPr="00B67BFC" w:rsidR="00BD092E" w:rsidP="00BD092E" w:rsidRDefault="00BD092E" w14:paraId="0351B388" w14:textId="77777777"/>
    <w:p w:rsidRPr="00B67BFC" w:rsidR="00BD092E" w:rsidP="00BD092E" w:rsidRDefault="00BD092E" w14:paraId="70610926" w14:textId="77777777">
      <w:r w:rsidRPr="00B67BFC">
        <w:t>Het kabinet gaat door met de maatwerkaanpak, ook bij een eventuele opschorting van de CO2-heffing.</w:t>
      </w:r>
      <w:r w:rsidRPr="00B67BFC">
        <w:rPr>
          <w:vertAlign w:val="superscript"/>
        </w:rPr>
        <w:footnoteReference w:id="10"/>
      </w:r>
      <w:r w:rsidRPr="00B67BFC">
        <w:t xml:space="preserve"> Bedrijven die mogelijkheden zien om met ambitieuze plannen te verduurzamen en daarmee bij te dragen aan de klimaatdoelen wil het kabinet met de gerichte maatwerkaanpak waar mogelijk blijven ondersteunen. </w:t>
      </w:r>
    </w:p>
    <w:p w:rsidRPr="00B67BFC" w:rsidR="00BD092E" w:rsidP="00BD092E" w:rsidRDefault="00BD092E" w14:paraId="55A8DF1B" w14:textId="77777777"/>
    <w:p w:rsidRPr="00B67BFC" w:rsidR="00BD092E" w:rsidP="00BD092E" w:rsidRDefault="00BD092E" w14:paraId="4A83F9BB" w14:textId="77777777">
      <w:r w:rsidRPr="00B67BFC">
        <w:lastRenderedPageBreak/>
        <w:t>11</w:t>
      </w:r>
    </w:p>
    <w:p w:rsidRPr="00B67BFC" w:rsidR="00BD092E" w:rsidP="00BD092E" w:rsidRDefault="00BD092E" w14:paraId="44105C7E" w14:textId="77777777">
      <w:r w:rsidRPr="00B67BFC">
        <w:t>Wat verwacht u dat deze motie betekent voor de betrouwbaarheid van de Nederlandse overheid als partner bij het Klimaatakkoord, aangezien de CO2-heffing is tot stand gekomen in het Klimaatakkoord waarbij met vele partijen onderhandeld is?</w:t>
      </w:r>
    </w:p>
    <w:p w:rsidRPr="00B67BFC" w:rsidR="00BD092E" w:rsidP="00BD092E" w:rsidRDefault="00BD092E" w14:paraId="42B91448" w14:textId="77777777"/>
    <w:p w:rsidRPr="00B67BFC" w:rsidR="00BD092E" w:rsidP="00BD092E" w:rsidRDefault="00BD092E" w14:paraId="514BE513" w14:textId="77777777">
      <w:r w:rsidRPr="00B67BFC">
        <w:t>Antwoord</w:t>
      </w:r>
    </w:p>
    <w:p w:rsidRPr="00B67BFC" w:rsidR="00BD092E" w:rsidP="00BD092E" w:rsidRDefault="00BD092E" w14:paraId="679FD85A" w14:textId="77777777">
      <w:r w:rsidRPr="00B67BFC">
        <w:t xml:space="preserve">Het Klimaatakkoord is in gesprek met vele partijen tot stand gekomen. Na het Klimaatakkoord is dat gesprek niet gestopt. Het kabinet is regelmatig in gesprek met partijen, zowel natuur- en milieuorganisaties als de industrie, om een juiste balans te vinden in het klimaatbeleid. Juist doordat we in een transitie zitten is het belangrijk deze gesprekken voort te zetten en soms bij te sturen. Toch kan bijsturing de betrouwbaarheid soms schaden, zeker als dit abrupt gebeurt. Juist daarom moet dit bijsturen weloverwogen en in goed overleg gebeuren. Daarom vindt het kabinet het ook belangrijk om naar aanleiding van de motie Van Dijk c.s. te onderzoeken wat de bredere consequenties zijn van het opschorten van de CO2-heffing en in gesprek met de industrie en overige stakeholders te kijken naar alternatieve borgende maatregelen.      </w:t>
      </w:r>
      <w:r w:rsidRPr="00B67BFC">
        <w:br/>
      </w:r>
    </w:p>
    <w:p w:rsidRPr="00B67BFC" w:rsidR="00BD092E" w:rsidP="00BD092E" w:rsidRDefault="00BD092E" w14:paraId="7A3BD559" w14:textId="77777777">
      <w:r w:rsidRPr="00B67BFC">
        <w:t>12</w:t>
      </w:r>
    </w:p>
    <w:p w:rsidRPr="00B67BFC" w:rsidR="00BD092E" w:rsidP="00BD092E" w:rsidRDefault="00BD092E" w14:paraId="6474C3AC" w14:textId="77777777">
      <w:r w:rsidRPr="00B67BFC">
        <w:t>Wat doet dit denkt u met het draagvlak voor de noodzakelijke transitie, aangezien onderzoek over draagvlak voor klimaatbeleid laat zien dat mensen klimaatbeleid steunen, mits duidelijk is dat het grote bedrijfsleven die veel CO2 uitstoot veroorzaken ook hun eerlijke deel doen?</w:t>
      </w:r>
    </w:p>
    <w:p w:rsidRPr="00B67BFC" w:rsidR="00BD092E" w:rsidP="00BD092E" w:rsidRDefault="00BD092E" w14:paraId="6E837F90" w14:textId="77777777"/>
    <w:p w:rsidRPr="00B67BFC" w:rsidR="00BD092E" w:rsidP="00BD092E" w:rsidRDefault="00BD092E" w14:paraId="45C1AE99" w14:textId="77777777">
      <w:r w:rsidRPr="00B67BFC">
        <w:t>Antwoord</w:t>
      </w:r>
      <w:r w:rsidRPr="00B67BFC">
        <w:br/>
        <w:t>Wanneer we kijken naar wat mensen vooral verstaan onder ‘rechtvaardig klimaatbeleid’, dan gaat het onder andere over het principe dat de vervuiler, degene die uitstoot veroorzaakt, daar ook voor betaalt. Het opschorten van een CO2-heffing zou volgens deze beredenering kunnen leiden tot een gevoel van onrechtvaardigheid en daarmee minder draagvlak in de samenleving voor het klimaatbeleid. Tegelijkertijd betekent het opschorten van de CO2-heffing niet dat vervuilende activiteiten in de industrie niet meer belast worden of dat de verduurzaming niet doorgaat. Juist door het emissiehandelssysteem blijft de industrie betalen voor hun uitstoot. Het EU ETS is echter onvoldoende om de nationale doelen in 2030 te borgen. Mede daarom gaat het kabinet in gesprek met de industrie en overige stakeholders om te onderzoeken welke alternatieve borgende maatregelen mogelijk zijn.</w:t>
      </w:r>
    </w:p>
    <w:p w:rsidRPr="00B67BFC" w:rsidR="00BD092E" w:rsidP="00BD092E" w:rsidRDefault="00BD092E" w14:paraId="32540404" w14:textId="77777777"/>
    <w:p w:rsidRPr="00B67BFC" w:rsidR="00BD092E" w:rsidP="00BD092E" w:rsidRDefault="00BD092E" w14:paraId="5C2ADE86" w14:textId="77777777">
      <w:r w:rsidRPr="00B67BFC">
        <w:lastRenderedPageBreak/>
        <w:t>13</w:t>
      </w:r>
    </w:p>
    <w:p w:rsidRPr="00B67BFC" w:rsidR="00BD092E" w:rsidP="00BD092E" w:rsidRDefault="00BD092E" w14:paraId="73A7A90C" w14:textId="77777777">
      <w:r w:rsidRPr="00B67BFC">
        <w:t>Bent u bekend met het artikel ‘CO2-heffing past prima in Nederlands klimaatbeleid’[1] in het ESB van 25 juni 2025?</w:t>
      </w:r>
      <w:r w:rsidRPr="00B67BFC">
        <w:br/>
      </w:r>
      <w:r w:rsidRPr="00B67BFC">
        <w:br/>
        <w:t>Antwoord</w:t>
      </w:r>
    </w:p>
    <w:p w:rsidRPr="00B67BFC" w:rsidR="00BD092E" w:rsidP="00BD092E" w:rsidRDefault="00BD092E" w14:paraId="020D208F" w14:textId="77777777">
      <w:r w:rsidRPr="00B67BFC">
        <w:t>Ja.</w:t>
      </w:r>
    </w:p>
    <w:p w:rsidRPr="00B67BFC" w:rsidR="00BD092E" w:rsidP="00BD092E" w:rsidRDefault="00BD092E" w14:paraId="4CA6B057" w14:textId="77777777"/>
    <w:p w:rsidRPr="00B67BFC" w:rsidR="00BD092E" w:rsidP="00BD092E" w:rsidRDefault="00BD092E" w14:paraId="31C7E1C2" w14:textId="77777777">
      <w:r w:rsidRPr="00B67BFC">
        <w:t>14</w:t>
      </w:r>
    </w:p>
    <w:p w:rsidRPr="00B67BFC" w:rsidR="00BD092E" w:rsidP="00BD092E" w:rsidRDefault="00BD092E" w14:paraId="5C2CAC63" w14:textId="77777777">
      <w:r w:rsidRPr="00B67BFC">
        <w:t xml:space="preserve">Onderschrijft u dat de effectieve CO2-heffing tot 2030 beperkt is? Onderschrijft u dat vooral European Union </w:t>
      </w:r>
      <w:proofErr w:type="spellStart"/>
      <w:r w:rsidRPr="00B67BFC">
        <w:t>Emissions</w:t>
      </w:r>
      <w:proofErr w:type="spellEnd"/>
      <w:r w:rsidRPr="00B67BFC">
        <w:t xml:space="preserve"> </w:t>
      </w:r>
      <w:proofErr w:type="spellStart"/>
      <w:r w:rsidRPr="00B67BFC">
        <w:t>Trading</w:t>
      </w:r>
      <w:proofErr w:type="spellEnd"/>
      <w:r w:rsidRPr="00B67BFC">
        <w:t xml:space="preserve"> System (EU ETS) het CO2-tarief in 2030 bepaalt en dat er dus geen concurrentienadeel is voor Nederlandse bedrijven? Bent u het eens met de conclusie van de schrijver dat het argument dat de CO2-heffing de industrie op kosten jaagt gaat dus niet klopt?</w:t>
      </w:r>
    </w:p>
    <w:p w:rsidRPr="00B67BFC" w:rsidR="00BD092E" w:rsidP="00BD092E" w:rsidRDefault="00BD092E" w14:paraId="38DE34CC" w14:textId="77777777"/>
    <w:p w:rsidRPr="00B67BFC" w:rsidR="00BD092E" w:rsidP="00BD092E" w:rsidRDefault="00BD092E" w14:paraId="3F9C3FFD" w14:textId="77777777">
      <w:r w:rsidRPr="00B67BFC">
        <w:t>Antwoord</w:t>
      </w:r>
    </w:p>
    <w:p w:rsidRPr="00B67BFC" w:rsidR="00BD092E" w:rsidP="00BD092E" w:rsidRDefault="00BD092E" w14:paraId="684FAA7E" w14:textId="77777777">
      <w:r w:rsidRPr="00B67BFC">
        <w:t xml:space="preserve">De CO2-heffing is vormgegeven als een minimumprijs boven op het EU ETS. Dit betekent dat het effectieve tarief afneemt naarmate de EU ETS prijs toeneemt en </w:t>
      </w:r>
      <w:proofErr w:type="spellStart"/>
      <w:r w:rsidRPr="00B67BFC">
        <w:t>vice</w:t>
      </w:r>
      <w:proofErr w:type="spellEnd"/>
      <w:r w:rsidRPr="00B67BFC">
        <w:t xml:space="preserve"> versa. Het effectieve tarief loopt naar verwachting jaarlijks op doordat het tarief van de CO2-heffing sneller stijgt dan de verwachte EU ETS prijs. De daadwerkelijke effectieve heffing in 2030 is onzeker, mede doordat het EU ETS in 2026 wordt herzien. </w:t>
      </w:r>
    </w:p>
    <w:p w:rsidRPr="00B67BFC" w:rsidR="00BD092E" w:rsidP="00BD092E" w:rsidRDefault="00BD092E" w14:paraId="534C9EF4" w14:textId="77777777"/>
    <w:p w:rsidRPr="00B67BFC" w:rsidR="00BD092E" w:rsidP="00BD092E" w:rsidRDefault="00BD092E" w14:paraId="3D7AE828" w14:textId="77777777">
      <w:r w:rsidRPr="00B67BFC">
        <w:t xml:space="preserve">Het kabinet is het niet eens met de conclusie dat de CO2-heffing niet leidt tot kosten voor de industrie. </w:t>
      </w:r>
      <w:r w:rsidRPr="00C30167">
        <w:t>In het artikel wordt bijvoorbeeld niet stilgestaan bij het feit dat de voorwaarden voor verduurzaming op dit moment ontbreken waardoor bedrijven niet in staat zijn om tijdig te verduurzamen en zo de heffing voor te blijven. Bovendien</w:t>
      </w:r>
      <w:r w:rsidRPr="00B67BFC">
        <w:t xml:space="preserve"> laten de speelveldtoetsen van de afgelopen jaren consequent zien dat de nationale CO2-heffing het risico op weglekeffecten vergroot doordat het instrument tot additionele kosten kan leiden. Dit blijkt ook uit de geraamde inkomsten zoals gepresenteerd in het antwoord op vraag 9.</w:t>
      </w:r>
    </w:p>
    <w:p w:rsidRPr="00B67BFC" w:rsidR="00BD092E" w:rsidP="00BD092E" w:rsidRDefault="00BD092E" w14:paraId="2F29277D" w14:textId="77777777"/>
    <w:p w:rsidRPr="00B67BFC" w:rsidR="00BD092E" w:rsidP="00BD092E" w:rsidRDefault="00BD092E" w14:paraId="58DCC1E5" w14:textId="77777777">
      <w:r w:rsidRPr="00B67BFC">
        <w:t>15</w:t>
      </w:r>
    </w:p>
    <w:p w:rsidRPr="00B67BFC" w:rsidR="00BD092E" w:rsidP="00BD092E" w:rsidRDefault="00BD092E" w14:paraId="28076614" w14:textId="77777777">
      <w:r w:rsidRPr="00B67BFC">
        <w:t>Onderschrijft u dat het zogenaamde ‘waterbedeffect’, namelijk dat bedrijven zich door een hogere CO2-beprijzing enkel zouden verplaatsen, wordt beperkt door het marktstabiliteitsmechanisme (MSR)? Bent u het dan ook eens met de schrijver dat het argument van koolstoflekkage twijfelachtig is?</w:t>
      </w:r>
    </w:p>
    <w:p w:rsidRPr="00B67BFC" w:rsidR="00BD092E" w:rsidP="00BD092E" w:rsidRDefault="00BD092E" w14:paraId="3EE3D8B8" w14:textId="77777777"/>
    <w:p w:rsidRPr="00B67BFC" w:rsidR="00BD092E" w:rsidP="00BD092E" w:rsidRDefault="00BD092E" w14:paraId="45FDE150" w14:textId="77777777">
      <w:r w:rsidRPr="00B67BFC">
        <w:lastRenderedPageBreak/>
        <w:t>Antwoord</w:t>
      </w:r>
    </w:p>
    <w:p w:rsidRPr="00B67BFC" w:rsidR="00BD092E" w:rsidP="00BD092E" w:rsidRDefault="00BD092E" w14:paraId="37B98511" w14:textId="77777777">
      <w:r w:rsidRPr="00B67BFC">
        <w:t>Het kabinet onderschrijft dat de marketstabiliteitsreserve (MSR) het zogenoemde ‘waterbedeffect’ beperkt, maar niet dat daarmee geen sprake kan zijn van koolstoflekkage.</w:t>
      </w:r>
    </w:p>
    <w:p w:rsidRPr="00B67BFC" w:rsidR="00BD092E" w:rsidP="00BD092E" w:rsidRDefault="00BD092E" w14:paraId="6332B032" w14:textId="77777777"/>
    <w:p w:rsidRPr="00B67BFC" w:rsidR="00BD092E" w:rsidP="00BD092E" w:rsidRDefault="00BD092E" w14:paraId="2A9E51E5" w14:textId="77777777">
      <w:r w:rsidRPr="00B67BFC">
        <w:t>Er is sprake van een waterbedeffect wanneer het klimaateffect van nationaal klimaatbeleid (deels) teniet wordt gedaan, doordat het aanbod van emissierechten in het EU ETS constant blijft. De uitstoot die in Nederland wordt bespaard, wordt in dat geval elders in de EU uitgestoten. Zolang er een overschot aan ETS-rechten in omloop is, vermindert de MSR het aanbod aan rechten door 24% van de totale rechten in omloop in mindering te brengen van toekomstige veilingen, waardoor het waterbedeffect deels wordt gemitigeerd. Er is sprake van een overschot wanneer er meer dan 833 miljoen ETS-rechten in omloop zijn. Het aantal rechten in omloop ligt momenteel ruim boven deze grens, waardoor het waterbedeffect nu deels wordt gemitigeerd. Als het aantal rechten lang genoeg boven de grenswaarde blijft kan het zo zijn dat alle extra emissierechten die op de markt komen door additionele verduurzaming in Nederland worden vernietigd. Dit werkt als volgt: als er door extra emissiereductie in NL 100 ETS-rechten ongebruikt blijven, worden er een jaar later 24 ETS-rechten vernietigd. Weer een jaar later worden er 18 vernietigd (24% van de resterende 76), enzovoorts. Op dit moment ligt het totale aantal rechten in omloop ruim boven deze grens, waardoor het waterbedeffect deels wordt gemitigeerd. Echter, zodra het totale aantal rechten in omloop ónder de gestelde grens komt, zal het waterbedeffect volledig in werking treden.</w:t>
      </w:r>
    </w:p>
    <w:p w:rsidRPr="00B67BFC" w:rsidR="00BD092E" w:rsidP="00BD092E" w:rsidRDefault="00BD092E" w14:paraId="16B88EF8" w14:textId="77777777"/>
    <w:p w:rsidRPr="00B67BFC" w:rsidR="00BD092E" w:rsidP="00BD092E" w:rsidRDefault="00BD092E" w14:paraId="41516C3A" w14:textId="77777777">
      <w:r w:rsidRPr="00B67BFC">
        <w:t xml:space="preserve">Het waterbedeffect is echter niet de enige vorm van koolstoflekkage. Als Nederlandse bedrijven hogere kosten hebben dan bedrijven in het buitenland wegens een nationale heffing, kan dit (andere factoren buiten beschouwing gelaten) bijdragen aan het verplaatsen van activiteiten naar het buitenland. Dit effect is onafhankelijk van het waterbedeffect. Het risico op deze weglekeffecten laat het kabinet jaarlijks onderzoeken in de zogenaamde speelveldtoetsen. Uit deze onderzoeken blijkt duidelijk dat het Nederlandse klimaatbeleid het risico op weglek vergroot. Het kabinet deelt dan ook niet de mening dat het argument van koolstoflekkage twijfelachtig is. </w:t>
      </w:r>
      <w:r w:rsidRPr="00B67BFC">
        <w:br/>
      </w:r>
    </w:p>
    <w:p w:rsidRPr="00B67BFC" w:rsidR="00BD092E" w:rsidP="00BD092E" w:rsidRDefault="00BD092E" w14:paraId="6BB1C662" w14:textId="77777777">
      <w:r w:rsidRPr="00B67BFC">
        <w:t>16</w:t>
      </w:r>
    </w:p>
    <w:p w:rsidRPr="00B67BFC" w:rsidR="00BD092E" w:rsidP="00BD092E" w:rsidRDefault="00BD092E" w14:paraId="1E148B39" w14:textId="77777777">
      <w:r w:rsidRPr="00B67BFC">
        <w:t>Kunt u deze vragen ruim voor het plenaire debat over de Wijziging van de begrotingsstaat van het Ministerie van KGG en het Klimaatfonds (gepland op 2 juli 2025) beantwoorden?</w:t>
      </w:r>
    </w:p>
    <w:p w:rsidRPr="00B67BFC" w:rsidR="00BD092E" w:rsidP="00BD092E" w:rsidRDefault="00BD092E" w14:paraId="152DD9A9" w14:textId="77777777"/>
    <w:p w:rsidRPr="00B67BFC" w:rsidR="00BD092E" w:rsidP="00BD092E" w:rsidRDefault="00BD092E" w14:paraId="1B03D49B" w14:textId="77777777">
      <w:r w:rsidRPr="00B67BFC">
        <w:lastRenderedPageBreak/>
        <w:t>Antwoord</w:t>
      </w:r>
    </w:p>
    <w:p w:rsidRPr="00B67BFC" w:rsidR="00BD092E" w:rsidP="00BD092E" w:rsidRDefault="00BD092E" w14:paraId="7CFFF83A" w14:textId="77777777">
      <w:r w:rsidRPr="00C30167">
        <w:t>Deze vragen zijn zo snel als mogelijk beantwoord.</w:t>
      </w:r>
    </w:p>
    <w:p w:rsidRPr="00B67BFC" w:rsidR="00BD092E" w:rsidP="00BD092E" w:rsidRDefault="00BD092E" w14:paraId="02E2B293" w14:textId="77777777"/>
    <w:p w:rsidR="00BD092E" w:rsidP="00BD092E" w:rsidRDefault="00BD092E" w14:paraId="4DE95B49" w14:textId="77777777"/>
    <w:p w:rsidR="00BD092E" w:rsidP="00BD092E" w:rsidRDefault="00BD092E" w14:paraId="0C5FEDF8" w14:textId="77777777"/>
    <w:p w:rsidR="00BD092E" w:rsidP="00BD092E" w:rsidRDefault="00BD092E" w14:paraId="57390388" w14:textId="77777777"/>
    <w:p w:rsidR="00BD092E" w:rsidP="00BD092E" w:rsidRDefault="00BD092E" w14:paraId="41495A56" w14:textId="77777777"/>
    <w:p w:rsidR="00BD092E" w:rsidP="00BD092E" w:rsidRDefault="00BD092E" w14:paraId="361B7E98" w14:textId="77777777"/>
    <w:p w:rsidR="00BD092E" w:rsidP="00BD092E" w:rsidRDefault="00BD092E" w14:paraId="57D44F87" w14:textId="77777777"/>
    <w:p w:rsidR="00BD092E" w:rsidP="00BD092E" w:rsidRDefault="00BD092E" w14:paraId="06FBE4BC" w14:textId="77777777"/>
    <w:p w:rsidR="002C3023" w:rsidRDefault="002C3023" w14:paraId="0882A8FD" w14:textId="77777777"/>
    <w:sectPr w:rsidR="002C3023" w:rsidSect="00BD092E">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ECBDF" w14:textId="77777777" w:rsidR="00BD092E" w:rsidRDefault="00BD092E" w:rsidP="00BD092E">
      <w:pPr>
        <w:spacing w:after="0" w:line="240" w:lineRule="auto"/>
      </w:pPr>
      <w:r>
        <w:separator/>
      </w:r>
    </w:p>
  </w:endnote>
  <w:endnote w:type="continuationSeparator" w:id="0">
    <w:p w14:paraId="1BDBA160" w14:textId="77777777" w:rsidR="00BD092E" w:rsidRDefault="00BD092E" w:rsidP="00BD0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25C4A" w14:textId="77777777" w:rsidR="00BD092E" w:rsidRPr="00BD092E" w:rsidRDefault="00BD092E" w:rsidP="00BD09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EDE40" w14:textId="77777777" w:rsidR="00BD092E" w:rsidRPr="00BD092E" w:rsidRDefault="00BD092E" w:rsidP="00BD092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1E6B9" w14:textId="77777777" w:rsidR="00BD092E" w:rsidRPr="00BD092E" w:rsidRDefault="00BD092E" w:rsidP="00BD09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8E08D" w14:textId="77777777" w:rsidR="00BD092E" w:rsidRDefault="00BD092E" w:rsidP="00BD092E">
      <w:pPr>
        <w:spacing w:after="0" w:line="240" w:lineRule="auto"/>
      </w:pPr>
      <w:r>
        <w:separator/>
      </w:r>
    </w:p>
  </w:footnote>
  <w:footnote w:type="continuationSeparator" w:id="0">
    <w:p w14:paraId="6CE9953A" w14:textId="77777777" w:rsidR="00BD092E" w:rsidRDefault="00BD092E" w:rsidP="00BD092E">
      <w:pPr>
        <w:spacing w:after="0" w:line="240" w:lineRule="auto"/>
      </w:pPr>
      <w:r>
        <w:continuationSeparator/>
      </w:r>
    </w:p>
  </w:footnote>
  <w:footnote w:id="1">
    <w:p w14:paraId="54071DC0" w14:textId="77777777" w:rsidR="00BD092E" w:rsidRDefault="00BD092E" w:rsidP="00BD092E">
      <w:pPr>
        <w:pStyle w:val="Voetnoottekst"/>
      </w:pPr>
      <w:r>
        <w:rPr>
          <w:rStyle w:val="Voetnootmarkering"/>
        </w:rPr>
        <w:footnoteRef/>
      </w:r>
      <w:r>
        <w:t xml:space="preserve"> Het volledige overzicht van emissie per installatie is </w:t>
      </w:r>
      <w:hyperlink r:id="rId1" w:history="1">
        <w:r>
          <w:rPr>
            <w:rStyle w:val="Hyperlink"/>
          </w:rPr>
          <w:t>hier</w:t>
        </w:r>
      </w:hyperlink>
      <w:r>
        <w:t xml:space="preserve"> beschikbaar </w:t>
      </w:r>
    </w:p>
  </w:footnote>
  <w:footnote w:id="2">
    <w:p w14:paraId="300D437D" w14:textId="77777777" w:rsidR="00BD092E" w:rsidRDefault="00BD092E" w:rsidP="00BD092E">
      <w:pPr>
        <w:pStyle w:val="Voetnoottekst"/>
      </w:pPr>
      <w:r>
        <w:rPr>
          <w:rStyle w:val="Voetnootmarkering"/>
        </w:rPr>
        <w:footnoteRef/>
      </w:r>
      <w:r>
        <w:t xml:space="preserve"> Deze informatie is beschikbaar via het </w:t>
      </w:r>
      <w:hyperlink r:id="rId2" w:history="1">
        <w:r>
          <w:rPr>
            <w:rStyle w:val="Hyperlink"/>
          </w:rPr>
          <w:t>klimaatdashboard</w:t>
        </w:r>
      </w:hyperlink>
    </w:p>
  </w:footnote>
  <w:footnote w:id="3">
    <w:p w14:paraId="07E2EC1A" w14:textId="77777777" w:rsidR="00BD092E" w:rsidRDefault="00BD092E" w:rsidP="00BD092E">
      <w:pPr>
        <w:pStyle w:val="Voetnoottekst"/>
      </w:pPr>
      <w:bookmarkStart w:id="1" w:name="OLE_LINK5"/>
      <w:r>
        <w:rPr>
          <w:rStyle w:val="Voetnootmarkering"/>
        </w:rPr>
        <w:footnoteRef/>
      </w:r>
      <w:r>
        <w:t xml:space="preserve"> Volledige overzicht van knelpunten uit de RVO analyse (2024) </w:t>
      </w:r>
      <w:hyperlink r:id="rId3" w:history="1">
        <w:r>
          <w:rPr>
            <w:rStyle w:val="Hyperlink"/>
          </w:rPr>
          <w:t>hier</w:t>
        </w:r>
      </w:hyperlink>
      <w:bookmarkEnd w:id="1"/>
    </w:p>
  </w:footnote>
  <w:footnote w:id="4">
    <w:p w14:paraId="2788652F" w14:textId="77777777" w:rsidR="00BD092E" w:rsidRDefault="00BD092E" w:rsidP="00BD092E">
      <w:pPr>
        <w:pStyle w:val="Voetnoottekst"/>
        <w:rPr>
          <w:lang w:val="en-US"/>
        </w:rPr>
      </w:pPr>
      <w:r>
        <w:rPr>
          <w:rStyle w:val="Voetnootmarkering"/>
        </w:rPr>
        <w:footnoteRef/>
      </w:r>
      <w:r>
        <w:rPr>
          <w:lang w:val="en-US"/>
        </w:rPr>
        <w:t xml:space="preserve"> PBL (2024); </w:t>
      </w:r>
      <w:proofErr w:type="spellStart"/>
      <w:r>
        <w:rPr>
          <w:lang w:val="en-US"/>
        </w:rPr>
        <w:t>Analyse</w:t>
      </w:r>
      <w:proofErr w:type="spellEnd"/>
      <w:r>
        <w:rPr>
          <w:lang w:val="en-US"/>
        </w:rPr>
        <w:t xml:space="preserve"> </w:t>
      </w:r>
      <w:proofErr w:type="spellStart"/>
      <w:r>
        <w:rPr>
          <w:lang w:val="en-US"/>
        </w:rPr>
        <w:t>tarief</w:t>
      </w:r>
      <w:proofErr w:type="spellEnd"/>
      <w:r>
        <w:rPr>
          <w:lang w:val="en-US"/>
        </w:rPr>
        <w:t xml:space="preserve"> CO2-heffing </w:t>
      </w:r>
      <w:proofErr w:type="spellStart"/>
      <w:r>
        <w:rPr>
          <w:lang w:val="en-US"/>
        </w:rPr>
        <w:t>industrie</w:t>
      </w:r>
      <w:proofErr w:type="spellEnd"/>
      <w:r>
        <w:rPr>
          <w:lang w:val="en-US"/>
        </w:rPr>
        <w:t xml:space="preserve"> (</w:t>
      </w:r>
      <w:hyperlink r:id="rId4" w:history="1">
        <w:r>
          <w:rPr>
            <w:rStyle w:val="Hyperlink"/>
            <w:lang w:val="en-US"/>
          </w:rPr>
          <w:t>link</w:t>
        </w:r>
      </w:hyperlink>
      <w:r>
        <w:rPr>
          <w:lang w:val="en-US"/>
        </w:rPr>
        <w:t>)</w:t>
      </w:r>
    </w:p>
  </w:footnote>
  <w:footnote w:id="5">
    <w:p w14:paraId="369E7758" w14:textId="77777777" w:rsidR="00BD092E" w:rsidRDefault="00BD092E" w:rsidP="00BD092E">
      <w:pPr>
        <w:pStyle w:val="Voetnoottekst"/>
        <w:rPr>
          <w:lang w:val="en-US"/>
        </w:rPr>
      </w:pPr>
      <w:r>
        <w:rPr>
          <w:rStyle w:val="Voetnootmarkering"/>
        </w:rPr>
        <w:footnoteRef/>
      </w:r>
      <w:r>
        <w:rPr>
          <w:lang w:val="en-US"/>
        </w:rPr>
        <w:t xml:space="preserve"> </w:t>
      </w:r>
      <w:proofErr w:type="spellStart"/>
      <w:r>
        <w:rPr>
          <w:lang w:val="en-US"/>
        </w:rPr>
        <w:t>NEa</w:t>
      </w:r>
      <w:proofErr w:type="spellEnd"/>
      <w:r>
        <w:rPr>
          <w:lang w:val="en-US"/>
        </w:rPr>
        <w:t xml:space="preserve"> </w:t>
      </w:r>
      <w:hyperlink r:id="rId5" w:history="1">
        <w:proofErr w:type="spellStart"/>
        <w:r>
          <w:rPr>
            <w:rStyle w:val="Hyperlink"/>
            <w:lang w:val="en-US"/>
          </w:rPr>
          <w:t>tarieven</w:t>
        </w:r>
        <w:proofErr w:type="spellEnd"/>
      </w:hyperlink>
      <w:r>
        <w:rPr>
          <w:lang w:val="en-US"/>
        </w:rPr>
        <w:t xml:space="preserve"> Co2-heffing</w:t>
      </w:r>
    </w:p>
  </w:footnote>
  <w:footnote w:id="6">
    <w:p w14:paraId="78553871" w14:textId="77777777" w:rsidR="00BD092E" w:rsidRDefault="00BD092E" w:rsidP="00BD092E">
      <w:pPr>
        <w:rPr>
          <w:lang w:val="en-US"/>
        </w:rPr>
      </w:pPr>
    </w:p>
  </w:footnote>
  <w:footnote w:id="7">
    <w:p w14:paraId="78634035" w14:textId="77777777" w:rsidR="00BD092E" w:rsidRDefault="00BD092E" w:rsidP="00BD092E">
      <w:pPr>
        <w:pStyle w:val="Voetnoottekst"/>
      </w:pPr>
      <w:r>
        <w:rPr>
          <w:rStyle w:val="Voetnootmarkering"/>
        </w:rPr>
        <w:footnoteRef/>
      </w:r>
      <w:r>
        <w:t xml:space="preserve"> Volledige overzicht van knelpunten uit de RVO analyse (2024) </w:t>
      </w:r>
      <w:hyperlink r:id="rId6" w:history="1">
        <w:r>
          <w:rPr>
            <w:rStyle w:val="Hyperlink"/>
          </w:rPr>
          <w:t>hier</w:t>
        </w:r>
      </w:hyperlink>
    </w:p>
  </w:footnote>
  <w:footnote w:id="8">
    <w:p w14:paraId="12A32685" w14:textId="77777777" w:rsidR="00BD092E" w:rsidRDefault="00BD092E" w:rsidP="00BD092E">
      <w:pPr>
        <w:pStyle w:val="Voetnoottekst"/>
        <w:rPr>
          <w:sz w:val="14"/>
          <w:szCs w:val="14"/>
        </w:rPr>
      </w:pPr>
      <w:r>
        <w:rPr>
          <w:rFonts w:cstheme="minorHAnsi"/>
          <w:sz w:val="14"/>
          <w:szCs w:val="14"/>
          <w:vertAlign w:val="superscript"/>
        </w:rPr>
        <w:footnoteRef/>
      </w:r>
      <w:r>
        <w:rPr>
          <w:rFonts w:cstheme="minorHAnsi"/>
          <w:sz w:val="14"/>
          <w:szCs w:val="14"/>
        </w:rPr>
        <w:t xml:space="preserve"> De afspraken zijn vastgelegd in twee juridisch bindende mijlpalen die toezien op: 1) de inwerkingtreding van een wet tot vaststelling van een nationale CO2-heffing voor de industrie en 2) geleidelijke verhoging van de CO2-heffing naar 82,80 euro per ton in 2026. Deze hervorming is reeds behaald. Het terugdraaien van een hervorming is niet toegestaan volgens art. 24(3) van de Herstel- en Veerkrachtfaciliteit (HVF) Verordening.</w:t>
      </w:r>
    </w:p>
  </w:footnote>
  <w:footnote w:id="9">
    <w:p w14:paraId="18097A23" w14:textId="77777777" w:rsidR="00BD092E" w:rsidRDefault="00BD092E" w:rsidP="00BD092E">
      <w:pPr>
        <w:pStyle w:val="Voetnoottekst"/>
      </w:pPr>
      <w:r>
        <w:rPr>
          <w:rStyle w:val="Voetnootmarkering"/>
        </w:rPr>
        <w:footnoteRef/>
      </w:r>
      <w:r>
        <w:t xml:space="preserve"> </w:t>
      </w:r>
      <w:hyperlink r:id="rId7" w:history="1">
        <w:r>
          <w:rPr>
            <w:rStyle w:val="Hyperlink"/>
          </w:rPr>
          <w:t>https://www.pbl.nl/system/files/document/2024-04/pbl-2024-trajectverkenning-klimaatneutraal-2050-5093.pdf</w:t>
        </w:r>
      </w:hyperlink>
      <w:r>
        <w:t xml:space="preserve"> </w:t>
      </w:r>
    </w:p>
  </w:footnote>
  <w:footnote w:id="10">
    <w:p w14:paraId="3E9F3E92" w14:textId="77777777" w:rsidR="00BD092E" w:rsidRDefault="00BD092E" w:rsidP="00BD092E">
      <w:pPr>
        <w:pStyle w:val="Voetnoottekst"/>
      </w:pPr>
      <w:r>
        <w:rPr>
          <w:rStyle w:val="Voetnootmarkering"/>
        </w:rPr>
        <w:footnoteRef/>
      </w:r>
      <w:r>
        <w:t xml:space="preserve"> Zie ook de recent gepubliceerde kamerbrief met betrekking tot maatwerk. Kamerstukken 29826, nr. 260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6BDB" w14:textId="77777777" w:rsidR="00BD092E" w:rsidRPr="00BD092E" w:rsidRDefault="00BD092E" w:rsidP="00BD09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EFD73" w14:textId="77777777" w:rsidR="00BD092E" w:rsidRPr="00BD092E" w:rsidRDefault="00BD092E" w:rsidP="00BD092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F029" w14:textId="77777777" w:rsidR="00BD092E" w:rsidRPr="00BD092E" w:rsidRDefault="00BD092E" w:rsidP="00BD092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92E"/>
    <w:rsid w:val="002C3023"/>
    <w:rsid w:val="006B4C9C"/>
    <w:rsid w:val="00BD092E"/>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73EC9"/>
  <w15:chartTrackingRefBased/>
  <w15:docId w15:val="{693381D7-DE14-45B1-BDCF-A3C705D34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09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D09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D09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D09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D09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D09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09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09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09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09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D09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D09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D09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D09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D09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09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09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092E"/>
    <w:rPr>
      <w:rFonts w:eastAsiaTheme="majorEastAsia" w:cstheme="majorBidi"/>
      <w:color w:val="272727" w:themeColor="text1" w:themeTint="D8"/>
    </w:rPr>
  </w:style>
  <w:style w:type="paragraph" w:styleId="Titel">
    <w:name w:val="Title"/>
    <w:basedOn w:val="Standaard"/>
    <w:next w:val="Standaard"/>
    <w:link w:val="TitelChar"/>
    <w:uiPriority w:val="10"/>
    <w:qFormat/>
    <w:rsid w:val="00BD09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09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09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09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09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092E"/>
    <w:rPr>
      <w:i/>
      <w:iCs/>
      <w:color w:val="404040" w:themeColor="text1" w:themeTint="BF"/>
    </w:rPr>
  </w:style>
  <w:style w:type="paragraph" w:styleId="Lijstalinea">
    <w:name w:val="List Paragraph"/>
    <w:basedOn w:val="Standaard"/>
    <w:uiPriority w:val="34"/>
    <w:qFormat/>
    <w:rsid w:val="00BD092E"/>
    <w:pPr>
      <w:ind w:left="720"/>
      <w:contextualSpacing/>
    </w:pPr>
  </w:style>
  <w:style w:type="character" w:styleId="Intensievebenadrukking">
    <w:name w:val="Intense Emphasis"/>
    <w:basedOn w:val="Standaardalinea-lettertype"/>
    <w:uiPriority w:val="21"/>
    <w:qFormat/>
    <w:rsid w:val="00BD092E"/>
    <w:rPr>
      <w:i/>
      <w:iCs/>
      <w:color w:val="0F4761" w:themeColor="accent1" w:themeShade="BF"/>
    </w:rPr>
  </w:style>
  <w:style w:type="paragraph" w:styleId="Duidelijkcitaat">
    <w:name w:val="Intense Quote"/>
    <w:basedOn w:val="Standaard"/>
    <w:next w:val="Standaard"/>
    <w:link w:val="DuidelijkcitaatChar"/>
    <w:uiPriority w:val="30"/>
    <w:qFormat/>
    <w:rsid w:val="00BD09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D092E"/>
    <w:rPr>
      <w:i/>
      <w:iCs/>
      <w:color w:val="0F4761" w:themeColor="accent1" w:themeShade="BF"/>
    </w:rPr>
  </w:style>
  <w:style w:type="character" w:styleId="Intensieveverwijzing">
    <w:name w:val="Intense Reference"/>
    <w:basedOn w:val="Standaardalinea-lettertype"/>
    <w:uiPriority w:val="32"/>
    <w:qFormat/>
    <w:rsid w:val="00BD092E"/>
    <w:rPr>
      <w:b/>
      <w:bCs/>
      <w:smallCaps/>
      <w:color w:val="0F4761" w:themeColor="accent1" w:themeShade="BF"/>
      <w:spacing w:val="5"/>
    </w:rPr>
  </w:style>
  <w:style w:type="paragraph" w:styleId="Koptekst">
    <w:name w:val="header"/>
    <w:basedOn w:val="Standaard"/>
    <w:link w:val="KoptekstChar"/>
    <w:rsid w:val="00BD092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D092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D092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D092E"/>
    <w:rPr>
      <w:rFonts w:ascii="Verdana" w:eastAsia="Times New Roman" w:hAnsi="Verdana" w:cs="Times New Roman"/>
      <w:kern w:val="0"/>
      <w:sz w:val="18"/>
      <w:szCs w:val="24"/>
      <w:lang w:eastAsia="nl-NL"/>
      <w14:ligatures w14:val="none"/>
    </w:rPr>
  </w:style>
  <w:style w:type="table" w:styleId="Tabelraster">
    <w:name w:val="Table Grid"/>
    <w:basedOn w:val="Standaardtabel"/>
    <w:uiPriority w:val="39"/>
    <w:rsid w:val="00BD092E"/>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BD092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D092E"/>
    <w:rPr>
      <w:rFonts w:ascii="Verdana" w:hAnsi="Verdana"/>
      <w:noProof/>
      <w:sz w:val="13"/>
      <w:szCs w:val="24"/>
      <w:lang w:eastAsia="nl-NL"/>
    </w:rPr>
  </w:style>
  <w:style w:type="paragraph" w:customStyle="1" w:styleId="Huisstijl-Gegeven">
    <w:name w:val="Huisstijl-Gegeven"/>
    <w:basedOn w:val="Standaard"/>
    <w:link w:val="Huisstijl-GegevenCharChar"/>
    <w:rsid w:val="00BD092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D092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D092E"/>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BD092E"/>
    <w:rPr>
      <w:color w:val="0000FF"/>
      <w:u w:val="single"/>
    </w:rPr>
  </w:style>
  <w:style w:type="paragraph" w:customStyle="1" w:styleId="Huisstijl-Retouradres">
    <w:name w:val="Huisstijl-Retouradres"/>
    <w:basedOn w:val="Standaard"/>
    <w:rsid w:val="00BD092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D092E"/>
    <w:pPr>
      <w:spacing w:after="0"/>
    </w:pPr>
    <w:rPr>
      <w:b/>
    </w:rPr>
  </w:style>
  <w:style w:type="paragraph" w:customStyle="1" w:styleId="Huisstijl-Paginanummering">
    <w:name w:val="Huisstijl-Paginanummering"/>
    <w:basedOn w:val="Standaard"/>
    <w:rsid w:val="00BD092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D092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BD092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BD092E"/>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BD092E"/>
    <w:rPr>
      <w:vertAlign w:val="superscript"/>
    </w:rPr>
  </w:style>
  <w:style w:type="paragraph" w:styleId="Geenafstand">
    <w:name w:val="No Spacing"/>
    <w:uiPriority w:val="1"/>
    <w:qFormat/>
    <w:rsid w:val="00BD09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83402768-f5cb-4bcf-9c1b-192f18a9bfc7/file" TargetMode="External"/><Relationship Id="rId7" Type="http://schemas.openxmlformats.org/officeDocument/2006/relationships/hyperlink" Target="https://www.pbl.nl/system/files/document/2024-04/pbl-2024-trajectverkenning-klimaatneutraal-2050-5093.pdf" TargetMode="External"/><Relationship Id="rId2" Type="http://schemas.openxmlformats.org/officeDocument/2006/relationships/hyperlink" Target="https://dashboardklimaatbeleid.nl/mosaic/mosaic/industrie" TargetMode="External"/><Relationship Id="rId1" Type="http://schemas.openxmlformats.org/officeDocument/2006/relationships/hyperlink" Target="https://www.emissieautoriteit.nl/onderwerpen/rapportages-en-cijfers-co2-heffing/documenten/publicatie/2024/04/24/industriele-emissies-per-installatie-2021-2023" TargetMode="External"/><Relationship Id="rId6" Type="http://schemas.openxmlformats.org/officeDocument/2006/relationships/hyperlink" Target="https://open.overheid.nl/documenten/83402768-f5cb-4bcf-9c1b-192f18a9bfc7/file" TargetMode="External"/><Relationship Id="rId5" Type="http://schemas.openxmlformats.org/officeDocument/2006/relationships/hyperlink" Target="https://www.emissieautoriteit.nl/onderwerpen/tarieven-co2-heffing" TargetMode="External"/><Relationship Id="rId4" Type="http://schemas.openxmlformats.org/officeDocument/2006/relationships/hyperlink" Target="https://www.pbl.nl/system/files/document/2024-04/pbl-2024-analyse-tarief-co2-heffing-industrie-tariefstudie-2024_5250.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3450</ap:Words>
  <ap:Characters>18975</ap:Characters>
  <ap:DocSecurity>0</ap:DocSecurity>
  <ap:Lines>158</ap:Lines>
  <ap:Paragraphs>44</ap:Paragraphs>
  <ap:ScaleCrop>false</ap:ScaleCrop>
  <ap:LinksUpToDate>false</ap:LinksUpToDate>
  <ap:CharactersWithSpaces>22381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2025-07-18T06:03:00.0000000Z</dcterms:created>
  <dcterms:modified xsi:type="dcterms:W3CDTF">2025-07-18T06:03:00.0000000Z</dcterms:modified>
  <version/>
  <category/>
</coreProperties>
</file>