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7DCB" w:rsidP="00277DCB" w:rsidRDefault="00277DCB" w14:paraId="377428A0" w14:textId="5420C4D8">
      <w:pPr>
        <w:pStyle w:val="Geenafstand"/>
      </w:pPr>
      <w:r>
        <w:t>AH 2754</w:t>
      </w:r>
    </w:p>
    <w:p w:rsidR="00277DCB" w:rsidP="00277DCB" w:rsidRDefault="00277DCB" w14:paraId="77579B58" w14:textId="77777777">
      <w:pPr>
        <w:pStyle w:val="Geenafstand"/>
      </w:pPr>
      <w:r w:rsidRPr="00673F2B">
        <w:t>2025Z12965</w:t>
      </w:r>
    </w:p>
    <w:p w:rsidR="00277DCB" w:rsidP="00277DCB" w:rsidRDefault="00277DCB" w14:paraId="5C72F237" w14:textId="77777777">
      <w:pPr>
        <w:pStyle w:val="Geenafstand"/>
      </w:pPr>
    </w:p>
    <w:p w:rsidR="00277DCB" w:rsidP="00277DCB" w:rsidRDefault="00277DCB" w14:paraId="38CC2578" w14:textId="77777777">
      <w:pPr>
        <w:pStyle w:val="Geenafstand"/>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18 juli 2025</w:t>
      </w:r>
    </w:p>
    <w:p w:rsidR="00277DCB" w:rsidP="00277DCB" w:rsidRDefault="00277DCB" w14:paraId="4DADC3B7" w14:textId="77777777">
      <w:pPr>
        <w:pStyle w:val="Geenafstand"/>
        <w:rPr>
          <w:sz w:val="24"/>
          <w:szCs w:val="24"/>
        </w:rPr>
      </w:pPr>
    </w:p>
    <w:p w:rsidR="00277DCB" w:rsidP="00277DCB" w:rsidRDefault="00277DCB" w14:paraId="1938FAB6" w14:textId="77777777">
      <w:pPr>
        <w:pStyle w:val="Geenafstand"/>
        <w:rPr>
          <w:sz w:val="24"/>
          <w:szCs w:val="24"/>
        </w:rPr>
      </w:pPr>
      <w:r w:rsidRPr="00277DCB">
        <w:rPr>
          <w:sz w:val="24"/>
          <w:szCs w:val="24"/>
        </w:rPr>
        <w:t>Zie ook Aanhangsel Handelingen, vergaderjaar 2024-2025, nr.</w:t>
      </w:r>
      <w:r>
        <w:rPr>
          <w:sz w:val="24"/>
          <w:szCs w:val="24"/>
        </w:rPr>
        <w:t xml:space="preserve"> 2568</w:t>
      </w:r>
    </w:p>
    <w:p w:rsidRPr="00673F2B" w:rsidR="00277DCB" w:rsidP="00277DCB" w:rsidRDefault="00277DCB" w14:paraId="077C4888" w14:textId="78F990E8">
      <w:pPr>
        <w:pStyle w:val="Geenafstand"/>
      </w:pPr>
      <w:r w:rsidRPr="00673F2B">
        <w:br/>
      </w:r>
    </w:p>
    <w:p w:rsidRPr="00673F2B" w:rsidR="00277DCB" w:rsidP="00277DCB" w:rsidRDefault="00277DCB" w14:paraId="45F74D11" w14:textId="77777777">
      <w:pPr>
        <w:rPr>
          <w:szCs w:val="18"/>
        </w:rPr>
      </w:pPr>
      <w:r w:rsidRPr="00673F2B">
        <w:rPr>
          <w:szCs w:val="18"/>
        </w:rPr>
        <w:t>1</w:t>
      </w:r>
    </w:p>
    <w:p w:rsidRPr="00673F2B" w:rsidR="00277DCB" w:rsidP="00277DCB" w:rsidRDefault="00277DCB" w14:paraId="3B545FD7" w14:textId="77777777">
      <w:pPr>
        <w:rPr>
          <w:szCs w:val="18"/>
        </w:rPr>
      </w:pPr>
      <w:r w:rsidRPr="00673F2B">
        <w:rPr>
          <w:szCs w:val="18"/>
        </w:rPr>
        <w:t>Wat zijn de belangrijkste redenen dat de geplande uitbreiding door TenneT van het hoogspanningsnet van de provincies Gelderland en Utrecht en de Flevopolder, oorspronkelijk voorzien voor 2029, nu vertraagd is tot ten minste 2033 en mogelijk zelfs tot 2035?</w:t>
      </w:r>
      <w:r w:rsidRPr="00673F2B">
        <w:rPr>
          <w:szCs w:val="18"/>
        </w:rPr>
        <w:br/>
      </w:r>
    </w:p>
    <w:p w:rsidRPr="00673F2B" w:rsidR="00277DCB" w:rsidP="00277DCB" w:rsidRDefault="00277DCB" w14:paraId="2EED8CB4" w14:textId="77777777">
      <w:pPr>
        <w:rPr>
          <w:szCs w:val="18"/>
        </w:rPr>
      </w:pPr>
      <w:r w:rsidRPr="00673F2B">
        <w:rPr>
          <w:szCs w:val="18"/>
        </w:rPr>
        <w:t>Antwoord</w:t>
      </w:r>
    </w:p>
    <w:p w:rsidR="00277DCB" w:rsidP="00277DCB" w:rsidRDefault="00277DCB" w14:paraId="6A3BA7CF" w14:textId="77777777">
      <w:r>
        <w:t xml:space="preserve">Met name de bouw van het hoogspanningsstation in Utrecht Noord duurt langer dan gepland. De vertraging is het gevolg van een combinatie van factoren: een complex en dichtbevolkt zoekgebied, moeizame grondverwerving en technische uitdagingen die groter zijn dan was voorzien. Daarnaast lijkt TenneT uit te zijn gegaan van een te optimistische planning. Netbeheerders, medeoverheden en Rijk zetten alles op alles om vertraging tot 2035 zo veel mogelijk te beperken. Deze vertraging is ook voor het kabinet zeer teleurstellend, gezien de urgentie om de schaarste aan transportcapaciteit op het elektriciteitsnet te verminderen, in het bijzonder ook in deze regio. Dit is een tegenvaller met negatieve gevolgen voor </w:t>
      </w:r>
      <w:r w:rsidRPr="00684A9C">
        <w:t xml:space="preserve">de economie, </w:t>
      </w:r>
      <w:r>
        <w:t xml:space="preserve">de </w:t>
      </w:r>
      <w:r w:rsidRPr="00684A9C">
        <w:t>woningbouw en de voortgang van de energietransitie.</w:t>
      </w:r>
    </w:p>
    <w:p w:rsidR="00277DCB" w:rsidP="00277DCB" w:rsidRDefault="00277DCB" w14:paraId="0DA1A8E9" w14:textId="77777777"/>
    <w:p w:rsidR="00277DCB" w:rsidP="00277DCB" w:rsidRDefault="00277DCB" w14:paraId="0DD9BE07" w14:textId="77777777">
      <w:pPr>
        <w:rPr>
          <w:szCs w:val="18"/>
        </w:rPr>
      </w:pPr>
      <w:r>
        <w:t>Het kabinet spant zich tot het uiterste in om, samen met alle betrokken betrokken partijen, TenneT en de provincie Utrecht voorop, iedere mogelijkheid om de realisatie van dit project te versnellen aan te grijpen. Daarbij zal het kabinet elke stap zetten die het kan zetten om alle cruciale elektriciteitsprojecten te versnellen of minimaal te voorkomen dat ze vertraging oplopen. Iedere maand die kan worden ingelopen is winst voor de maatschappelijke uitdagingen op het gebied van economie, woningbouw en de energietransitie.</w:t>
      </w:r>
    </w:p>
    <w:p w:rsidRPr="00673F2B" w:rsidR="00277DCB" w:rsidP="00277DCB" w:rsidRDefault="00277DCB" w14:paraId="755BBBAD" w14:textId="77777777">
      <w:pPr>
        <w:rPr>
          <w:szCs w:val="18"/>
        </w:rPr>
      </w:pPr>
      <w:r>
        <w:rPr>
          <w:szCs w:val="18"/>
        </w:rPr>
        <w:t>2</w:t>
      </w:r>
    </w:p>
    <w:p w:rsidRPr="00673F2B" w:rsidR="00277DCB" w:rsidP="00277DCB" w:rsidRDefault="00277DCB" w14:paraId="5B3BD155" w14:textId="77777777">
      <w:pPr>
        <w:rPr>
          <w:szCs w:val="18"/>
        </w:rPr>
      </w:pPr>
      <w:r w:rsidRPr="00673F2B">
        <w:rPr>
          <w:szCs w:val="18"/>
        </w:rPr>
        <w:t>Hoe groot acht u de kans dat de nieuwe realisatiedatum van 2033 wel wordt gehaald? Wat is er nodig om dat mogelijk te maken, bijvoorbeeld met betrekking tot het snel aanwijzen van een definitieve locatie? </w:t>
      </w:r>
      <w:r w:rsidRPr="00673F2B">
        <w:rPr>
          <w:szCs w:val="18"/>
        </w:rPr>
        <w:br/>
        <w:t xml:space="preserve"> </w:t>
      </w:r>
    </w:p>
    <w:p w:rsidRPr="00673F2B" w:rsidR="00277DCB" w:rsidP="00277DCB" w:rsidRDefault="00277DCB" w14:paraId="20DAA2E4" w14:textId="77777777">
      <w:r>
        <w:lastRenderedPageBreak/>
        <w:t>Antwoord</w:t>
      </w:r>
    </w:p>
    <w:p w:rsidRPr="00673F2B" w:rsidR="00277DCB" w:rsidP="00277DCB" w:rsidRDefault="00277DCB" w14:paraId="7EA7C5B6" w14:textId="77777777">
      <w:pPr>
        <w:rPr>
          <w:b/>
        </w:rPr>
      </w:pPr>
      <w:r>
        <w:t xml:space="preserve">Betrokken partijen concluderen gezamenlijk dat 2033 een realistische planning is.  Met name een spoedige locatiekeuze is nodig om dat mogelijk te maken, omdat hiervan diverse vervolgprocessen zoals onderzoek, technisch ontwerp en aankoop van grond afhankelijk zijn. De provincie en TenneT zijn voortvarend aan de slag gegaan met een vanuit het participatietraject aangedragen locatie. De inzet van deze partijen is om vlak na de zomer te komen tot een locatiekeuze. Een aantal andere maatregelen (zie de antwoorden op vraag 4, 5 en 6) draagt er aan bij dat de kans dat 2033 wordt gehaald, wordt vergroot en het kiezen van de locatie mogelijk zelfs meerdere maanden wordt versneld. </w:t>
      </w:r>
      <w:r>
        <w:br/>
      </w:r>
    </w:p>
    <w:p w:rsidR="00277DCB" w:rsidP="00277DCB" w:rsidRDefault="00277DCB" w14:paraId="0558E2DD" w14:textId="77777777">
      <w:pPr>
        <w:rPr>
          <w:szCs w:val="18"/>
        </w:rPr>
      </w:pPr>
      <w:bookmarkStart w:name="_Hlk202785108" w:id="0"/>
      <w:r w:rsidRPr="00673F2B">
        <w:rPr>
          <w:szCs w:val="18"/>
        </w:rPr>
        <w:t>3</w:t>
      </w:r>
    </w:p>
    <w:p w:rsidRPr="00673F2B" w:rsidR="00277DCB" w:rsidP="00277DCB" w:rsidRDefault="00277DCB" w14:paraId="3E03E29F" w14:textId="77777777">
      <w:pPr>
        <w:rPr>
          <w:szCs w:val="18"/>
        </w:rPr>
      </w:pPr>
      <w:r w:rsidRPr="00673F2B">
        <w:rPr>
          <w:szCs w:val="18"/>
        </w:rPr>
        <w:t>Welke gevolgen heeft deze vertraging voor huishoudens en bedrijven en voor projecten op het gebied van elektrificatie en verduurzaming in de provincies Gelderland, Utrecht en Flevoland? </w:t>
      </w:r>
      <w:r w:rsidRPr="00673F2B">
        <w:rPr>
          <w:szCs w:val="18"/>
        </w:rPr>
        <w:br/>
      </w:r>
    </w:p>
    <w:p w:rsidRPr="00673F2B" w:rsidR="00277DCB" w:rsidP="00277DCB" w:rsidRDefault="00277DCB" w14:paraId="3619B94A" w14:textId="77777777">
      <w:pPr>
        <w:rPr>
          <w:szCs w:val="18"/>
        </w:rPr>
      </w:pPr>
      <w:r w:rsidRPr="00673F2B">
        <w:rPr>
          <w:szCs w:val="18"/>
        </w:rPr>
        <w:t>Antwoord</w:t>
      </w:r>
    </w:p>
    <w:p w:rsidR="00277DCB" w:rsidP="00277DCB" w:rsidRDefault="00277DCB" w14:paraId="13E62952" w14:textId="77777777">
      <w:pPr>
        <w:rPr>
          <w:szCs w:val="18"/>
        </w:rPr>
      </w:pPr>
      <w:bookmarkStart w:name="OLE_LINK44" w:id="1"/>
      <w:r w:rsidRPr="00673F2B">
        <w:rPr>
          <w:szCs w:val="18"/>
        </w:rPr>
        <w:t xml:space="preserve">De realisatie van het station in Utrecht is een randvoorwaarde voor het </w:t>
      </w:r>
      <w:r>
        <w:rPr>
          <w:szCs w:val="18"/>
        </w:rPr>
        <w:t>verminderen</w:t>
      </w:r>
      <w:r w:rsidRPr="00673F2B">
        <w:rPr>
          <w:szCs w:val="18"/>
        </w:rPr>
        <w:t xml:space="preserve"> van netcongestie in de gehele regio Gelderland, Utrecht en Flevopolder</w:t>
      </w:r>
      <w:bookmarkEnd w:id="1"/>
      <w:r w:rsidRPr="00673F2B">
        <w:rPr>
          <w:szCs w:val="18"/>
        </w:rPr>
        <w:t xml:space="preserve"> (FGU). Voor het FGU gebied wordt gewerkt aan een tiental maatregelen die moeten leiden tot meer flexibiliteit of een lagere piekvraag, zodat waar mogelijk partijen aangesloten kunnen blijven worden</w:t>
      </w:r>
      <w:r>
        <w:rPr>
          <w:szCs w:val="18"/>
        </w:rPr>
        <w:t xml:space="preserve">. </w:t>
      </w:r>
      <w:r w:rsidRPr="00673F2B">
        <w:rPr>
          <w:szCs w:val="18"/>
        </w:rPr>
        <w:t xml:space="preserve">Op dit moment staan bedrijven op een wachtlijst voor een grootverbruikersaansluiting. Zij zullen als gevolg van de vertraging waarschijnlijk nog langer moeten wachten. </w:t>
      </w:r>
      <w:bookmarkStart w:name="_Hlk202192142" w:id="2"/>
      <w:r w:rsidRPr="00673F2B">
        <w:rPr>
          <w:szCs w:val="18"/>
        </w:rPr>
        <w:t xml:space="preserve">De netbeheerders maken momenteel nieuwe prognoses, waarin zowel het effect van de maatregelen als de vertraging van de uitbreiding van het net worden meegenomen. Deze prognoses worden dit najaar opgeleverd. Dan wordt ook inzichtelijk wat de eventuele gevolgen zijn van de vertraging op specifieke andere groepen. </w:t>
      </w:r>
      <w:r w:rsidRPr="00DB0F94">
        <w:rPr>
          <w:szCs w:val="18"/>
        </w:rPr>
        <w:t>Overigens hebben energieleverancier Eneco en TenneT onlangs afspraken gemaakt om twee gascentrales bij de stad Utrecht langer in bedrijf te houden om de druk op het elektriciteitsnet in de provincie Utrecht te verlichten</w:t>
      </w:r>
      <w:r w:rsidRPr="002944A5">
        <w:rPr>
          <w:rStyle w:val="Voetnootmarkering"/>
          <w:szCs w:val="18"/>
        </w:rPr>
        <w:footnoteReference w:id="1"/>
      </w:r>
      <w:r w:rsidRPr="002944A5">
        <w:rPr>
          <w:szCs w:val="18"/>
        </w:rPr>
        <w:t>.</w:t>
      </w:r>
    </w:p>
    <w:bookmarkEnd w:id="0"/>
    <w:bookmarkEnd w:id="2"/>
    <w:p w:rsidRPr="00673F2B" w:rsidR="00277DCB" w:rsidP="00277DCB" w:rsidRDefault="00277DCB" w14:paraId="7FCBF5AB" w14:textId="77777777">
      <w:pPr>
        <w:rPr>
          <w:b/>
          <w:bCs/>
          <w:szCs w:val="18"/>
        </w:rPr>
      </w:pPr>
    </w:p>
    <w:p w:rsidR="00277DCB" w:rsidP="00277DCB" w:rsidRDefault="00277DCB" w14:paraId="4E9C9AE1" w14:textId="77777777">
      <w:pPr>
        <w:rPr>
          <w:szCs w:val="18"/>
        </w:rPr>
      </w:pPr>
      <w:r w:rsidRPr="00673F2B">
        <w:rPr>
          <w:szCs w:val="18"/>
        </w:rPr>
        <w:t>4</w:t>
      </w:r>
    </w:p>
    <w:p w:rsidRPr="00673F2B" w:rsidR="00277DCB" w:rsidP="00277DCB" w:rsidRDefault="00277DCB" w14:paraId="68EE8A05" w14:textId="77777777">
      <w:pPr>
        <w:rPr>
          <w:szCs w:val="18"/>
        </w:rPr>
      </w:pPr>
      <w:r w:rsidRPr="00673F2B">
        <w:rPr>
          <w:szCs w:val="18"/>
        </w:rPr>
        <w:t xml:space="preserve">Op welke wijze bent u van plan gebruik te maken van maatregelen uit het Versnellingspakket, zoals het invoeren van een gedoogplicht van rechtswege in de ontwerpfase, het invoeren van een versnelde beroepsprocedure en het instellen van een aparte kamer bij de Raad van State voor energieprojecten, om de uitbreiding van het hoogspanningsnet uit deze casus toch te kunnen </w:t>
      </w:r>
      <w:r w:rsidRPr="00673F2B">
        <w:rPr>
          <w:szCs w:val="18"/>
        </w:rPr>
        <w:lastRenderedPageBreak/>
        <w:t>versnellen?</w:t>
      </w:r>
      <w:r w:rsidRPr="00673F2B">
        <w:rPr>
          <w:szCs w:val="18"/>
        </w:rPr>
        <w:br/>
      </w:r>
    </w:p>
    <w:p w:rsidRPr="00673F2B" w:rsidR="00277DCB" w:rsidP="00277DCB" w:rsidRDefault="00277DCB" w14:paraId="2231CB51" w14:textId="77777777">
      <w:r>
        <w:t>Antwoord</w:t>
      </w:r>
    </w:p>
    <w:p w:rsidRPr="00673F2B" w:rsidR="00277DCB" w:rsidP="00277DCB" w:rsidRDefault="00277DCB" w14:paraId="6B51B2AC" w14:textId="77777777">
      <w:pPr>
        <w:rPr>
          <w:szCs w:val="18"/>
          <w:lang w:val="nl"/>
        </w:rPr>
      </w:pPr>
      <w:r>
        <w:rPr>
          <w:szCs w:val="18"/>
          <w:lang w:val="nl"/>
        </w:rPr>
        <w:t>Waar mogelijk zet h</w:t>
      </w:r>
      <w:r w:rsidRPr="00673F2B">
        <w:rPr>
          <w:szCs w:val="18"/>
          <w:lang w:val="nl"/>
        </w:rPr>
        <w:t xml:space="preserve">et kabinet </w:t>
      </w:r>
      <w:r>
        <w:rPr>
          <w:szCs w:val="18"/>
          <w:lang w:val="nl"/>
        </w:rPr>
        <w:t>zet de maatregelen uit het pakket in voor dit project.  Dit betreft ten eerste de</w:t>
      </w:r>
      <w:r w:rsidRPr="00673F2B">
        <w:rPr>
          <w:szCs w:val="18"/>
          <w:lang w:val="nl"/>
        </w:rPr>
        <w:t xml:space="preserve"> gedoogplicht van rechtswege in de ontwerpfase</w:t>
      </w:r>
      <w:r>
        <w:rPr>
          <w:szCs w:val="18"/>
          <w:lang w:val="nl"/>
        </w:rPr>
        <w:t>. Dit voorstel</w:t>
      </w:r>
      <w:r w:rsidRPr="00673F2B">
        <w:rPr>
          <w:szCs w:val="18"/>
          <w:lang w:val="nl"/>
        </w:rPr>
        <w:t xml:space="preserve"> ligt nu bij de Tweede Kamer</w:t>
      </w:r>
      <w:r>
        <w:rPr>
          <w:szCs w:val="18"/>
          <w:lang w:val="nl"/>
        </w:rPr>
        <w:t xml:space="preserve"> en zou – </w:t>
      </w:r>
      <w:r w:rsidRPr="00673F2B">
        <w:rPr>
          <w:szCs w:val="18"/>
          <w:lang w:val="nl"/>
        </w:rPr>
        <w:t xml:space="preserve">afhankelijk </w:t>
      </w:r>
      <w:r>
        <w:rPr>
          <w:szCs w:val="18"/>
          <w:lang w:val="nl"/>
        </w:rPr>
        <w:t xml:space="preserve">van </w:t>
      </w:r>
      <w:r w:rsidRPr="00673F2B">
        <w:rPr>
          <w:szCs w:val="18"/>
          <w:lang w:val="nl"/>
        </w:rPr>
        <w:t>wanneer de Kamer dit voorstel behandelt</w:t>
      </w:r>
      <w:r>
        <w:rPr>
          <w:szCs w:val="18"/>
          <w:lang w:val="nl"/>
        </w:rPr>
        <w:t xml:space="preserve"> – al </w:t>
      </w:r>
      <w:r w:rsidRPr="00673F2B">
        <w:rPr>
          <w:szCs w:val="18"/>
          <w:lang w:val="nl"/>
        </w:rPr>
        <w:t xml:space="preserve">op 1 januari 2026 </w:t>
      </w:r>
      <w:r>
        <w:rPr>
          <w:szCs w:val="18"/>
          <w:lang w:val="nl"/>
        </w:rPr>
        <w:t xml:space="preserve">in werking kunnen treden. </w:t>
      </w:r>
      <w:r w:rsidRPr="00673F2B">
        <w:rPr>
          <w:szCs w:val="18"/>
          <w:lang w:val="nl"/>
        </w:rPr>
        <w:t xml:space="preserve">Met deze maatregel kan verdere vertraging worden voorkomen, </w:t>
      </w:r>
      <w:r>
        <w:rPr>
          <w:szCs w:val="18"/>
          <w:lang w:val="nl"/>
        </w:rPr>
        <w:t>door</w:t>
      </w:r>
      <w:r w:rsidRPr="00673F2B">
        <w:rPr>
          <w:szCs w:val="18"/>
          <w:lang w:val="nl"/>
        </w:rPr>
        <w:t xml:space="preserve">dat grondeigenaren onderzoeken niet meer onnodig lang kunnen tegenhouden. Voor dit project geldt al een versnelde beroepsprocedure met beroep in eerste en enige aanleg bij de Raad van State. Op dit moment lopen er geen procedures tegen het project </w:t>
      </w:r>
      <w:r w:rsidRPr="00673F2B">
        <w:rPr>
          <w:color w:val="000000" w:themeColor="text1"/>
          <w:szCs w:val="18"/>
        </w:rPr>
        <w:t xml:space="preserve">omdat het projectbesluit nog niet is genomen </w:t>
      </w:r>
      <w:r w:rsidRPr="00673F2B">
        <w:rPr>
          <w:szCs w:val="18"/>
          <w:lang w:val="nl"/>
        </w:rPr>
        <w:t xml:space="preserve">en </w:t>
      </w:r>
      <w:r>
        <w:rPr>
          <w:szCs w:val="18"/>
          <w:lang w:val="nl"/>
        </w:rPr>
        <w:t>kunnen deze dus niet worden ge</w:t>
      </w:r>
      <w:r w:rsidRPr="00673F2B">
        <w:rPr>
          <w:szCs w:val="18"/>
          <w:lang w:val="nl"/>
        </w:rPr>
        <w:t>priorite</w:t>
      </w:r>
      <w:r>
        <w:rPr>
          <w:szCs w:val="18"/>
          <w:lang w:val="nl"/>
        </w:rPr>
        <w:t>e</w:t>
      </w:r>
      <w:r w:rsidRPr="00673F2B">
        <w:rPr>
          <w:szCs w:val="18"/>
          <w:lang w:val="nl"/>
        </w:rPr>
        <w:t>r</w:t>
      </w:r>
      <w:r>
        <w:rPr>
          <w:szCs w:val="18"/>
          <w:lang w:val="nl"/>
        </w:rPr>
        <w:t>d</w:t>
      </w:r>
      <w:r w:rsidRPr="00673F2B">
        <w:rPr>
          <w:szCs w:val="18"/>
          <w:lang w:val="nl"/>
        </w:rPr>
        <w:t>.</w:t>
      </w:r>
      <w:r>
        <w:rPr>
          <w:szCs w:val="18"/>
          <w:lang w:val="nl"/>
        </w:rPr>
        <w:t xml:space="preserve"> Wel zal de Raad van State tijdig worden geïnformeerd over wanneer een beslissing over eventuele beroepen aan de orde is, zodat deze hier qua capaciteit op kan anticiperen.</w:t>
      </w:r>
      <w:r w:rsidRPr="00673F2B">
        <w:rPr>
          <w:szCs w:val="18"/>
        </w:rPr>
        <w:br/>
      </w:r>
    </w:p>
    <w:p w:rsidR="00277DCB" w:rsidP="00277DCB" w:rsidRDefault="00277DCB" w14:paraId="38405EEE" w14:textId="77777777">
      <w:pPr>
        <w:rPr>
          <w:szCs w:val="18"/>
        </w:rPr>
      </w:pPr>
      <w:r w:rsidRPr="00673F2B">
        <w:rPr>
          <w:szCs w:val="18"/>
        </w:rPr>
        <w:t>5</w:t>
      </w:r>
    </w:p>
    <w:p w:rsidRPr="00673F2B" w:rsidR="00277DCB" w:rsidP="00277DCB" w:rsidRDefault="00277DCB" w14:paraId="1886A06A" w14:textId="77777777">
      <w:pPr>
        <w:rPr>
          <w:szCs w:val="18"/>
        </w:rPr>
      </w:pPr>
      <w:r>
        <w:rPr>
          <w:szCs w:val="18"/>
        </w:rPr>
        <w:t>H</w:t>
      </w:r>
      <w:r w:rsidRPr="00673F2B">
        <w:rPr>
          <w:szCs w:val="18"/>
        </w:rPr>
        <w:t>oe kijkt u aan tegen maatregelen, zoals het mogelijk maken dat onteigening al gestart kan worden vóór het projectbesluit is genomen of omgevingsplan is vastgesteld, het zorgen voor betere planologische bescherming voor het 110-150 kV hoogspanningsnet en het beperken onderzoekslasten elektriciteitsprojecten? Welke mogelijkheden ziet u om deze en andere maatregelen versneld uit te werken en daarmee voor versnelling voor deze casus in Utrecht te zorgen? </w:t>
      </w:r>
      <w:r w:rsidRPr="00673F2B">
        <w:rPr>
          <w:szCs w:val="18"/>
        </w:rPr>
        <w:br/>
      </w:r>
    </w:p>
    <w:p w:rsidRPr="00673F2B" w:rsidR="00277DCB" w:rsidP="00277DCB" w:rsidRDefault="00277DCB" w14:paraId="7FC4AEB6" w14:textId="77777777">
      <w:pPr>
        <w:rPr>
          <w:szCs w:val="18"/>
        </w:rPr>
      </w:pPr>
      <w:r w:rsidRPr="00673F2B">
        <w:rPr>
          <w:szCs w:val="18"/>
        </w:rPr>
        <w:t>Antwoord</w:t>
      </w:r>
    </w:p>
    <w:p w:rsidR="00277DCB" w:rsidP="00277DCB" w:rsidRDefault="00277DCB" w14:paraId="376F82C4" w14:textId="77777777">
      <w:pPr>
        <w:rPr>
          <w:szCs w:val="18"/>
          <w:lang w:val="nl"/>
        </w:rPr>
      </w:pPr>
      <w:r w:rsidRPr="00673F2B">
        <w:rPr>
          <w:szCs w:val="18"/>
          <w:lang w:val="nl"/>
        </w:rPr>
        <w:t>Het is al wettelijk toegestaan om parallel aan het minnelijk overleg over grondaankopen de onteigeningsprocedure voor te bereiden. Het is belangrijk dat het minnelijke traject zorgvuldig wordt doorlopen, maar als blijkt dat moet worden overgegaan tot onteigening</w:t>
      </w:r>
      <w:r>
        <w:rPr>
          <w:szCs w:val="18"/>
          <w:lang w:val="nl"/>
        </w:rPr>
        <w:t>,</w:t>
      </w:r>
      <w:r w:rsidRPr="00673F2B">
        <w:rPr>
          <w:szCs w:val="18"/>
          <w:lang w:val="nl"/>
        </w:rPr>
        <w:t xml:space="preserve"> moet dit ook snel kunnen worden opgestart. Dit is uiteindelijk een afweging van </w:t>
      </w:r>
      <w:r>
        <w:rPr>
          <w:szCs w:val="18"/>
          <w:lang w:val="nl"/>
        </w:rPr>
        <w:t xml:space="preserve">het bevoegd gezag in samenspraak met </w:t>
      </w:r>
      <w:r w:rsidRPr="00673F2B">
        <w:rPr>
          <w:szCs w:val="18"/>
          <w:lang w:val="nl"/>
        </w:rPr>
        <w:t xml:space="preserve">TenneT. Het onteigeningsbesluit kan overigens niet eerder worden genomen dan dat er </w:t>
      </w:r>
      <w:r w:rsidRPr="00A07151">
        <w:rPr>
          <w:szCs w:val="18"/>
        </w:rPr>
        <w:t xml:space="preserve">een projectbesluit of gewijzigd omgevingsplan is vastgesteld voor </w:t>
      </w:r>
      <w:r w:rsidRPr="00673F2B">
        <w:rPr>
          <w:szCs w:val="18"/>
          <w:lang w:val="nl"/>
        </w:rPr>
        <w:t xml:space="preserve"> het project waarvoor onteigend wordt. De planologische bescherming voor het 110-150 kV</w:t>
      </w:r>
      <w:r>
        <w:rPr>
          <w:szCs w:val="18"/>
          <w:lang w:val="nl"/>
        </w:rPr>
        <w:t>-</w:t>
      </w:r>
      <w:r w:rsidRPr="00673F2B">
        <w:rPr>
          <w:szCs w:val="18"/>
          <w:lang w:val="nl"/>
        </w:rPr>
        <w:t xml:space="preserve">net helpt vooral in het reserveren van toekomstige projecten. In het project Utrecht Noord is al gestart met de projectprocedure en loopt nu de verkenning naar de locaties. Het kabinet beziet met TenneT en de provincie Utrecht hoe de onderzoekslast voor het project kan worden verminderd. Daarbij kijkt ook TenneT naar het slim inrichten van onderzoeken zodat deze voor meerdere doeleinden kunnen worden ingezet. </w:t>
      </w:r>
    </w:p>
    <w:p w:rsidR="00277DCB" w:rsidP="00277DCB" w:rsidRDefault="00277DCB" w14:paraId="4BF85C6A" w14:textId="77777777">
      <w:pPr>
        <w:rPr>
          <w:szCs w:val="18"/>
        </w:rPr>
      </w:pPr>
      <w:r w:rsidRPr="00673F2B">
        <w:rPr>
          <w:szCs w:val="18"/>
        </w:rPr>
        <w:lastRenderedPageBreak/>
        <w:br/>
        <w:t>6</w:t>
      </w:r>
    </w:p>
    <w:p w:rsidRPr="00673F2B" w:rsidR="00277DCB" w:rsidP="00277DCB" w:rsidRDefault="00277DCB" w14:paraId="11FE25BA" w14:textId="77777777">
      <w:pPr>
        <w:rPr>
          <w:szCs w:val="18"/>
        </w:rPr>
      </w:pPr>
      <w:r w:rsidRPr="00673F2B">
        <w:rPr>
          <w:szCs w:val="18"/>
        </w:rPr>
        <w:t>Welke andere instrumenten overweegt u in te zetten om dit congestieverlichtende project alsnog te versnellen of in ieder geval verdere vertragingen te voorkomen?</w:t>
      </w:r>
      <w:r w:rsidRPr="00673F2B">
        <w:rPr>
          <w:szCs w:val="18"/>
        </w:rPr>
        <w:br/>
      </w:r>
    </w:p>
    <w:p w:rsidRPr="00673F2B" w:rsidR="00277DCB" w:rsidP="00277DCB" w:rsidRDefault="00277DCB" w14:paraId="5DFA1487" w14:textId="77777777">
      <w:r>
        <w:t>Antwoord</w:t>
      </w:r>
    </w:p>
    <w:p w:rsidRPr="00152B44" w:rsidR="00277DCB" w:rsidP="00277DCB" w:rsidRDefault="00277DCB" w14:paraId="5DF27594" w14:textId="77777777">
      <w:pPr>
        <w:rPr>
          <w:color w:val="000000" w:themeColor="text1"/>
          <w:szCs w:val="18"/>
        </w:rPr>
      </w:pPr>
      <w:r>
        <w:rPr>
          <w:color w:val="000000" w:themeColor="text1"/>
          <w:szCs w:val="18"/>
        </w:rPr>
        <w:t>Het kabinet heeft</w:t>
      </w:r>
      <w:r w:rsidRPr="0065581B">
        <w:rPr>
          <w:color w:val="000000" w:themeColor="text1"/>
          <w:szCs w:val="18"/>
        </w:rPr>
        <w:t xml:space="preserve"> de provincie Utrecht een onafhankelijke procesbegeleider toegewezen om de projectprocedure inclusief de benodigde vergunningen te coördineren</w:t>
      </w:r>
      <w:r>
        <w:rPr>
          <w:color w:val="000000" w:themeColor="text1"/>
          <w:szCs w:val="18"/>
        </w:rPr>
        <w:t xml:space="preserve">. </w:t>
      </w:r>
      <w:r w:rsidRPr="00673F2B">
        <w:rPr>
          <w:szCs w:val="18"/>
          <w:lang w:val="nl"/>
        </w:rPr>
        <w:t xml:space="preserve">Daarnaast </w:t>
      </w:r>
      <w:r>
        <w:rPr>
          <w:szCs w:val="18"/>
          <w:lang w:val="nl"/>
        </w:rPr>
        <w:t>wordt</w:t>
      </w:r>
      <w:r w:rsidRPr="00673F2B">
        <w:rPr>
          <w:szCs w:val="18"/>
          <w:lang w:val="nl"/>
        </w:rPr>
        <w:t xml:space="preserve"> via de projectenaanpak vinger aan de pols </w:t>
      </w:r>
      <w:r>
        <w:rPr>
          <w:szCs w:val="18"/>
          <w:lang w:val="nl"/>
        </w:rPr>
        <w:t xml:space="preserve">gehouden </w:t>
      </w:r>
      <w:r w:rsidRPr="00673F2B">
        <w:rPr>
          <w:szCs w:val="18"/>
          <w:lang w:val="nl"/>
        </w:rPr>
        <w:t xml:space="preserve">om inzicht te </w:t>
      </w:r>
      <w:r>
        <w:rPr>
          <w:szCs w:val="18"/>
          <w:lang w:val="nl"/>
        </w:rPr>
        <w:t>houden</w:t>
      </w:r>
      <w:r w:rsidRPr="00673F2B">
        <w:rPr>
          <w:szCs w:val="18"/>
          <w:lang w:val="nl"/>
        </w:rPr>
        <w:t xml:space="preserve"> in de</w:t>
      </w:r>
      <w:r>
        <w:rPr>
          <w:szCs w:val="18"/>
          <w:lang w:val="nl"/>
        </w:rPr>
        <w:t xml:space="preserve"> </w:t>
      </w:r>
      <w:r w:rsidRPr="00673F2B">
        <w:rPr>
          <w:szCs w:val="18"/>
          <w:lang w:val="nl"/>
        </w:rPr>
        <w:t xml:space="preserve">voortgang en knelpunten. Waar nieuwe knelpunten zich voordoen </w:t>
      </w:r>
      <w:r>
        <w:rPr>
          <w:szCs w:val="18"/>
          <w:lang w:val="nl"/>
        </w:rPr>
        <w:t>wordt gekeken</w:t>
      </w:r>
      <w:r w:rsidRPr="00673F2B">
        <w:rPr>
          <w:szCs w:val="18"/>
          <w:lang w:val="nl"/>
        </w:rPr>
        <w:t xml:space="preserve"> naar passende maatregelen binnen de huidige juridische kaders en mogelijk aanpassing van wet-en regelgeving. Aanpassingen vergen tijd dus zullen vooral soelaas bieden voor toekomstige congestieverlichtende projecten.</w:t>
      </w:r>
      <w:r>
        <w:rPr>
          <w:szCs w:val="18"/>
          <w:lang w:val="nl"/>
        </w:rPr>
        <w:t xml:space="preserve"> Verder draagt het kabinet waar mogelijk bij aan het verlenen van prioriteit en medewerking door andere partijen, zoals Rijkswaterstaat, het Rijksvastgoedbedrijf, ProRail, GasUnie en de waterschappen.</w:t>
      </w:r>
    </w:p>
    <w:p w:rsidRPr="00673F2B" w:rsidR="00277DCB" w:rsidP="00277DCB" w:rsidRDefault="00277DCB" w14:paraId="3995963E" w14:textId="77777777">
      <w:pPr>
        <w:rPr>
          <w:szCs w:val="18"/>
          <w:lang w:val="nl"/>
        </w:rPr>
      </w:pPr>
    </w:p>
    <w:p w:rsidR="00277DCB" w:rsidP="00277DCB" w:rsidRDefault="00277DCB" w14:paraId="3AB19C72" w14:textId="77777777">
      <w:pPr>
        <w:rPr>
          <w:szCs w:val="18"/>
        </w:rPr>
      </w:pPr>
      <w:r w:rsidRPr="00673F2B">
        <w:rPr>
          <w:szCs w:val="18"/>
        </w:rPr>
        <w:t>7</w:t>
      </w:r>
    </w:p>
    <w:p w:rsidRPr="00673F2B" w:rsidR="00277DCB" w:rsidP="00277DCB" w:rsidRDefault="00277DCB" w14:paraId="4ACB85AC" w14:textId="77777777">
      <w:pPr>
        <w:rPr>
          <w:szCs w:val="18"/>
        </w:rPr>
      </w:pPr>
      <w:r w:rsidRPr="00673F2B">
        <w:rPr>
          <w:szCs w:val="18"/>
        </w:rPr>
        <w:t>In hoeverre heeft u zelf een afweging gemaakt van de maatschappelijke en infrastructurele voordelen van de locatie tussen het Amsterdam-Rijnkanaal en de Vecht ten opzichte van de huidige voorkeurslocatie, of is deze afweging met name lokaal gemaakt?</w:t>
      </w:r>
    </w:p>
    <w:p w:rsidRPr="00673F2B" w:rsidR="00277DCB" w:rsidP="00277DCB" w:rsidRDefault="00277DCB" w14:paraId="7CD40387" w14:textId="77777777">
      <w:pPr>
        <w:rPr>
          <w:szCs w:val="18"/>
        </w:rPr>
      </w:pPr>
    </w:p>
    <w:p w:rsidRPr="00673F2B" w:rsidR="00277DCB" w:rsidP="00277DCB" w:rsidRDefault="00277DCB" w14:paraId="6C984F65" w14:textId="77777777">
      <w:pPr>
        <w:rPr>
          <w:szCs w:val="18"/>
        </w:rPr>
      </w:pPr>
      <w:r w:rsidRPr="00673F2B">
        <w:rPr>
          <w:szCs w:val="18"/>
        </w:rPr>
        <w:t>Antwoord</w:t>
      </w:r>
    </w:p>
    <w:p w:rsidRPr="00673F2B" w:rsidR="00277DCB" w:rsidP="00277DCB" w:rsidRDefault="00277DCB" w14:paraId="2A2AD18D" w14:textId="77777777">
      <w:pPr>
        <w:rPr>
          <w:szCs w:val="18"/>
        </w:rPr>
      </w:pPr>
      <w:r w:rsidRPr="00673F2B">
        <w:rPr>
          <w:szCs w:val="18"/>
        </w:rPr>
        <w:t>De provincie is het bevoegd gezag voor dit project en heeft met TenneT geconcludeerd dat alle onderzochte locaties in het zoekgebied, waaronder de locatie tussen het Amsterdam-Rijnkanaal en de Vecht niet geschikt zijn. Een vanuit de participatie aangedragen locatie die grenst aan het zoekgebied lijkt minder belemmeringen te kennen en wordt daarom nu onderzocht. Ongeacht waar het bevoegd gezag ligt, moeten aangedragen locaties zorgvuldig afgewogen en onderzocht worden.</w:t>
      </w:r>
    </w:p>
    <w:p w:rsidRPr="00673F2B" w:rsidR="00277DCB" w:rsidP="00277DCB" w:rsidRDefault="00277DCB" w14:paraId="47B5CB70" w14:textId="77777777">
      <w:pPr>
        <w:rPr>
          <w:szCs w:val="18"/>
        </w:rPr>
      </w:pPr>
    </w:p>
    <w:p w:rsidR="00277DCB" w:rsidP="00277DCB" w:rsidRDefault="00277DCB" w14:paraId="244A70E4" w14:textId="77777777">
      <w:pPr>
        <w:rPr>
          <w:szCs w:val="18"/>
        </w:rPr>
      </w:pPr>
      <w:r w:rsidRPr="00673F2B">
        <w:rPr>
          <w:szCs w:val="18"/>
        </w:rPr>
        <w:t>8</w:t>
      </w:r>
    </w:p>
    <w:p w:rsidRPr="00673F2B" w:rsidR="00277DCB" w:rsidP="00277DCB" w:rsidRDefault="00277DCB" w14:paraId="56D98F34" w14:textId="77777777">
      <w:pPr>
        <w:rPr>
          <w:szCs w:val="18"/>
        </w:rPr>
      </w:pPr>
      <w:r w:rsidRPr="00673F2B">
        <w:rPr>
          <w:szCs w:val="18"/>
        </w:rPr>
        <w:t xml:space="preserve">Over welke juridische of bestuurlijke bevoegdheden beschikt u om het gezag over te nemen in dit dossier, nu blijkt dat de reguliere processen tot grote </w:t>
      </w:r>
      <w:r w:rsidRPr="00673F2B">
        <w:rPr>
          <w:szCs w:val="18"/>
        </w:rPr>
        <w:lastRenderedPageBreak/>
        <w:t>vertraging leiden?</w:t>
      </w:r>
      <w:r w:rsidRPr="00673F2B">
        <w:rPr>
          <w:szCs w:val="18"/>
        </w:rPr>
        <w:br/>
      </w:r>
    </w:p>
    <w:p w:rsidRPr="00673F2B" w:rsidR="00277DCB" w:rsidP="00277DCB" w:rsidRDefault="00277DCB" w14:paraId="73579674" w14:textId="77777777">
      <w:pPr>
        <w:rPr>
          <w:szCs w:val="18"/>
        </w:rPr>
      </w:pPr>
      <w:r w:rsidRPr="00673F2B">
        <w:rPr>
          <w:szCs w:val="18"/>
        </w:rPr>
        <w:t>Antwoord</w:t>
      </w:r>
    </w:p>
    <w:p w:rsidRPr="00673F2B" w:rsidR="00277DCB" w:rsidP="00277DCB" w:rsidRDefault="00277DCB" w14:paraId="0233D4CF" w14:textId="77777777">
      <w:pPr>
        <w:rPr>
          <w:b/>
        </w:rPr>
      </w:pPr>
      <w:r>
        <w:t>Het overnemen van het bevoegd gezag voor een project door het Rijk kan helpen om netuitbreidingen te versnellen, indien blijkt dat een medeoverheid het nationaal belang van een project niet op een doelmatige en doeltreffende wijze kan behartigen. Ik ben de afgelopen maanden nauw betrokken geraakt bij dit project en stel vast dat deze maatregel in deze fase van het project niet leidt tot een versnelling van de besluitvorming. Zoals aangegeven in het antwoord op vraag 2 zijn de provincie en TenneT inmiddels voortvarend aan de slag gegaan met een alternatieve locatie en is het streven om vlak na de zomer tot een locatiekeuze te komen. Het overnemen van het bevoegd gezag door het Rijk kan de locatiekeuze met enkele maanden vertragen, doordat het project al ver gevorderd is. In de projectenaanpak uit het versnellingsplan van april</w:t>
      </w:r>
      <w:r>
        <w:rPr>
          <w:rStyle w:val="Voetnootmarkering"/>
        </w:rPr>
        <w:footnoteReference w:id="2"/>
      </w:r>
      <w:r>
        <w:t xml:space="preserve"> wordt bij projecten die nog in de studiefase zijn aan de voorkant afgewogen of overname van bevoegd gezag door het Rijk de procedure kan versnellen. </w:t>
      </w:r>
      <w:r>
        <w:br/>
      </w:r>
    </w:p>
    <w:p w:rsidR="00277DCB" w:rsidP="00277DCB" w:rsidRDefault="00277DCB" w14:paraId="1977B5A2" w14:textId="77777777">
      <w:pPr>
        <w:rPr>
          <w:szCs w:val="18"/>
        </w:rPr>
      </w:pPr>
      <w:r w:rsidRPr="00673F2B">
        <w:rPr>
          <w:szCs w:val="18"/>
        </w:rPr>
        <w:t>9</w:t>
      </w:r>
    </w:p>
    <w:p w:rsidRPr="00673F2B" w:rsidR="00277DCB" w:rsidP="00277DCB" w:rsidRDefault="00277DCB" w14:paraId="207FD6AE" w14:textId="77777777">
      <w:pPr>
        <w:rPr>
          <w:szCs w:val="18"/>
        </w:rPr>
      </w:pPr>
      <w:r w:rsidRPr="00673F2B">
        <w:rPr>
          <w:szCs w:val="18"/>
        </w:rPr>
        <w:t>Onder welke omstandigheden zou u overwegen om gebruik te maken van dergelijke bevoegdheden, met het oog op het nationale belang van netuitbreiding?</w:t>
      </w:r>
      <w:r w:rsidRPr="00673F2B">
        <w:rPr>
          <w:szCs w:val="18"/>
        </w:rPr>
        <w:br/>
      </w:r>
    </w:p>
    <w:p w:rsidRPr="00673F2B" w:rsidR="00277DCB" w:rsidP="00277DCB" w:rsidRDefault="00277DCB" w14:paraId="635B9EFC" w14:textId="77777777">
      <w:pPr>
        <w:rPr>
          <w:szCs w:val="18"/>
        </w:rPr>
      </w:pPr>
      <w:r w:rsidRPr="00673F2B">
        <w:rPr>
          <w:szCs w:val="18"/>
        </w:rPr>
        <w:t>Antwoord</w:t>
      </w:r>
    </w:p>
    <w:p w:rsidRPr="00673F2B" w:rsidR="00277DCB" w:rsidP="00277DCB" w:rsidRDefault="00277DCB" w14:paraId="4CEF1837" w14:textId="77777777">
      <w:pPr>
        <w:rPr>
          <w:color w:val="000000" w:themeColor="text1"/>
        </w:rPr>
      </w:pPr>
      <w:r>
        <w:t xml:space="preserve">Dit is aan de orde als na onderzoek en overleg met de medeoverheden en netbeheerder de conclusie is dat de voortgang van de besluitvorming versneld kan worden als het Rijk het bevoegd gezag wordt, bijvoorbeeld wanneer het huidige bevoegd gezag niet tot besluitvorming komt terwijl er wel voldoende beslisinformatie is. Dit kan verschillende oorzaken hebben. Ook bij projecten die provinciegrensoverstijgend zijn kan het beleggen van de bevoegdheid bij het Rijk de besluitvorming versnellen. Het overnemen van het bevoegd gezag in een lopend project is een ingrijpende maatregel die ook verstorend en daarmee vertragend kan werken. Betrokkenheid van het kabinet op de achtergrond en het inzetten van verschillende andere versnellingsmaatregelen is in die gevallen vaak doeltreffender. Dit geldt ook voor het project Utrecht-Noord. Dit project </w:t>
      </w:r>
      <w:r w:rsidRPr="036EA7CA">
        <w:rPr>
          <w:color w:val="000000" w:themeColor="text1"/>
        </w:rPr>
        <w:t xml:space="preserve">is ook één van de 25 projecten die onderdeel uitmaken van de nieuwe projectaanpak uit het versnellingspakket. Per project uit de projectenaanpak wordt de inzet van versnellingsmaatregelen afgesproken en gemonitord zodat indien nodig snel geëscaleerd kan worden. Daarnaast zijn er ook projectspecifieke acties, zoals voor dit project toegelicht </w:t>
      </w:r>
      <w:r>
        <w:rPr>
          <w:color w:val="000000" w:themeColor="text1"/>
        </w:rPr>
        <w:t>in het antwoord op</w:t>
      </w:r>
      <w:r w:rsidRPr="036EA7CA">
        <w:rPr>
          <w:color w:val="000000" w:themeColor="text1"/>
        </w:rPr>
        <w:t xml:space="preserve"> </w:t>
      </w:r>
      <w:r w:rsidRPr="036EA7CA">
        <w:rPr>
          <w:color w:val="000000" w:themeColor="text1"/>
        </w:rPr>
        <w:lastRenderedPageBreak/>
        <w:t xml:space="preserve">vraag 6, waarbij de betrokkenheid van </w:t>
      </w:r>
      <w:r>
        <w:rPr>
          <w:color w:val="000000" w:themeColor="text1"/>
        </w:rPr>
        <w:t>het</w:t>
      </w:r>
      <w:r w:rsidRPr="036EA7CA">
        <w:rPr>
          <w:color w:val="000000" w:themeColor="text1"/>
        </w:rPr>
        <w:t xml:space="preserve"> ministerie </w:t>
      </w:r>
      <w:r>
        <w:rPr>
          <w:color w:val="000000" w:themeColor="text1"/>
        </w:rPr>
        <w:t xml:space="preserve">van KGG </w:t>
      </w:r>
      <w:r w:rsidRPr="036EA7CA">
        <w:rPr>
          <w:color w:val="000000" w:themeColor="text1"/>
        </w:rPr>
        <w:t xml:space="preserve">kan </w:t>
      </w:r>
      <w:r>
        <w:rPr>
          <w:color w:val="000000" w:themeColor="text1"/>
        </w:rPr>
        <w:t>bijdragen</w:t>
      </w:r>
      <w:r w:rsidRPr="036EA7CA">
        <w:rPr>
          <w:color w:val="000000" w:themeColor="text1"/>
        </w:rPr>
        <w:t xml:space="preserve"> aan versnelling en </w:t>
      </w:r>
      <w:r>
        <w:rPr>
          <w:color w:val="000000" w:themeColor="text1"/>
        </w:rPr>
        <w:t xml:space="preserve">het </w:t>
      </w:r>
      <w:r w:rsidRPr="036EA7CA">
        <w:rPr>
          <w:color w:val="000000" w:themeColor="text1"/>
        </w:rPr>
        <w:t>voorkomen van vertraging.</w:t>
      </w:r>
    </w:p>
    <w:p w:rsidRPr="00673F2B" w:rsidR="00277DCB" w:rsidP="00277DCB" w:rsidRDefault="00277DCB" w14:paraId="0B80DAB0" w14:textId="77777777">
      <w:pPr>
        <w:rPr>
          <w:b/>
          <w:bCs/>
          <w:szCs w:val="18"/>
        </w:rPr>
      </w:pPr>
    </w:p>
    <w:p w:rsidR="00277DCB" w:rsidP="00277DCB" w:rsidRDefault="00277DCB" w14:paraId="69524A35" w14:textId="77777777">
      <w:pPr>
        <w:rPr>
          <w:szCs w:val="18"/>
        </w:rPr>
      </w:pPr>
      <w:r w:rsidRPr="00673F2B">
        <w:rPr>
          <w:szCs w:val="18"/>
        </w:rPr>
        <w:t>10</w:t>
      </w:r>
    </w:p>
    <w:p w:rsidRPr="00673F2B" w:rsidR="00277DCB" w:rsidP="00277DCB" w:rsidRDefault="00277DCB" w14:paraId="14F5BCE8" w14:textId="77777777">
      <w:pPr>
        <w:rPr>
          <w:szCs w:val="18"/>
        </w:rPr>
      </w:pPr>
      <w:r w:rsidRPr="00673F2B">
        <w:rPr>
          <w:szCs w:val="18"/>
        </w:rPr>
        <w:t>In hoeverre is het mogelijk om alsnog te kiezen voor de eerder overwogen locatie tussen het Amsterdam-Rijnkanaal en de Vecht? Wat zou daarvoor nodig zijn?</w:t>
      </w:r>
      <w:r w:rsidRPr="00673F2B">
        <w:rPr>
          <w:szCs w:val="18"/>
        </w:rPr>
        <w:br/>
      </w:r>
    </w:p>
    <w:p w:rsidRPr="00673F2B" w:rsidR="00277DCB" w:rsidP="00277DCB" w:rsidRDefault="00277DCB" w14:paraId="325CC81B" w14:textId="77777777">
      <w:pPr>
        <w:rPr>
          <w:szCs w:val="18"/>
        </w:rPr>
      </w:pPr>
      <w:r w:rsidRPr="00673F2B">
        <w:rPr>
          <w:szCs w:val="18"/>
        </w:rPr>
        <w:t>Antwoord</w:t>
      </w:r>
    </w:p>
    <w:p w:rsidRPr="00673F2B" w:rsidR="00277DCB" w:rsidP="00277DCB" w:rsidRDefault="00277DCB" w14:paraId="2C7573A6" w14:textId="77777777">
      <w:pPr>
        <w:rPr>
          <w:szCs w:val="18"/>
        </w:rPr>
      </w:pPr>
      <w:r w:rsidRPr="00673F2B">
        <w:rPr>
          <w:szCs w:val="18"/>
        </w:rPr>
        <w:t xml:space="preserve">De provincie Utrecht en TenneT concluderen dat deze locatie grote belemmeringen kent en </w:t>
      </w:r>
      <w:r>
        <w:rPr>
          <w:szCs w:val="18"/>
        </w:rPr>
        <w:t xml:space="preserve">daarom onvoldoende </w:t>
      </w:r>
      <w:r w:rsidRPr="00673F2B">
        <w:rPr>
          <w:szCs w:val="18"/>
        </w:rPr>
        <w:t xml:space="preserve">kansrijk </w:t>
      </w:r>
      <w:r>
        <w:rPr>
          <w:szCs w:val="18"/>
        </w:rPr>
        <w:t>om verder te onderzoeken</w:t>
      </w:r>
      <w:r w:rsidRPr="00673F2B">
        <w:rPr>
          <w:szCs w:val="18"/>
        </w:rPr>
        <w:t>.</w:t>
      </w:r>
      <w:r w:rsidRPr="009A6B96">
        <w:rPr>
          <w:szCs w:val="18"/>
        </w:rPr>
        <w:t xml:space="preserve"> De ruimtelijke gevolgen op deze locatie voor cultureel erfgoed, landschap, water- en bodemgesteldheid </w:t>
      </w:r>
      <w:r>
        <w:rPr>
          <w:szCs w:val="18"/>
        </w:rPr>
        <w:t xml:space="preserve">zijn groot, </w:t>
      </w:r>
      <w:r w:rsidRPr="009A6B96">
        <w:rPr>
          <w:szCs w:val="18"/>
        </w:rPr>
        <w:t xml:space="preserve">en </w:t>
      </w:r>
      <w:r>
        <w:rPr>
          <w:szCs w:val="18"/>
        </w:rPr>
        <w:t xml:space="preserve">een groot aantal </w:t>
      </w:r>
      <w:r w:rsidRPr="009A6B96">
        <w:rPr>
          <w:szCs w:val="18"/>
        </w:rPr>
        <w:t>direct omwonenden</w:t>
      </w:r>
      <w:r>
        <w:rPr>
          <w:szCs w:val="18"/>
        </w:rPr>
        <w:t xml:space="preserve"> wordt door het project geraakt</w:t>
      </w:r>
      <w:r w:rsidRPr="009A6B96">
        <w:rPr>
          <w:szCs w:val="18"/>
        </w:rPr>
        <w:t xml:space="preserve">. Daarnaast is </w:t>
      </w:r>
      <w:r>
        <w:rPr>
          <w:szCs w:val="18"/>
        </w:rPr>
        <w:t xml:space="preserve">er </w:t>
      </w:r>
      <w:r w:rsidRPr="009A6B96">
        <w:rPr>
          <w:szCs w:val="18"/>
        </w:rPr>
        <w:t>onzekerheid over de bereikbaarheid van de locatie gedurende de bouw</w:t>
      </w:r>
      <w:r>
        <w:rPr>
          <w:szCs w:val="18"/>
        </w:rPr>
        <w:t xml:space="preserve">. In </w:t>
      </w:r>
      <w:r w:rsidRPr="009A6B96">
        <w:rPr>
          <w:szCs w:val="18"/>
        </w:rPr>
        <w:t xml:space="preserve">de participatie </w:t>
      </w:r>
      <w:r>
        <w:rPr>
          <w:szCs w:val="18"/>
        </w:rPr>
        <w:t xml:space="preserve">is </w:t>
      </w:r>
      <w:r w:rsidRPr="009A6B96">
        <w:rPr>
          <w:szCs w:val="18"/>
        </w:rPr>
        <w:t>een alternatieve zoeklocatie aangedragen</w:t>
      </w:r>
      <w:r>
        <w:rPr>
          <w:szCs w:val="18"/>
        </w:rPr>
        <w:t xml:space="preserve"> die kansrijker is</w:t>
      </w:r>
      <w:r w:rsidRPr="009A6B96">
        <w:rPr>
          <w:szCs w:val="18"/>
        </w:rPr>
        <w:t>.</w:t>
      </w:r>
    </w:p>
    <w:p w:rsidRPr="00673F2B" w:rsidR="00277DCB" w:rsidP="00277DCB" w:rsidRDefault="00277DCB" w14:paraId="30E277DB" w14:textId="77777777">
      <w:pPr>
        <w:rPr>
          <w:szCs w:val="18"/>
        </w:rPr>
      </w:pPr>
    </w:p>
    <w:p w:rsidR="00277DCB" w:rsidP="00277DCB" w:rsidRDefault="00277DCB" w14:paraId="7B1CCA25" w14:textId="77777777">
      <w:pPr>
        <w:rPr>
          <w:szCs w:val="18"/>
        </w:rPr>
      </w:pPr>
      <w:r w:rsidRPr="00673F2B">
        <w:rPr>
          <w:szCs w:val="18"/>
        </w:rPr>
        <w:t>11</w:t>
      </w:r>
    </w:p>
    <w:p w:rsidRPr="00673F2B" w:rsidR="00277DCB" w:rsidP="00277DCB" w:rsidRDefault="00277DCB" w14:paraId="1A83F97C" w14:textId="77777777">
      <w:pPr>
        <w:rPr>
          <w:szCs w:val="18"/>
        </w:rPr>
      </w:pPr>
      <w:r w:rsidRPr="00673F2B">
        <w:rPr>
          <w:szCs w:val="18"/>
        </w:rPr>
        <w:t>Bent u bereid om, gezien de urgentie van het project, het bevoegd gezag voor dit project over te nemen om ervoor te zorgen dat er op zeer korte termijn een beslissing over een locatie wordt genomen en het bouwen zo snel mogelijk kan beginnen? </w:t>
      </w:r>
    </w:p>
    <w:p w:rsidR="00277DCB" w:rsidP="00277DCB" w:rsidRDefault="00277DCB" w14:paraId="5406D041" w14:textId="77777777">
      <w:pPr>
        <w:rPr>
          <w:szCs w:val="18"/>
        </w:rPr>
      </w:pPr>
    </w:p>
    <w:p w:rsidRPr="00673F2B" w:rsidR="00277DCB" w:rsidP="00277DCB" w:rsidRDefault="00277DCB" w14:paraId="24702F06" w14:textId="77777777">
      <w:pPr>
        <w:rPr>
          <w:szCs w:val="18"/>
        </w:rPr>
      </w:pPr>
      <w:r>
        <w:rPr>
          <w:szCs w:val="18"/>
        </w:rPr>
        <w:t>Antwoord</w:t>
      </w:r>
    </w:p>
    <w:p w:rsidRPr="00673F2B" w:rsidR="00277DCB" w:rsidP="00277DCB" w:rsidRDefault="00277DCB" w14:paraId="7EC8B1BF" w14:textId="77777777">
      <w:pPr>
        <w:rPr>
          <w:szCs w:val="18"/>
        </w:rPr>
      </w:pPr>
      <w:r w:rsidRPr="00673F2B">
        <w:rPr>
          <w:szCs w:val="18"/>
        </w:rPr>
        <w:t xml:space="preserve">De provincie Utrecht en TenneT zijn voortvarend aan de slag gegaan met een vanuit het participatietraject aangedragen locatie. De inzet van deze partijen is om vlak na de zomer te komen tot een locatiekeuze. </w:t>
      </w:r>
      <w:r>
        <w:rPr>
          <w:szCs w:val="18"/>
        </w:rPr>
        <w:t>Zoals aangegeven in het antwoord op vraag 8 zou h</w:t>
      </w:r>
      <w:r w:rsidRPr="00673F2B">
        <w:rPr>
          <w:szCs w:val="18"/>
        </w:rPr>
        <w:t xml:space="preserve">et overnemen van het bevoegd gezag </w:t>
      </w:r>
      <w:r>
        <w:rPr>
          <w:szCs w:val="18"/>
        </w:rPr>
        <w:t>op dit moment juist tot vertraging kunnen leiden</w:t>
      </w:r>
      <w:r w:rsidRPr="00673F2B">
        <w:rPr>
          <w:szCs w:val="18"/>
        </w:rPr>
        <w:t xml:space="preserve">. Zoals aangegeven in het antwoord op vraag 4 beziet het </w:t>
      </w:r>
      <w:r w:rsidRPr="00673F2B">
        <w:rPr>
          <w:szCs w:val="18"/>
          <w:lang w:val="nl"/>
        </w:rPr>
        <w:t>kabinet wel in overleg met TenneT en de provincie hoe de maatregelen uit het versnellingspakket aansluiten bij de (potentiële) knelpunten in dit project</w:t>
      </w:r>
      <w:r>
        <w:rPr>
          <w:szCs w:val="18"/>
          <w:lang w:val="nl"/>
        </w:rPr>
        <w:t>.</w:t>
      </w:r>
    </w:p>
    <w:p w:rsidRPr="00673F2B" w:rsidR="00277DCB" w:rsidP="00277DCB" w:rsidRDefault="00277DCB" w14:paraId="7457F1E8" w14:textId="77777777">
      <w:pPr>
        <w:rPr>
          <w:szCs w:val="18"/>
        </w:rPr>
      </w:pPr>
    </w:p>
    <w:p w:rsidR="002C3023" w:rsidRDefault="002C3023" w14:paraId="6CE8457E" w14:textId="77777777"/>
    <w:sectPr w:rsidR="002C3023" w:rsidSect="00277DC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D3A39" w14:textId="77777777" w:rsidR="00277DCB" w:rsidRDefault="00277DCB" w:rsidP="00277DCB">
      <w:pPr>
        <w:spacing w:after="0" w:line="240" w:lineRule="auto"/>
      </w:pPr>
      <w:r>
        <w:separator/>
      </w:r>
    </w:p>
  </w:endnote>
  <w:endnote w:type="continuationSeparator" w:id="0">
    <w:p w14:paraId="1707C38D" w14:textId="77777777" w:rsidR="00277DCB" w:rsidRDefault="00277DCB" w:rsidP="0027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D9D3" w14:textId="77777777" w:rsidR="00277DCB" w:rsidRPr="00277DCB" w:rsidRDefault="00277DCB" w:rsidP="00277D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7468" w14:textId="77777777" w:rsidR="00277DCB" w:rsidRPr="00277DCB" w:rsidRDefault="00277DCB" w:rsidP="00277D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7890" w14:textId="77777777" w:rsidR="00277DCB" w:rsidRPr="00277DCB" w:rsidRDefault="00277DCB" w:rsidP="00277D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7FD5" w14:textId="77777777" w:rsidR="00277DCB" w:rsidRDefault="00277DCB" w:rsidP="00277DCB">
      <w:pPr>
        <w:spacing w:after="0" w:line="240" w:lineRule="auto"/>
      </w:pPr>
      <w:r>
        <w:separator/>
      </w:r>
    </w:p>
  </w:footnote>
  <w:footnote w:type="continuationSeparator" w:id="0">
    <w:p w14:paraId="7E7C04BD" w14:textId="77777777" w:rsidR="00277DCB" w:rsidRDefault="00277DCB" w:rsidP="00277DCB">
      <w:pPr>
        <w:spacing w:after="0" w:line="240" w:lineRule="auto"/>
      </w:pPr>
      <w:r>
        <w:continuationSeparator/>
      </w:r>
    </w:p>
  </w:footnote>
  <w:footnote w:id="1">
    <w:p w14:paraId="30ADDB08" w14:textId="77777777" w:rsidR="00277DCB" w:rsidRDefault="00277DCB" w:rsidP="00277DCB">
      <w:pPr>
        <w:pStyle w:val="Voetnoottekst"/>
      </w:pPr>
      <w:r>
        <w:rPr>
          <w:rStyle w:val="Voetnootmarkering"/>
        </w:rPr>
        <w:footnoteRef/>
      </w:r>
      <w:r>
        <w:t xml:space="preserve"> </w:t>
      </w:r>
      <w:hyperlink r:id="rId1" w:history="1">
        <w:r w:rsidRPr="00CF75DB">
          <w:rPr>
            <w:rStyle w:val="Hyperlink"/>
          </w:rPr>
          <w:t>https://www.tennet.eu/nl/nieuws/eneco-helpt-druk-op-het-elektriciteitsnet-utrecht-te-verminderen</w:t>
        </w:r>
      </w:hyperlink>
      <w:r>
        <w:t xml:space="preserve"> </w:t>
      </w:r>
    </w:p>
  </w:footnote>
  <w:footnote w:id="2">
    <w:p w14:paraId="18B87C81" w14:textId="77777777" w:rsidR="00277DCB" w:rsidRDefault="00277DCB" w:rsidP="00277DCB">
      <w:pPr>
        <w:pStyle w:val="Voetnoottekst"/>
      </w:pPr>
      <w:r>
        <w:rPr>
          <w:rStyle w:val="Voetnootmarkering"/>
        </w:rPr>
        <w:footnoteRef/>
      </w:r>
      <w:r>
        <w:t xml:space="preserve"> </w:t>
      </w:r>
      <w:r w:rsidRPr="002073C2">
        <w:t>Kamerstukken II, 2024-25, 29023, nr. 567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F376" w14:textId="77777777" w:rsidR="00277DCB" w:rsidRPr="00277DCB" w:rsidRDefault="00277DCB" w:rsidP="00277D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49BB" w14:textId="77777777" w:rsidR="00277DCB" w:rsidRPr="00277DCB" w:rsidRDefault="00277DCB" w:rsidP="00277D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6068" w14:textId="77777777" w:rsidR="00277DCB" w:rsidRPr="00277DCB" w:rsidRDefault="00277DCB" w:rsidP="00277D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CB"/>
    <w:rsid w:val="0002484C"/>
    <w:rsid w:val="00277DCB"/>
    <w:rsid w:val="002C3023"/>
    <w:rsid w:val="003C28AF"/>
    <w:rsid w:val="0093028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52B0"/>
  <w15:chartTrackingRefBased/>
  <w15:docId w15:val="{1130BF5C-567A-4787-BABD-6659134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7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7D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7D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7D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7D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D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D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D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D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7D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7D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7D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7D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7D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D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D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DCB"/>
    <w:rPr>
      <w:rFonts w:eastAsiaTheme="majorEastAsia" w:cstheme="majorBidi"/>
      <w:color w:val="272727" w:themeColor="text1" w:themeTint="D8"/>
    </w:rPr>
  </w:style>
  <w:style w:type="paragraph" w:styleId="Titel">
    <w:name w:val="Title"/>
    <w:basedOn w:val="Standaard"/>
    <w:next w:val="Standaard"/>
    <w:link w:val="TitelChar"/>
    <w:uiPriority w:val="10"/>
    <w:qFormat/>
    <w:rsid w:val="00277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D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D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D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D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DCB"/>
    <w:rPr>
      <w:i/>
      <w:iCs/>
      <w:color w:val="404040" w:themeColor="text1" w:themeTint="BF"/>
    </w:rPr>
  </w:style>
  <w:style w:type="paragraph" w:styleId="Lijstalinea">
    <w:name w:val="List Paragraph"/>
    <w:basedOn w:val="Standaard"/>
    <w:uiPriority w:val="34"/>
    <w:qFormat/>
    <w:rsid w:val="00277DCB"/>
    <w:pPr>
      <w:ind w:left="720"/>
      <w:contextualSpacing/>
    </w:pPr>
  </w:style>
  <w:style w:type="character" w:styleId="Intensievebenadrukking">
    <w:name w:val="Intense Emphasis"/>
    <w:basedOn w:val="Standaardalinea-lettertype"/>
    <w:uiPriority w:val="21"/>
    <w:qFormat/>
    <w:rsid w:val="00277DCB"/>
    <w:rPr>
      <w:i/>
      <w:iCs/>
      <w:color w:val="0F4761" w:themeColor="accent1" w:themeShade="BF"/>
    </w:rPr>
  </w:style>
  <w:style w:type="paragraph" w:styleId="Duidelijkcitaat">
    <w:name w:val="Intense Quote"/>
    <w:basedOn w:val="Standaard"/>
    <w:next w:val="Standaard"/>
    <w:link w:val="DuidelijkcitaatChar"/>
    <w:uiPriority w:val="30"/>
    <w:qFormat/>
    <w:rsid w:val="00277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7DCB"/>
    <w:rPr>
      <w:i/>
      <w:iCs/>
      <w:color w:val="0F4761" w:themeColor="accent1" w:themeShade="BF"/>
    </w:rPr>
  </w:style>
  <w:style w:type="character" w:styleId="Intensieveverwijzing">
    <w:name w:val="Intense Reference"/>
    <w:basedOn w:val="Standaardalinea-lettertype"/>
    <w:uiPriority w:val="32"/>
    <w:qFormat/>
    <w:rsid w:val="00277DCB"/>
    <w:rPr>
      <w:b/>
      <w:bCs/>
      <w:smallCaps/>
      <w:color w:val="0F4761" w:themeColor="accent1" w:themeShade="BF"/>
      <w:spacing w:val="5"/>
    </w:rPr>
  </w:style>
  <w:style w:type="paragraph" w:styleId="Koptekst">
    <w:name w:val="header"/>
    <w:basedOn w:val="Standaard"/>
    <w:link w:val="KoptekstChar"/>
    <w:rsid w:val="00277D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77DC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77D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77DC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77DC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77DCB"/>
    <w:rPr>
      <w:rFonts w:ascii="Verdana" w:hAnsi="Verdana"/>
      <w:noProof/>
      <w:sz w:val="13"/>
      <w:szCs w:val="24"/>
      <w:lang w:eastAsia="nl-NL"/>
    </w:rPr>
  </w:style>
  <w:style w:type="paragraph" w:customStyle="1" w:styleId="Huisstijl-Gegeven">
    <w:name w:val="Huisstijl-Gegeven"/>
    <w:basedOn w:val="Standaard"/>
    <w:link w:val="Huisstijl-GegevenCharChar"/>
    <w:rsid w:val="00277DC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77DC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77DC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77DCB"/>
    <w:rPr>
      <w:color w:val="0000FF"/>
      <w:u w:val="single"/>
    </w:rPr>
  </w:style>
  <w:style w:type="paragraph" w:customStyle="1" w:styleId="Huisstijl-Retouradres">
    <w:name w:val="Huisstijl-Retouradres"/>
    <w:basedOn w:val="Standaard"/>
    <w:rsid w:val="00277DC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77DCB"/>
    <w:pPr>
      <w:spacing w:after="0"/>
    </w:pPr>
    <w:rPr>
      <w:b/>
    </w:rPr>
  </w:style>
  <w:style w:type="paragraph" w:customStyle="1" w:styleId="Huisstijl-Paginanummering">
    <w:name w:val="Huisstijl-Paginanummering"/>
    <w:basedOn w:val="Standaard"/>
    <w:rsid w:val="00277DC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77DC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77DC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77DC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77DCB"/>
    <w:rPr>
      <w:vertAlign w:val="superscript"/>
    </w:rPr>
  </w:style>
  <w:style w:type="paragraph" w:styleId="Geenafstand">
    <w:name w:val="No Spacing"/>
    <w:uiPriority w:val="1"/>
    <w:qFormat/>
    <w:rsid w:val="00277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nnet.eu/nl/nieuws/eneco-helpt-druk-op-het-elektriciteitsnet-utrecht-te-vermi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1921</ap:Words>
  <ap:Characters>10566</ap:Characters>
  <ap:DocSecurity>0</ap:DocSecurity>
  <ap:Lines>88</ap:Lines>
  <ap:Paragraphs>24</ap:Paragraphs>
  <ap:ScaleCrop>false</ap:ScaleCrop>
  <ap:LinksUpToDate>false</ap:LinksUpToDate>
  <ap:CharactersWithSpaces>12463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2025-07-21T06:31:00.0000000Z</dcterms:created>
  <dcterms:modified xsi:type="dcterms:W3CDTF">2025-07-21T06:31:00.0000000Z</dcterms:modified>
  <version/>
  <category/>
</coreProperties>
</file>