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2025Z14790</w:t>
        <w:br/>
      </w:r>
      <w:proofErr w:type="spellEnd"/>
    </w:p>
    <w:p>
      <w:pPr>
        <w:pStyle w:val="Normal"/>
        <w:rPr>
          <w:b w:val="1"/>
          <w:bCs w:val="1"/>
        </w:rPr>
      </w:pPr>
      <w:r w:rsidR="250AE766">
        <w:rPr>
          <w:b w:val="0"/>
          <w:bCs w:val="0"/>
        </w:rPr>
        <w:t>(ingezonden 18 juli 2025)</w:t>
        <w:br/>
      </w:r>
    </w:p>
    <w:p>
      <w:r>
        <w:t xml:space="preserve">Vragen van het lid Welzijn (Nieuw Sociaal Contract) aan de minister van Volkshuisvesting en Ruimtelijke Ordening over het programma Verbouwstromen.</w:t>
      </w:r>
      <w:r>
        <w:br/>
      </w:r>
    </w:p>
    <w:p>
      <w:pPr>
        <w:pStyle w:val="ListParagraph"/>
        <w:numPr>
          <w:ilvl w:val="0"/>
          <w:numId w:val="100483570"/>
        </w:numPr>
        <w:ind w:left="360"/>
      </w:pPr>
      <w:r>
        <w:t xml:space="preserve">Kunt u uiteenzetten welke analyse vooraf is gemaakt van de noodzakelijke randvoorwaarden om het programma Verbouwstromen succesvol te laten opereren? 1)</w:t>
      </w:r>
      <w:r>
        <w:br/>
      </w:r>
    </w:p>
    <w:p>
      <w:pPr>
        <w:pStyle w:val="ListParagraph"/>
        <w:numPr>
          <w:ilvl w:val="0"/>
          <w:numId w:val="100483570"/>
        </w:numPr>
        <w:ind w:left="360"/>
      </w:pPr>
      <w:r>
        <w:t xml:space="preserve">Zijn er vooraf zogeheten kritische succesfactoren benoemd die bepalend zijn voor het slagen van dit programma? Zo ja, welke?</w:t>
      </w:r>
      <w:r>
        <w:br/>
      </w:r>
    </w:p>
    <w:p>
      <w:pPr>
        <w:pStyle w:val="ListParagraph"/>
        <w:numPr>
          <w:ilvl w:val="0"/>
          <w:numId w:val="100483570"/>
        </w:numPr>
        <w:ind w:left="360"/>
      </w:pPr>
      <w:r>
        <w:t xml:space="preserve">Kunt u aangeven in hoeverre deze randvoorwaarden en succesfactoren bij aanvang van het programma daadwerkelijk aanwezig waren? Welke wel, en welke niet?</w:t>
      </w:r>
      <w:r>
        <w:br/>
      </w:r>
    </w:p>
    <w:p>
      <w:pPr>
        <w:pStyle w:val="ListParagraph"/>
        <w:numPr>
          <w:ilvl w:val="0"/>
          <w:numId w:val="100483570"/>
        </w:numPr>
        <w:ind w:left="360"/>
      </w:pPr>
      <w:r>
        <w:t xml:space="preserve">Voor de voorwaarden die bij de start ontbraken: op welke wijze en binnen welk tijdpad is getracht deze alsnog te realiseren?</w:t>
      </w:r>
      <w:r>
        <w:br/>
      </w:r>
    </w:p>
    <w:p>
      <w:pPr>
        <w:pStyle w:val="ListParagraph"/>
        <w:numPr>
          <w:ilvl w:val="0"/>
          <w:numId w:val="100483570"/>
        </w:numPr>
        <w:ind w:left="360"/>
      </w:pPr>
      <w:r>
        <w:t xml:space="preserve">Hoe lang loopt het programma Verbouwstromen inmiddels en welke aanvullende stappen zijn volgens u nog nodig voordat u kunt spreken van een zogenoemd ‘no-go’-moment?</w:t>
      </w:r>
      <w:r>
        <w:br/>
      </w:r>
    </w:p>
    <w:p>
      <w:pPr>
        <w:pStyle w:val="ListParagraph"/>
        <w:numPr>
          <w:ilvl w:val="0"/>
          <w:numId w:val="100483570"/>
        </w:numPr>
        <w:ind w:left="360"/>
      </w:pPr>
      <w:r>
        <w:t xml:space="preserve">Kunt u daarbij aangeven welke criteria u hanteert om te bepalen of het programma al dan niet verlengd zou moeten worden?</w:t>
      </w:r>
      <w:r>
        <w:br/>
      </w:r>
    </w:p>
    <w:p>
      <w:pPr>
        <w:pStyle w:val="ListParagraph"/>
        <w:numPr>
          <w:ilvl w:val="0"/>
          <w:numId w:val="100483570"/>
        </w:numPr>
        <w:ind w:left="360"/>
      </w:pPr>
      <w:r>
        <w:t xml:space="preserve">Kunt u reflecteren op de onderdelen van het programma die volgens u wél functioneren of op termijn mogelijk bruikbaar zijn binnen andere verduurzamingsaanpakken?</w:t>
      </w:r>
      <w:r>
        <w:br/>
      </w:r>
    </w:p>
    <w:p>
      <w:pPr>
        <w:pStyle w:val="ListParagraph"/>
        <w:numPr>
          <w:ilvl w:val="0"/>
          <w:numId w:val="100483570"/>
        </w:numPr>
        <w:ind w:left="360"/>
      </w:pPr>
      <w:r>
        <w:t xml:space="preserve">Zijn er op dit moment, of in ontwikkeling, alternatieve aanpakken die zich richten op dezelfde doelgroepen en beleidsdoelen als Verbouwstromen, maar die in uw ogen beter aansluiten bij de uitvoeringspraktijk en de structuur van de bouw- en renovatiesector?</w:t>
      </w:r>
      <w:r>
        <w:br/>
      </w:r>
    </w:p>
    <w:p>
      <w:pPr>
        <w:pStyle w:val="ListParagraph"/>
        <w:numPr>
          <w:ilvl w:val="0"/>
          <w:numId w:val="100483570"/>
        </w:numPr>
        <w:ind w:left="360"/>
      </w:pPr>
      <w:r>
        <w:t xml:space="preserve">Welk bedrag is tot op heden daadwerkelijk besteed binnen het programma Verbouwstromen, en welk bedrag is op de plank blijven liggen?</w:t>
      </w:r>
      <w:r>
        <w:br/>
      </w:r>
    </w:p>
    <w:p>
      <w:pPr>
        <w:pStyle w:val="ListParagraph"/>
        <w:numPr>
          <w:ilvl w:val="0"/>
          <w:numId w:val="100483570"/>
        </w:numPr>
        <w:ind w:left="360"/>
      </w:pPr>
      <w:r>
        <w:t xml:space="preserve">U gaf eerder aan dat middelen in de VRO-begroting nagenoeg volledig beleidsmatig dan wel juridisch vastlagen en daardoor niet beschikbaar waren voor alternatieve aanwending onder het budgetrecht van de Tweede Kamer. Hoe kijkt u terug op deze eerdere inschatting in het licht van de huidige situatie m.b.t. het programma?</w:t>
      </w:r>
      <w:r>
        <w:br/>
      </w:r>
    </w:p>
    <w:p>
      <w:pPr>
        <w:pStyle w:val="ListParagraph"/>
        <w:numPr>
          <w:ilvl w:val="0"/>
          <w:numId w:val="100483570"/>
        </w:numPr>
        <w:ind w:left="360"/>
      </w:pPr>
      <w:r>
        <w:t xml:space="preserve">Kunt u exact aangeven welk deel van de middelen die eerder als vaststaand werden gepresenteerd, inmiddels alsnog beschikbaar komt voor alternatieve inzet en besluitvorming door de Kamer?</w:t>
      </w:r>
      <w:r>
        <w:br/>
      </w:r>
    </w:p>
    <w:p>
      <w:pPr>
        <w:pStyle w:val="ListParagraph"/>
        <w:numPr>
          <w:ilvl w:val="0"/>
          <w:numId w:val="100483570"/>
        </w:numPr>
        <w:ind w:left="360"/>
      </w:pPr>
      <w:r>
        <w:t xml:space="preserve">Kunt u deze vragen één voor één beantwoorden?</w:t>
      </w:r>
      <w:r>
        <w:br/>
      </w:r>
    </w:p>
    <w:p>
      <w:r>
        <w:t xml:space="preserve"> </w:t>
      </w:r>
      <w:r>
        <w:br/>
      </w:r>
    </w:p>
    <w:p>
      <w:r>
        <w:t xml:space="preserve">1) Kamerstuk 32847, nr. 1376.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