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2025Z14846</w:t>
        <w:br/>
      </w:r>
      <w:proofErr w:type="spellEnd"/>
    </w:p>
    <w:p>
      <w:pPr>
        <w:pStyle w:val="Normal"/>
        <w:rPr>
          <w:b w:val="1"/>
          <w:bCs w:val="1"/>
        </w:rPr>
      </w:pPr>
      <w:r w:rsidR="250AE766">
        <w:rPr>
          <w:b w:val="0"/>
          <w:bCs w:val="0"/>
        </w:rPr>
        <w:t>(ingezonden 22 juli 2025)</w:t>
        <w:br/>
      </w:r>
    </w:p>
    <w:p>
      <w:r>
        <w:t xml:space="preserve">Vragen van het lid Van Nispen (SP) aan de minister voor Asiel en Migratie over het artikel ‘Rijk of arm geen factor bij overleg over asielopvang’.</w:t>
      </w:r>
      <w:r>
        <w:br/>
      </w:r>
    </w:p>
    <w:p>
      <w:pPr>
        <w:pStyle w:val="ListParagraph"/>
        <w:numPr>
          <w:ilvl w:val="0"/>
          <w:numId w:val="100483690"/>
        </w:numPr>
        <w:ind w:left="360"/>
      </w:pPr>
      <w:r>
        <w:t xml:space="preserve">Bent u bekend met het artikel </w:t>
      </w:r>
      <w:r>
        <w:rPr>
          <w:i w:val="1"/>
          <w:iCs w:val="1"/>
        </w:rPr>
        <w:t xml:space="preserve">‘</w:t>
      </w:r>
      <w:r>
        <w:rPr/>
        <w:t xml:space="preserve">Rijk of arm geen factor bij overleg over asielopvang’? 1)</w:t>
      </w:r>
      <w:r>
        <w:br/>
      </w:r>
      <w:r>
        <w:t xml:space="preserve"> </w:t>
      </w:r>
      <w:r>
        <w:br/>
      </w:r>
    </w:p>
    <w:p>
      <w:pPr>
        <w:pStyle w:val="ListParagraph"/>
        <w:numPr>
          <w:ilvl w:val="0"/>
          <w:numId w:val="100483690"/>
        </w:numPr>
        <w:ind w:left="360"/>
      </w:pPr>
      <w:r>
        <w:t xml:space="preserve">Klopt het dat er in de Provinciale en Regionale Regietafels over de spreiding van asielopvangplekken geen rekening wordt gehouden met de sociaaleconomische draagkracht van gemeenten, zoals in het artikel wordt gesteld?</w:t>
      </w:r>
      <w:r>
        <w:br/>
      </w:r>
      <w:r>
        <w:t xml:space="preserve"> </w:t>
      </w:r>
      <w:r>
        <w:br/>
      </w:r>
    </w:p>
    <w:p>
      <w:pPr>
        <w:pStyle w:val="ListParagraph"/>
        <w:numPr>
          <w:ilvl w:val="0"/>
          <w:numId w:val="100483690"/>
        </w:numPr>
        <w:ind w:left="360"/>
      </w:pPr>
      <w:r>
        <w:t xml:space="preserve">Hoe verhoudt deze praktijk zich tot de Spreidingswet, waarin via het amendement van het lid Van Dijk (Kamerstuk 36333, nr. 75) is vastgelegd dat naast inwoneraantal ook de Sociaaleconomische status – Welvaart, Opleiding en Arbeidsscore (SES‑WOA-score) bepalend is voor de spreiding van opvangplekken?</w:t>
      </w:r>
      <w:r>
        <w:br/>
      </w:r>
      <w:r>
        <w:t xml:space="preserve"> </w:t>
      </w:r>
      <w:r>
        <w:br/>
      </w:r>
    </w:p>
    <w:p>
      <w:pPr>
        <w:pStyle w:val="ListParagraph"/>
        <w:numPr>
          <w:ilvl w:val="0"/>
          <w:numId w:val="100483690"/>
        </w:numPr>
        <w:ind w:left="360"/>
      </w:pPr>
      <w:r>
        <w:t xml:space="preserve">Kunt u aangeven in hoeverre er sinds de inwerkingtreding van de Spreidingswet in deze overleggen rekening is gehouden met de SES‑WOA-score, en hoe zich dat vertaalt in de daadwerkelijke verdeling van opvangplekken per gemeente?</w:t>
      </w:r>
      <w:r>
        <w:br/>
      </w:r>
      <w:r>
        <w:t xml:space="preserve"> </w:t>
      </w:r>
      <w:r>
        <w:br/>
      </w:r>
    </w:p>
    <w:p>
      <w:pPr>
        <w:pStyle w:val="ListParagraph"/>
        <w:numPr>
          <w:ilvl w:val="0"/>
          <w:numId w:val="100483690"/>
        </w:numPr>
        <w:ind w:left="360"/>
      </w:pPr>
      <w:r>
        <w:t xml:space="preserve">Deelt u de opvatting dat het negeren van sociaaleconomische verschillen bij de verdeling van asielopvangplekken in strijd is met de wet? Zo nee, waarom niet?</w:t>
      </w:r>
      <w:r>
        <w:br/>
      </w:r>
      <w:r>
        <w:t xml:space="preserve"> </w:t>
      </w:r>
      <w:r>
        <w:br/>
      </w:r>
    </w:p>
    <w:p>
      <w:pPr>
        <w:pStyle w:val="ListParagraph"/>
        <w:numPr>
          <w:ilvl w:val="0"/>
          <w:numId w:val="100483690"/>
        </w:numPr>
        <w:ind w:left="360"/>
      </w:pPr>
      <w:r>
        <w:t xml:space="preserve">Waarom is de SES‑WOA-score, ondanks de wettelijke basis, geen onderdeel van de gesprekken binnen de Provinciale en Regionale Regietafels?</w:t>
      </w:r>
      <w:r>
        <w:br/>
      </w:r>
      <w:r>
        <w:t xml:space="preserve"> </w:t>
      </w:r>
      <w:r>
        <w:br/>
      </w:r>
    </w:p>
    <w:p>
      <w:pPr>
        <w:pStyle w:val="ListParagraph"/>
        <w:numPr>
          <w:ilvl w:val="0"/>
          <w:numId w:val="100483690"/>
        </w:numPr>
        <w:ind w:left="360"/>
      </w:pPr>
      <w:r>
        <w:t xml:space="preserve">Welke mogelijkheden heeft u om in te grijpen wanneer gemeenten of regio’s bij de verdeling van asielopvangplekken geen of weinig rekening houden met de SES‑WOA-score? En gaat u dat ook doen?</w:t>
      </w:r>
      <w:r>
        <w:br/>
      </w:r>
      <w:r>
        <w:t xml:space="preserve"> </w:t>
      </w:r>
      <w:r>
        <w:br/>
      </w:r>
    </w:p>
    <w:p>
      <w:pPr>
        <w:pStyle w:val="ListParagraph"/>
        <w:numPr>
          <w:ilvl w:val="0"/>
          <w:numId w:val="100483690"/>
        </w:numPr>
        <w:ind w:left="360"/>
      </w:pPr>
      <w:r>
        <w:t xml:space="preserve">Bent u bereid aanvullende richtlijnen op te stellen, zodat provincies en gemeenten actief de sociaaleconomische draagkracht betrekken bij de verdeling van asielopvangplekken?</w:t>
      </w:r>
      <w:r>
        <w:br/>
      </w:r>
    </w:p>
    <w:p>
      <w:r>
        <w:t xml:space="preserve">1) Binnenlands Bestuur, 18 juli 2025, ‘Rijk of arm geen factor bij overleg over asielopvang’, www.binnenlandsbestuur.nl/sociaal/rijk-of-arm-geen-factor-bij-overleg-over-asielopvang</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3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3670">
    <w:abstractNumId w:val="100483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