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2025Z14848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juli 2025)</w:t>
        <w:br/>
      </w:r>
    </w:p>
    <w:p>
      <w:r>
        <w:t xml:space="preserve">Vragen van het lid Eerdmans (JA21) aan de minister van Binnenlandse Zaken en Koninkrijksrelaties over iftars op ministeries.</w:t>
      </w:r>
      <w:r>
        <w:br/>
      </w:r>
    </w:p>
    <w:p>
      <w:r>
        <w:t xml:space="preserve"> </w:t>
      </w:r>
      <w:r>
        <w:br/>
      </w:r>
    </w:p>
    <w:p>
      <w:r>
        <w:t xml:space="preserve">1. Kunt u aangeven op welke ministeries er dit jaar een iftar (avondeten tijdens de ramadan) is georganiseerd?</w:t>
      </w:r>
      <w:r>
        <w:br/>
      </w:r>
    </w:p>
    <w:p>
      <w:r>
        <w:t xml:space="preserve">2. Op wiens initiatief zijn deze iftars georganiseerd?</w:t>
      </w:r>
      <w:r>
        <w:br/>
      </w:r>
    </w:p>
    <w:p>
      <w:r>
        <w:t xml:space="preserve">3. Kunt u aangeven wat de kosten per iftar per ministerie bedroegen?</w:t>
      </w:r>
      <w:r>
        <w:br/>
      </w:r>
    </w:p>
    <w:p>
      <w:r>
        <w:t xml:space="preserve">4. Hoe verhoudt het faciliteren van religieuze bijeenkomsten door ministeries zich tot het grondwettelijke principe van de scheiding van kerk en staat?</w:t>
      </w:r>
      <w:r>
        <w:br/>
      </w:r>
    </w:p>
    <w:p>
      <w:r>
        <w:t xml:space="preserve">5. Bent u van mening dat ambtenaren neutraal hun ambt moeten bekleden en dat het organiseren van iftars haaks staat op de neutraliteit van ambtenaren?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36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3670">
    <w:abstractNumId w:val="1004836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