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2025Z14864</w:t>
        <w:br/>
      </w:r>
      <w:proofErr w:type="spellEnd"/>
    </w:p>
    <w:p>
      <w:pPr>
        <w:pStyle w:val="Normal"/>
        <w:rPr>
          <w:b w:val="1"/>
          <w:bCs w:val="1"/>
        </w:rPr>
      </w:pPr>
      <w:r w:rsidR="250AE766">
        <w:rPr>
          <w:b w:val="0"/>
          <w:bCs w:val="0"/>
        </w:rPr>
        <w:t>(ingezonden 23 juli 2025)</w:t>
        <w:br/>
      </w:r>
    </w:p>
    <w:p>
      <w:r>
        <w:t xml:space="preserve">Vragen van het lid Beckerman (SP) aan de staatssecretaris van Binnenlandse Zaken en Koninkrijkrelaties over het niet coulant omgaan met bezwaren van gedupeerde Groningers.</w:t>
      </w:r>
      <w:r>
        <w:br/>
      </w:r>
    </w:p>
    <w:p>
      <w:r>
        <w:t xml:space="preserve"> </w:t>
      </w:r>
      <w:r>
        <w:br/>
      </w:r>
    </w:p>
    <w:p>
      <w:r>
        <w:t xml:space="preserve">1. Staat u nog steeds achter uw meermaals herhaalde uitspraak dat bewoners die twijfelen over hun rapport bezwaar kunnen maken ook als de bezwaartermijn is verlopen, gezien er de afgelopen tijd veel debat is geweest over fouten in Nationaal Coördinator Groningen (NCG-)dossiers?</w:t>
      </w:r>
      <w:r>
        <w:br/>
      </w:r>
    </w:p>
    <w:p>
      <w:r>
        <w:t xml:space="preserve">2. In juni kwamen er opnieuw signalen van bewoners dat er, in weerwil van uw beloftes, door de NCG niet coulant met bezwaartermijnen werd omgegaan, u herhaalde toen dat u coulance belangrijk vindt, welke stappen heeft u gezet om dit waar te maken?</w:t>
      </w:r>
      <w:r>
        <w:br/>
      </w:r>
    </w:p>
    <w:p>
      <w:r>
        <w:t xml:space="preserve">3. Hoe voert u de met 148 stemmen voor aangenomen motie Beckerman c.s. om daadwerkelijk coulant om te gaan met de wettelijke (bezwaar)termijnen uit? 1)</w:t>
      </w:r>
      <w:r>
        <w:br/>
      </w:r>
    </w:p>
    <w:p>
      <w:r>
        <w:t xml:space="preserve">4. Hoe voert u het al in februari aangenomen amendement Beckerman/Bushoff uit om expliciet mogelijk te maken dat besluiten kunnen worden herzien? Welke stappen zijn gezet en welke gaat u nog zetten? 2)</w:t>
      </w:r>
      <w:r>
        <w:br/>
      </w:r>
    </w:p>
    <w:p>
      <w:r>
        <w:t xml:space="preserve">5. Kunt u uitleggen hoe het kan dat bewoners opnieuw brieven krijgen van de NCG (dagtekening 14 juli) dat er niet coulant omgegaan zal worden met hun bezwaar, gezien dit haaks staat op zowel uw beloftes als aangenomen Kamervoorstellen?</w:t>
      </w:r>
      <w:r>
        <w:br/>
      </w:r>
    </w:p>
    <w:p>
      <w:r>
        <w:t xml:space="preserve">6. Bent u van mening dat het voor bewoners die al jarenlang in onzekerheid zitten over hun huis en nu twijfelen over het rapport dat ze van de NCG hebben gekregen cruciaal is dat ze in bezwaar kunnen gaan?</w:t>
      </w:r>
      <w:r>
        <w:br/>
      </w:r>
    </w:p>
    <w:p>
      <w:r>
        <w:t xml:space="preserve">7. Bent u voorts van mening dat het een slechte zaak is wanneer dit, ondanks de gedane beloftes en aangenomen voorstellen, door de NCG wordt geblokkeerd?</w:t>
      </w:r>
      <w:r>
        <w:br/>
      </w:r>
    </w:p>
    <w:p>
      <w:r>
        <w:t xml:space="preserve">8. Bent u van deze brieven op de hoogte, gezien de brieven die de NCG verstuurt worden ondertekend met ‘Hoogachtend, Namens de staatssecretaris van Binnenlandse Zaken en Koninkrijksrelaties – Herstel Groningen’?</w:t>
      </w:r>
      <w:r>
        <w:br/>
      </w:r>
    </w:p>
    <w:p>
      <w:r>
        <w:t xml:space="preserve">9. Wat is er meer nodig dan een aangenomen amendement, een aangenomen motie en uw belofte om te zorgen dat bewoners die twijfelen over hun rapport daadwerkelijk in bezwaar kunnen gaan?</w:t>
      </w:r>
      <w:r>
        <w:br/>
      </w:r>
    </w:p>
    <w:p>
      <w:r>
        <w:t xml:space="preserve">10. Wat wilt u doen om te zorgen dat bewoners niet opnieuw een hele strijd aan hoeven gaan wanneer ze zorgen hebben over de kwaliteit van hun rapport?</w:t>
      </w:r>
      <w:r>
        <w:br/>
      </w:r>
    </w:p>
    <w:p>
      <w:r>
        <w:t xml:space="preserve">11. Indien u toch van menig blijkt dat coulance slechts geldt voor een deel van de gedupeerden, welke criteria worden dan toegepast om te bepalen welke te late bezwaren wel en niet ontvankelijk zijn?</w:t>
      </w:r>
      <w:r>
        <w:br/>
      </w:r>
    </w:p>
    <w:p>
      <w:r>
        <w:t xml:space="preserve"> </w:t>
      </w:r>
      <w:r>
        <w:br/>
      </w:r>
    </w:p>
    <w:p>
      <w:r>
        <w:t xml:space="preserve">1) Kamerstuk 33 529, nr. 1303.</w:t>
      </w:r>
      <w:r>
        <w:br/>
      </w:r>
    </w:p>
    <w:p>
      <w:r>
        <w:t xml:space="preserve">2) Kamerstuk 36 566, nr. 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