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2025Z14872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24 juli 2025)</w:t>
        <w:br/>
      </w:r>
    </w:p>
    <w:p>
      <w:r>
        <w:t xml:space="preserve">Vragen van het lid Welzijn (Nieuw Sociaal Contract) aan de staatssecretaris van Sociale Zaken en Werkgelegenheid over tegengaan van versnippering in regelgeving en hulp bij armoede en schulden.</w:t>
      </w:r>
      <w:r>
        <w:br/>
      </w:r>
    </w:p>
    <w:p>
      <w:r>
        <w:t xml:space="preserve"> </w:t>
      </w:r>
      <w:r>
        <w:br/>
      </w:r>
    </w:p>
    <w:p>
      <w:r>
        <w:t xml:space="preserve">1. Deelt het kabinet de opvatting dat armoede- en schuldenbeleid idealiter integraal moeten worden vormgegeven, zodat mensen met geldzorgen niet tussen loketten en wetgeving vallen?</w:t>
      </w:r>
      <w:r>
        <w:br/>
      </w:r>
    </w:p>
    <w:p>
      <w:r>
        <w:t xml:space="preserve">2. Welke concrete stappen worden gezet om de versnippering in regelgeving, loketten en toegang tot hulp bij armoede en schulden te verminderen?</w:t>
      </w:r>
      <w:r>
        <w:br/>
      </w:r>
    </w:p>
    <w:p>
      <w:r>
        <w:t xml:space="preserve">3. Bent u bereid om te verkennen of er binnen het Nationaal Programma Armoede en Schulden een pilot kan worden gestart met één regisseur voor armoede- én schuldenaanpak in gemeenten?</w:t>
      </w:r>
      <w:r>
        <w:br/>
      </w:r>
    </w:p>
    <w:p>
      <w:r>
        <w:t xml:space="preserve">4. Herkent u het risico dat financiële prikkels om (meer) te gaan werken voor mensen met schulden beperkt zijn, omdat extra inkomsten soms direct worden verrekend of wegvallen in de schuldsanering?</w:t>
      </w:r>
      <w:r>
        <w:br/>
      </w:r>
    </w:p>
    <w:p>
      <w:r>
        <w:t xml:space="preserve">5. Hoe sluit het programma aan bij de beoogde verruiming van bijverdienmogelijkheden uit het wetsvoorstel Participatiewet in balans?</w:t>
      </w:r>
      <w:r>
        <w:br/>
      </w:r>
    </w:p>
    <w:p>
      <w:r>
        <w:t xml:space="preserve">6. Bent u bereid om te onderzoeken in hoeverre bijverdiengrenzen en vrijlatingsregelingen in de schuldhulpverlening het perspectief op zelfredzaamheid ondermijnen?</w:t>
      </w:r>
      <w:r>
        <w:br/>
      </w:r>
    </w:p>
    <w:p>
      <w:r>
        <w:t xml:space="preserve">7. Welke structurele aandacht krijgt terugvalpreventie na afronding van een schuldhulptraject in het nieuwe Nationaal Programma Armoede en Schulden?</w:t>
      </w:r>
      <w:r>
        <w:br/>
      </w:r>
    </w:p>
    <w:p>
      <w:r>
        <w:t xml:space="preserve">8. Wordt ervaringsdeskundigheid ook ingezet bij het ontwerpen van terugvalpreventie en gedragsinterventies?</w:t>
      </w:r>
      <w:r>
        <w:br/>
      </w:r>
    </w:p>
    <w:p>
      <w:r>
        <w:t xml:space="preserve">9. Hoe wordt geborgd dat kleine schulden daadwerkelijk klein blijven, ook in de fase na schuldhulpverlening?</w:t>
      </w:r>
      <w:r>
        <w:br/>
      </w:r>
    </w:p>
    <w:p>
      <w:r>
        <w:t xml:space="preserve">10. In hoeverre is bij de ontwikkeling van de Routekaart Financiële Zorgen en de nieuwe toolkit bewust gestuurd op het vermijden van extra bureaucratie voor gemeenten en inwoners? 1)</w:t>
      </w:r>
      <w:r>
        <w:br/>
      </w:r>
    </w:p>
    <w:p>
      <w:r>
        <w:t xml:space="preserve">11. Wordt de regeldruk voor mensen met schulden of armoede op structurele wijze gemonitord? Zo ja, kunt u de resultaten met de Kamer delen?</w:t>
      </w:r>
      <w:r>
        <w:br/>
      </w:r>
    </w:p>
    <w:p>
      <w:r>
        <w:t xml:space="preserve">12. Hoe wordt geborgd dat initiatieven zoals KEUS (inzet van ervaringsdeskundigheid) geen projectmatige pilots blijven, maar structureel verankerd worden in beleid en uitvoering?</w:t>
      </w:r>
      <w:r>
        <w:br/>
      </w:r>
    </w:p>
    <w:p>
      <w:r>
        <w:t xml:space="preserve">13. Op welke manier krijgen ervaringsdeskundigen een formele plek binnen gemeenten, vergelijkbaar met beleidsmedewerkers of klantadviseurs?</w:t>
      </w:r>
      <w:r>
        <w:br/>
      </w:r>
    </w:p>
    <w:p>
      <w:r>
        <w:t xml:space="preserve">14. Hoe wordt in de Participatiewet in balans invulling gegeven aan het uitgangspunt van "meer mens, minder systeem"?</w:t>
      </w:r>
      <w:r>
        <w:br/>
      </w:r>
    </w:p>
    <w:p>
      <w:r>
        <w:t xml:space="preserve">15. Kunt u deze vragen een voor een beantwoorden?</w:t>
      </w:r>
      <w:r>
        <w:br/>
      </w:r>
    </w:p>
    <w:p>
      <w:r>
        <w:t xml:space="preserve"> </w:t>
      </w:r>
      <w:r>
        <w:br/>
      </w:r>
    </w:p>
    <w:p>
      <w:r>
        <w:t xml:space="preserve">1) Kamerstuk 2025D33271.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