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2025Z14869</w:t>
        <w:br/>
      </w:r>
      <w:proofErr w:type="spellEnd"/>
    </w:p>
    <w:p>
      <w:pPr>
        <w:pStyle w:val="Normal"/>
        <w:rPr>
          <w:b w:val="1"/>
          <w:bCs w:val="1"/>
        </w:rPr>
      </w:pPr>
      <w:r w:rsidR="250AE766">
        <w:rPr>
          <w:b w:val="0"/>
          <w:bCs w:val="0"/>
        </w:rPr>
        <w:t>(ingezonden 24 juli 2025)</w:t>
        <w:br/>
      </w:r>
    </w:p>
    <w:p>
      <w:r>
        <w:t xml:space="preserve">Vragen van het lid Van Waveren (Nieuw Sociaal Contract) aan de minister van Binnenlandse Zaken en Koninkrijksrelaties en de minister-president over spreiding Rijkswerkgelegenheid en ontwikkeling Rijksdienst.</w:t>
      </w:r>
      <w:r>
        <w:br/>
      </w:r>
    </w:p>
    <w:p>
      <w:r>
        <w:t xml:space="preserve"> </w:t>
      </w:r>
      <w:r>
        <w:br/>
      </w:r>
    </w:p>
    <w:p>
      <w:r>
        <w:t xml:space="preserve">1. Onderschrijft het kabinet nog steeds de doelstellingen voor spreiding van Rijkswerkgelegenheid, zoals vastgelegd in de Kamerbrieven van 8 mei 2024 en 25 oktober 2024? 1) 2)</w:t>
      </w:r>
      <w:r>
        <w:br/>
      </w:r>
    </w:p>
    <w:p>
      <w:r>
        <w:t xml:space="preserve">2. Op welke wijze is de versterkte, coördinerende rol van de minister van Binnenlandse Zaken en Koninkrijksrelaties tot uitvoering gebracht? Kunt u dit voor elk van de punten (a t/m e), die in de brief van 8 mei genoemd worden separaat concreet maken met voorbeelden?</w:t>
      </w:r>
      <w:r>
        <w:br/>
      </w:r>
    </w:p>
    <w:p>
      <w:r>
        <w:t xml:space="preserve">3. Kunt u aangeven welke werkgelegenheid feitelijk op een andere locatie is beland door de coördinerende inzet van de minister van Binnenlandse Zaken en Koninkrijksrelaties, graag met aantallen fte en vestigingslocaties?</w:t>
      </w:r>
      <w:r>
        <w:br/>
      </w:r>
    </w:p>
    <w:p>
      <w:r>
        <w:t xml:space="preserve">4. Indien onder vraag 3 geen of weinig concrete voorbeelden genoemd kunnen worden, wat bent u dan voornemens te wijzigen in het beleid om de beoogde doelstellingen alsnog te bereiken?</w:t>
      </w:r>
      <w:r>
        <w:br/>
      </w:r>
    </w:p>
    <w:p>
      <w:r>
        <w:t xml:space="preserve">5. Heeft u in de Ministeriële Commissie Taakstelling Rijksdienst (MCTR) al gesproken over de effecten van de krimptaakstelling op de regionale spreiding van Rijkswerkgelegenheid? Zo ja, wat was de uitkomst daarvan?</w:t>
      </w:r>
      <w:r>
        <w:br/>
      </w:r>
    </w:p>
    <w:p>
      <w:r>
        <w:t xml:space="preserve">6. In hoeverre zijn de regionale effecten van de voorgenomen bezuinigingen op de Rijksdienst op dit moment in beeld en op welke wijze wordt daar op gestuurd?</w:t>
      </w:r>
      <w:r>
        <w:br/>
      </w:r>
    </w:p>
    <w:p>
      <w:r>
        <w:t xml:space="preserve">7. Kunt u per ministerie aangeven hoe de uitvoering van de 22% taakstelling uitpakt voor de regionale spreiding van de werkgelegenheid?</w:t>
      </w:r>
      <w:r>
        <w:br/>
      </w:r>
    </w:p>
    <w:p>
      <w:r>
        <w:t xml:space="preserve">8. Bent u van mening dat de taakstelling – door de opdracht die daaronder ligt – voor het overgrote deel in de Haagse departementen moet neerslaan?</w:t>
      </w:r>
      <w:r>
        <w:br/>
      </w:r>
    </w:p>
    <w:p>
      <w:r>
        <w:t xml:space="preserve">9. Bent u bereid in de eerstvolgende MCTR of anderszins binnen het kabinet te komen tot een Rijksbrede werkwijze om te voorkomen dat krimp van de Rijksdienst leidt tot verminderde regionale spreiding? Zo nee, waarom niet?</w:t>
      </w:r>
      <w:r>
        <w:br/>
      </w:r>
    </w:p>
    <w:p>
      <w:r>
        <w:t xml:space="preserve"> </w:t>
      </w:r>
      <w:r>
        <w:br/>
      </w:r>
    </w:p>
    <w:p>
      <w:r>
        <w:t xml:space="preserve">1) Kamerstuk 31490, nr. 337.</w:t>
      </w:r>
      <w:r>
        <w:br/>
      </w:r>
    </w:p>
    <w:p>
      <w:r>
        <w:t xml:space="preserve">2) Kamerstuk 31 490, nr. 347.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