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702" w:rsidP="00D44702" w:rsidRDefault="00D44702" w14:paraId="2B5E16F8" w14:textId="04F3C424">
      <w:r>
        <w:t>AH 2792</w:t>
      </w:r>
    </w:p>
    <w:p w:rsidR="00D44702" w:rsidP="00D44702" w:rsidRDefault="00D44702" w14:paraId="3A06F69C" w14:textId="7750127F">
      <w:r>
        <w:t>2025Z14070</w:t>
      </w:r>
    </w:p>
    <w:p w:rsidR="00D44702" w:rsidP="00D44702" w:rsidRDefault="00D44702" w14:paraId="7087E02D" w14:textId="11EA0F87">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 augustus 2025)</w:t>
      </w:r>
    </w:p>
    <w:p w:rsidRPr="0092748D" w:rsidR="00D44702" w:rsidP="00D44702" w:rsidRDefault="00D44702" w14:paraId="53A3FC76" w14:textId="77777777">
      <w:pPr>
        <w:rPr>
          <w:b/>
          <w:bCs/>
        </w:rPr>
      </w:pPr>
      <w:r w:rsidRPr="0092748D">
        <w:rPr>
          <w:b/>
          <w:bCs/>
        </w:rPr>
        <w:t>Vraag 1</w:t>
      </w:r>
    </w:p>
    <w:p w:rsidR="00D44702" w:rsidP="00D44702" w:rsidRDefault="00D44702" w14:paraId="551928F0" w14:textId="77777777">
      <w:r w:rsidRPr="00FD3249">
        <w:t xml:space="preserve">Bent u bekend met het bericht </w:t>
      </w:r>
      <w:bookmarkStart w:name="_Hlk202871691" w:id="0"/>
      <w:r w:rsidRPr="00FD3249">
        <w:t>‘Tekort aan drinkwater dreigt, beloofde voorraden komen niet van de grond</w:t>
      </w:r>
      <w:bookmarkEnd w:id="0"/>
      <w:r>
        <w:t>’</w:t>
      </w:r>
      <w:r>
        <w:rPr>
          <w:rStyle w:val="Voetnootmarkering"/>
        </w:rPr>
        <w:footnoteReference w:id="1"/>
      </w:r>
      <w:r w:rsidRPr="00FD3249">
        <w:t xml:space="preserve"> en het interview met de Hans de Groene van Vewin </w:t>
      </w:r>
      <w:r w:rsidRPr="00845A62">
        <w:t>op NPO Radio 1 op 2 juli 2025 over dit onderwerp</w:t>
      </w:r>
      <w:r>
        <w:rPr>
          <w:rStyle w:val="Voetnootmarkering"/>
        </w:rPr>
        <w:footnoteReference w:id="2"/>
      </w:r>
      <w:r w:rsidRPr="00845A62">
        <w:t>?</w:t>
      </w:r>
    </w:p>
    <w:p w:rsidR="00D44702" w:rsidP="00D44702" w:rsidRDefault="00D44702" w14:paraId="41445282" w14:textId="77777777">
      <w:r w:rsidRPr="00845A62">
        <w:t>Antwoord</w:t>
      </w:r>
      <w:r>
        <w:br/>
      </w:r>
      <w:r w:rsidRPr="00845A62">
        <w:t>Ja</w:t>
      </w:r>
      <w:r>
        <w:t>.</w:t>
      </w:r>
    </w:p>
    <w:p w:rsidRPr="00845A62" w:rsidR="00D44702" w:rsidP="00D44702" w:rsidRDefault="00D44702" w14:paraId="751E1E77" w14:textId="77777777">
      <w:r w:rsidRPr="0092748D">
        <w:rPr>
          <w:b/>
          <w:bCs/>
        </w:rPr>
        <w:t>Vraag 2</w:t>
      </w:r>
      <w:r w:rsidRPr="00845A62">
        <w:br/>
        <w:t>Kunt u een overzicht geven per provincie van de stand van zaken met betrekking tot het aanwijzen van aanvullende strategische voorraden (ASV’s) en met name de verwachte realisatietermijn?</w:t>
      </w:r>
    </w:p>
    <w:p w:rsidRPr="0092748D" w:rsidR="00D44702" w:rsidP="00D44702" w:rsidRDefault="00D44702" w14:paraId="1F83A1E2" w14:textId="77777777">
      <w:pPr>
        <w:rPr>
          <w:b/>
          <w:bCs/>
        </w:rPr>
      </w:pPr>
      <w:r w:rsidRPr="0092748D">
        <w:rPr>
          <w:b/>
          <w:bCs/>
        </w:rPr>
        <w:t>Antwoord</w:t>
      </w:r>
    </w:p>
    <w:p w:rsidR="00D44702" w:rsidP="00D44702" w:rsidRDefault="00D44702" w14:paraId="17E62F40" w14:textId="77777777">
      <w:r w:rsidRPr="00845A62">
        <w:t xml:space="preserve">De stand van zaken van het aanwijzen van Aanvullende Strategische Voorraden (ASV) verschilt per provincie. Drenthe, Overijssel, Gelderland, Limburg, Flevoland, Utrecht, Zuid-Holland en Noord-Holland hebben de ASV aangewezen en vastgelegd in de provinciale omgevingsverordening. </w:t>
      </w:r>
    </w:p>
    <w:p w:rsidRPr="00845A62" w:rsidR="00D44702" w:rsidP="00D44702" w:rsidRDefault="00D44702" w14:paraId="74AF5D0C" w14:textId="77777777">
      <w:r w:rsidRPr="00845A62">
        <w:t xml:space="preserve">Groningen en Friesland voeren een planMER procedure uit om de ASV aan te wijzen, deze procedure is naar verwachting in 2026 afgerond. De provincies Zeeland en Noord-Brabant </w:t>
      </w:r>
      <w:r>
        <w:t>hebben ervoor gekozen om</w:t>
      </w:r>
      <w:r w:rsidRPr="00845A62">
        <w:t xml:space="preserve"> geen ASV aan </w:t>
      </w:r>
      <w:r>
        <w:t xml:space="preserve">te wijzen vanwege een gebrek aan grondwatervoorraden. Deze provincies </w:t>
      </w:r>
      <w:r w:rsidRPr="00845A62">
        <w:t>zoeken andere mogelijkheden om te voldoen aan de toekomstige drinkwatervraag.</w:t>
      </w:r>
    </w:p>
    <w:p w:rsidR="00D44702" w:rsidP="00D44702" w:rsidRDefault="00D44702" w14:paraId="06919B69" w14:textId="77777777"/>
    <w:p w:rsidRPr="00845A62" w:rsidR="00D44702" w:rsidP="00D44702" w:rsidRDefault="00D44702" w14:paraId="1B03BCF9" w14:textId="77777777">
      <w:r w:rsidRPr="00845A62">
        <w:t>De ASV zijn grondwatervoorraden die ingezet kunnen worden om te voldoen aan de stijgende drinkwatervraag tot 2040</w:t>
      </w:r>
      <w:r>
        <w:t>, de ASV worden aangewezen door de provincies.</w:t>
      </w:r>
      <w:r w:rsidRPr="00845A62">
        <w:t xml:space="preserve"> </w:t>
      </w:r>
      <w:r>
        <w:t>Naast grondwatervoorraden (ASV) zetten provincies in op alternatieve bronnen en mogelijkheden tot drinkwaterbesparing om te voldoen aan de stijgende drinkwatervraag tot 2040.</w:t>
      </w:r>
      <w:r w:rsidRPr="005772E7">
        <w:t xml:space="preserve"> </w:t>
      </w:r>
    </w:p>
    <w:p w:rsidRPr="00845A62" w:rsidR="00D44702" w:rsidP="00D44702" w:rsidRDefault="00D44702" w14:paraId="79756E47" w14:textId="77777777"/>
    <w:p w:rsidRPr="0092748D" w:rsidR="00D44702" w:rsidP="00D44702" w:rsidRDefault="00D44702" w14:paraId="2914811F" w14:textId="77777777">
      <w:pPr>
        <w:rPr>
          <w:b/>
          <w:bCs/>
        </w:rPr>
      </w:pPr>
      <w:r w:rsidRPr="0092748D">
        <w:rPr>
          <w:b/>
          <w:bCs/>
        </w:rPr>
        <w:t>Vraag 3</w:t>
      </w:r>
    </w:p>
    <w:p w:rsidRPr="00845A62" w:rsidR="00D44702" w:rsidP="00D44702" w:rsidRDefault="00D44702" w14:paraId="12AA4853" w14:textId="77777777">
      <w:r w:rsidRPr="00845A62">
        <w:lastRenderedPageBreak/>
        <w:t>Geeft het actieprogramma voor drinkwater, dat begin 2025 is gestart, u voldoende handvatten om samen met de provincies tijdig progressie te boeken?</w:t>
      </w:r>
    </w:p>
    <w:p w:rsidRPr="0092748D" w:rsidR="00D44702" w:rsidP="00D44702" w:rsidRDefault="00D44702" w14:paraId="29A54543" w14:textId="77777777">
      <w:pPr>
        <w:rPr>
          <w:b/>
          <w:bCs/>
        </w:rPr>
      </w:pPr>
      <w:r w:rsidRPr="0092748D">
        <w:rPr>
          <w:b/>
          <w:bCs/>
        </w:rPr>
        <w:t>Antwoord</w:t>
      </w:r>
    </w:p>
    <w:p w:rsidR="00D44702" w:rsidP="00D44702" w:rsidRDefault="00D44702" w14:paraId="445EDC27" w14:textId="77777777">
      <w:r w:rsidRPr="00845A62">
        <w:t xml:space="preserve">Het Actieprogramma beschikbaarheid drinkwaterbronnen 2023-2030 bevat regionale uitvoeringsplannen van drinkwaterbedrijven en provincies om de huidige bronnen voor drinkwater uit te breiden en waar mogelijk nieuwe winningen te realiseren. Daarnaast bevat het Actieprogramma landelijke acties die de uitvoering van de regionale plannen ondersteunen. Daarmee geeft het actieprogramma voldoende handvatten om in de periode tot en met 2030 de beschikbaarheid van drinkwater te kunnen waarborgen. In het eerste kwartaal van 2026 wordt de Kamer geïnformeerd over de voortgang van het actieprogramma. </w:t>
      </w:r>
    </w:p>
    <w:p w:rsidR="00D44702" w:rsidP="00D44702" w:rsidRDefault="00D44702" w14:paraId="0630A295" w14:textId="77777777"/>
    <w:p w:rsidRPr="00845A62" w:rsidR="00D44702" w:rsidP="00D44702" w:rsidRDefault="00D44702" w14:paraId="12D9DC83" w14:textId="77777777">
      <w:r w:rsidRPr="0092748D">
        <w:rPr>
          <w:b/>
          <w:bCs/>
        </w:rPr>
        <w:t>Vraag 4</w:t>
      </w:r>
      <w:r w:rsidRPr="00845A62">
        <w:br/>
        <w:t>Lukt het alle betrokken partijen tot nu toe om de gemaakte afspraken na te komen en dit ook tijdig te doen? Zo nee, wat is ervoor nodig om de gemaakte afspraken na te kunnen komen?</w:t>
      </w:r>
    </w:p>
    <w:p w:rsidRPr="00845A62" w:rsidR="00D44702" w:rsidP="00D44702" w:rsidRDefault="00D44702" w14:paraId="4AED51C6" w14:textId="77777777">
      <w:r w:rsidRPr="0092748D">
        <w:rPr>
          <w:b/>
          <w:bCs/>
        </w:rPr>
        <w:t>Antwoord</w:t>
      </w:r>
      <w:r w:rsidRPr="00845A62">
        <w:br/>
        <w:t>Voor wat betreft het Actieprogramma beschikbaarheid drinkwaterbronnen 2023-2030 wordt de Kamer in het eerste kwartaal van 2026 geïnformeerd over de voortgang.</w:t>
      </w:r>
      <w:r w:rsidRPr="00845A62" w:rsidDel="0094479B">
        <w:t xml:space="preserve"> </w:t>
      </w:r>
    </w:p>
    <w:p w:rsidR="00D44702" w:rsidP="00D44702" w:rsidRDefault="00D44702" w14:paraId="0D66FE03" w14:textId="77777777">
      <w:r w:rsidRPr="00845A62">
        <w:t xml:space="preserve">Voor wat betreft de ASV hebben </w:t>
      </w:r>
      <w:r>
        <w:t>acht</w:t>
      </w:r>
      <w:r w:rsidRPr="00845A62">
        <w:t xml:space="preserve"> provincies de ASV aangewezen, werken </w:t>
      </w:r>
      <w:r>
        <w:t>twee</w:t>
      </w:r>
      <w:r w:rsidRPr="00845A62">
        <w:t xml:space="preserve"> provincies aan de laatste procedures en </w:t>
      </w:r>
      <w:r>
        <w:t>wijzen</w:t>
      </w:r>
      <w:r w:rsidRPr="00845A62">
        <w:t xml:space="preserve"> </w:t>
      </w:r>
      <w:r>
        <w:t>twee</w:t>
      </w:r>
      <w:r w:rsidRPr="00845A62">
        <w:t xml:space="preserve"> provincies </w:t>
      </w:r>
      <w:r>
        <w:t>geen grondwater</w:t>
      </w:r>
      <w:r w:rsidRPr="00845A62">
        <w:t xml:space="preserve">reserves </w:t>
      </w:r>
      <w:r>
        <w:t xml:space="preserve">als </w:t>
      </w:r>
      <w:r w:rsidRPr="00845A62">
        <w:t>ASV aan</w:t>
      </w:r>
      <w:r>
        <w:t>.</w:t>
      </w:r>
      <w:r w:rsidRPr="00845A62">
        <w:t xml:space="preserve"> </w:t>
      </w:r>
      <w:r>
        <w:t>Met deze twee provincies zal nog ambtelijk een gesprek worden gevoerd</w:t>
      </w:r>
      <w:r w:rsidRPr="00845A62">
        <w:t xml:space="preserve">. </w:t>
      </w:r>
    </w:p>
    <w:p w:rsidRPr="00845A62" w:rsidR="00D44702" w:rsidP="00D44702" w:rsidRDefault="00D44702" w14:paraId="432B6DD7" w14:textId="77777777"/>
    <w:p w:rsidRPr="00845A62" w:rsidR="00D44702" w:rsidP="00D44702" w:rsidRDefault="00D44702" w14:paraId="7421A625" w14:textId="77777777">
      <w:bookmarkStart w:name="_Hlk202865631" w:id="1"/>
      <w:r w:rsidRPr="0092748D">
        <w:rPr>
          <w:b/>
          <w:bCs/>
        </w:rPr>
        <w:t>Vraag 5</w:t>
      </w:r>
      <w:r w:rsidRPr="00845A62">
        <w:br/>
        <w:t>Deelt u de mening dat juist het aanleggen van ASV’s een belangrijke voorwaarde is voor het Nederlandse vestigingsklimaat?</w:t>
      </w:r>
    </w:p>
    <w:p w:rsidR="00D44702" w:rsidP="00D44702" w:rsidRDefault="00D44702" w14:paraId="49EFDFDD" w14:textId="77777777">
      <w:r w:rsidRPr="0092748D">
        <w:rPr>
          <w:b/>
          <w:bCs/>
        </w:rPr>
        <w:t>Antwoord</w:t>
      </w:r>
      <w:r w:rsidRPr="00845A62">
        <w:br/>
        <w:t xml:space="preserve">Voor het vestigingsklimaat is voldoende water een belangrijke voorwaarde. ASV zijn </w:t>
      </w:r>
      <w:r>
        <w:t xml:space="preserve">echter </w:t>
      </w:r>
      <w:r w:rsidRPr="00845A62">
        <w:t xml:space="preserve">bedoeld voor </w:t>
      </w:r>
      <w:r>
        <w:t>drinkwatervoorziening, niet voor de watervoorziening voor de industrie</w:t>
      </w:r>
      <w:r w:rsidRPr="00845A62">
        <w:t xml:space="preserve">. </w:t>
      </w:r>
      <w:bookmarkEnd w:id="1"/>
    </w:p>
    <w:p w:rsidRPr="00845A62" w:rsidR="00D44702" w:rsidP="00D44702" w:rsidRDefault="00D44702" w14:paraId="126BF608" w14:textId="77777777"/>
    <w:p w:rsidRPr="00845A62" w:rsidR="00D44702" w:rsidP="00D44702" w:rsidRDefault="00D44702" w14:paraId="52CA5517" w14:textId="77777777">
      <w:r w:rsidRPr="0092748D">
        <w:rPr>
          <w:b/>
          <w:bCs/>
        </w:rPr>
        <w:t xml:space="preserve">Vraag 6 </w:t>
      </w:r>
      <w:r w:rsidRPr="00845A62">
        <w:br/>
      </w:r>
      <w:bookmarkStart w:name="_Hlk204166575" w:id="2"/>
      <w:r w:rsidRPr="00845A62">
        <w:t>Wat gaat u samen met de provincies doen om versnelling aan te brengen in het aanwijzen van ASV’s?</w:t>
      </w:r>
    </w:p>
    <w:p w:rsidRPr="0092748D" w:rsidR="00D44702" w:rsidP="00D44702" w:rsidRDefault="00D44702" w14:paraId="372F386F" w14:textId="77777777">
      <w:pPr>
        <w:rPr>
          <w:b/>
          <w:bCs/>
        </w:rPr>
      </w:pPr>
      <w:bookmarkStart w:name="_Hlk204169810" w:id="3"/>
      <w:r w:rsidRPr="0092748D">
        <w:rPr>
          <w:b/>
          <w:bCs/>
        </w:rPr>
        <w:t>Antwoord</w:t>
      </w:r>
    </w:p>
    <w:p w:rsidR="00D44702" w:rsidP="00D44702" w:rsidRDefault="00D44702" w14:paraId="2994D570" w14:textId="77777777">
      <w:r w:rsidRPr="00845A62">
        <w:lastRenderedPageBreak/>
        <w:t>Zoals is vermeld bij het antwoord op vraag 2 zijn de ASV</w:t>
      </w:r>
      <w:r>
        <w:t xml:space="preserve"> reeds</w:t>
      </w:r>
      <w:r w:rsidRPr="00845A62">
        <w:t xml:space="preserve"> aangewezen </w:t>
      </w:r>
      <w:r>
        <w:t xml:space="preserve">door de provincies </w:t>
      </w:r>
      <w:r w:rsidRPr="00845A62">
        <w:t>of</w:t>
      </w:r>
      <w:r>
        <w:t xml:space="preserve"> zij</w:t>
      </w:r>
      <w:r w:rsidRPr="00845A62">
        <w:t xml:space="preserve"> voeren de laatste procedures uit om te komen tot aanwijzing.</w:t>
      </w:r>
      <w:r>
        <w:t xml:space="preserve"> De provincies Zeeland en Noord-Brabant hebben ervoor gekozen om geen ASV aan te wijzen, maar andere bronnen in te zetten om te voldoen aan de stijgende drinkwatervraag tot 2040. Hierover zijn nog besprekingen gaande. </w:t>
      </w:r>
    </w:p>
    <w:p w:rsidR="00D44702" w:rsidP="00D44702" w:rsidRDefault="00D44702" w14:paraId="4DCCFEBB" w14:textId="77777777"/>
    <w:p w:rsidRPr="00845A62" w:rsidR="00D44702" w:rsidP="00D44702" w:rsidRDefault="00D44702" w14:paraId="4C552BFE" w14:textId="77777777">
      <w:r>
        <w:t xml:space="preserve">In het Nationaal Waterprogramma en in het Programma, Bodem, Ondergrond en Grondwater, die het Rijk op dit moment opstelt, wordt ook de status van de ASV’s in relatie tot ander grondwater- en drinkwaterbeleid bezien. </w:t>
      </w:r>
      <w:r w:rsidRPr="001447BC">
        <w:t xml:space="preserve">Het is mogelijk dat daar nog aanvullende acties </w:t>
      </w:r>
      <w:r>
        <w:t>worden opgenomen</w:t>
      </w:r>
      <w:r w:rsidRPr="001447BC">
        <w:t>.</w:t>
      </w:r>
    </w:p>
    <w:bookmarkEnd w:id="3"/>
    <w:p w:rsidRPr="00845A62" w:rsidR="00D44702" w:rsidP="00D44702" w:rsidRDefault="00D44702" w14:paraId="7A8583DD" w14:textId="77777777"/>
    <w:p w:rsidRPr="0092748D" w:rsidR="00D44702" w:rsidP="00D44702" w:rsidRDefault="00D44702" w14:paraId="6F20B842" w14:textId="77777777">
      <w:pPr>
        <w:rPr>
          <w:b/>
          <w:bCs/>
        </w:rPr>
      </w:pPr>
      <w:r w:rsidRPr="0092748D">
        <w:rPr>
          <w:b/>
          <w:bCs/>
        </w:rPr>
        <w:t xml:space="preserve">Vraag 7 </w:t>
      </w:r>
    </w:p>
    <w:p w:rsidRPr="00845A62" w:rsidR="00D44702" w:rsidP="00D44702" w:rsidRDefault="00D44702" w14:paraId="5549A94C" w14:textId="77777777">
      <w:bookmarkStart w:name="_Hlk204170046" w:id="4"/>
      <w:r w:rsidRPr="00845A62">
        <w:t>Bemoeilijkt de overlap van nationale grondwaterreserves (NGR’s) het aanwijzen van ASV’s?</w:t>
      </w:r>
    </w:p>
    <w:p w:rsidRPr="00845A62" w:rsidR="00D44702" w:rsidP="00D44702" w:rsidRDefault="00D44702" w14:paraId="05F0A30D" w14:textId="77777777"/>
    <w:p w:rsidRPr="0092748D" w:rsidR="00D44702" w:rsidP="00D44702" w:rsidRDefault="00D44702" w14:paraId="7BABE669" w14:textId="77777777">
      <w:pPr>
        <w:rPr>
          <w:b/>
          <w:bCs/>
        </w:rPr>
      </w:pPr>
      <w:r w:rsidRPr="0092748D">
        <w:rPr>
          <w:b/>
          <w:bCs/>
        </w:rPr>
        <w:t>Antwoord</w:t>
      </w:r>
    </w:p>
    <w:p w:rsidR="00D44702" w:rsidP="00D44702" w:rsidRDefault="00D44702" w14:paraId="0CB34F4C" w14:textId="77777777">
      <w:r>
        <w:t xml:space="preserve">Nee. </w:t>
      </w:r>
      <w:r w:rsidRPr="00845A62">
        <w:t xml:space="preserve">De ASV zijn </w:t>
      </w:r>
      <w:r>
        <w:t xml:space="preserve">door de provincies in een </w:t>
      </w:r>
      <w:r w:rsidRPr="00845A62">
        <w:t xml:space="preserve">eerder </w:t>
      </w:r>
      <w:r>
        <w:t xml:space="preserve">stadium </w:t>
      </w:r>
      <w:r w:rsidRPr="00845A62">
        <w:t>aangewezen dan de Nationale Grondwaterreserves (NGR)</w:t>
      </w:r>
      <w:r>
        <w:t>, die door het Rijk worden aangewezen</w:t>
      </w:r>
      <w:r w:rsidRPr="00845A62">
        <w:t>.</w:t>
      </w:r>
      <w:r>
        <w:t xml:space="preserve"> </w:t>
      </w:r>
      <w:r w:rsidRPr="00BA47B2">
        <w:t xml:space="preserve">Op enkele locaties in Nederland overlappen de ASV en NGR. In </w:t>
      </w:r>
      <w:r>
        <w:t xml:space="preserve">de in antwoord 6 aangehaalde rijksprgramma’s </w:t>
      </w:r>
      <w:r w:rsidRPr="00BA47B2">
        <w:t>wordt uitgewerkt hoe omgegaan wordt met deze overlap tussen de NGR en ASV.</w:t>
      </w:r>
      <w:bookmarkEnd w:id="4"/>
    </w:p>
    <w:p w:rsidRPr="00845A62" w:rsidR="00D44702" w:rsidP="00D44702" w:rsidRDefault="00D44702" w14:paraId="55F5C18B" w14:textId="77777777"/>
    <w:p w:rsidRPr="00845A62" w:rsidR="00D44702" w:rsidP="00D44702" w:rsidRDefault="00D44702" w14:paraId="500ECE68" w14:textId="77777777">
      <w:r w:rsidRPr="0092748D">
        <w:rPr>
          <w:b/>
          <w:bCs/>
        </w:rPr>
        <w:t xml:space="preserve">Vraag 8 </w:t>
      </w:r>
      <w:r w:rsidRPr="00845A62">
        <w:br/>
        <w:t>Zo ja, hoe staat het met de afstemming tussen het Rijk en de provincies over de begrenzing van de NGR’s?</w:t>
      </w:r>
    </w:p>
    <w:p w:rsidRPr="00845A62" w:rsidR="00D44702" w:rsidP="00D44702" w:rsidRDefault="00D44702" w14:paraId="63114E9C" w14:textId="77777777">
      <w:r w:rsidRPr="0092748D">
        <w:rPr>
          <w:b/>
          <w:bCs/>
        </w:rPr>
        <w:t>Antwoord</w:t>
      </w:r>
      <w:r w:rsidRPr="00845A62">
        <w:br/>
        <w:t xml:space="preserve">De provincies zijn intensief betrokken geweest bij het zoeken naar locaties die technisch geschikt zijn als NGR. Op dit moment houden we de provincies met hulp van IPO op de hoogte van de stappen die we zetten om te komen tot aanwijzing van NGR inclusief bescherming. </w:t>
      </w:r>
    </w:p>
    <w:p w:rsidRPr="00845A62" w:rsidR="00D44702" w:rsidP="00D44702" w:rsidRDefault="00D44702" w14:paraId="2A01A6EB" w14:textId="77777777"/>
    <w:p w:rsidRPr="0092748D" w:rsidR="00D44702" w:rsidP="00D44702" w:rsidRDefault="00D44702" w14:paraId="1C6D3C99" w14:textId="77777777">
      <w:pPr>
        <w:rPr>
          <w:b/>
          <w:bCs/>
        </w:rPr>
      </w:pPr>
      <w:r w:rsidRPr="0092748D">
        <w:rPr>
          <w:b/>
          <w:bCs/>
        </w:rPr>
        <w:t>Vraag 9</w:t>
      </w:r>
    </w:p>
    <w:p w:rsidRPr="00845A62" w:rsidR="00D44702" w:rsidP="00D44702" w:rsidRDefault="00D44702" w14:paraId="25BA680A" w14:textId="77777777">
      <w:r w:rsidRPr="00845A62">
        <w:t>Bent u van mening dat het huidig ingezette beleid voldoende is om een mogelijk toekomstig drinkwatertekort te voorkomen?</w:t>
      </w:r>
    </w:p>
    <w:p w:rsidRPr="00845A62" w:rsidR="00D44702" w:rsidP="00D44702" w:rsidRDefault="00D44702" w14:paraId="7B3612C8" w14:textId="77777777"/>
    <w:p w:rsidRPr="0092748D" w:rsidR="00D44702" w:rsidP="00D44702" w:rsidRDefault="00D44702" w14:paraId="647B89FA" w14:textId="77777777">
      <w:pPr>
        <w:rPr>
          <w:b/>
          <w:bCs/>
        </w:rPr>
      </w:pPr>
      <w:r w:rsidRPr="0092748D">
        <w:rPr>
          <w:b/>
          <w:bCs/>
        </w:rPr>
        <w:lastRenderedPageBreak/>
        <w:t>Antwoord</w:t>
      </w:r>
    </w:p>
    <w:p w:rsidR="00D44702" w:rsidP="00D44702" w:rsidRDefault="00D44702" w14:paraId="72691774" w14:textId="77777777">
      <w:r w:rsidRPr="00845A62">
        <w:t xml:space="preserve">Het doel van </w:t>
      </w:r>
      <w:r>
        <w:t xml:space="preserve">het </w:t>
      </w:r>
      <w:r w:rsidRPr="00845A62">
        <w:t>beleid</w:t>
      </w:r>
      <w:r>
        <w:t xml:space="preserve"> van het ministerie van IenW</w:t>
      </w:r>
      <w:r w:rsidRPr="00845A62">
        <w:t xml:space="preserve"> is om te voorkomen dat drinkwatertekorten in de toekomst plaatsvinden. Het aanwijzen van ASV en NGR </w:t>
      </w:r>
      <w:r>
        <w:t>levert</w:t>
      </w:r>
      <w:r w:rsidRPr="00845A62">
        <w:t xml:space="preserve">, naast drinkwaterbesparing en het aanwenden van aanvullende bronnen, een bijdrage aan de toekomstige drinkwatervoorziening. </w:t>
      </w:r>
    </w:p>
    <w:p w:rsidRPr="00845A62" w:rsidR="00D44702" w:rsidP="00D44702" w:rsidRDefault="00D44702" w14:paraId="44B5C2F6" w14:textId="77777777"/>
    <w:p w:rsidRPr="00845A62" w:rsidR="00D44702" w:rsidP="00D44702" w:rsidRDefault="00D44702" w14:paraId="0C054118" w14:textId="77777777">
      <w:r w:rsidRPr="00845A62">
        <w:t>De grootste uitdagingen zullen zitten in de uitvoering van de aangegeven plannen door drinkwaterbedrijven en provincies. Bij het realiseren van een nieuwe drinkwaterwinning of een uitbreiding van een bestaande drinkwaterwinning zorgen elementen zoals netcongestie, stikstofproblematiek en belangen vanuit de omgeving voor uitdagingen bij de uitvoering.</w:t>
      </w:r>
    </w:p>
    <w:bookmarkEnd w:id="2"/>
    <w:p w:rsidRPr="00662D24" w:rsidR="00D44702" w:rsidP="00D44702" w:rsidRDefault="00D44702" w14:paraId="409EF482" w14:textId="77777777"/>
    <w:p w:rsidR="00581739" w:rsidRDefault="00581739" w14:paraId="2D17014F" w14:textId="77777777"/>
    <w:sectPr w:rsidR="00581739" w:rsidSect="00D4470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15F6" w14:textId="77777777" w:rsidR="00D44702" w:rsidRDefault="00D44702" w:rsidP="00D44702">
      <w:pPr>
        <w:spacing w:after="0" w:line="240" w:lineRule="auto"/>
      </w:pPr>
      <w:r>
        <w:separator/>
      </w:r>
    </w:p>
  </w:endnote>
  <w:endnote w:type="continuationSeparator" w:id="0">
    <w:p w14:paraId="1DF1E559" w14:textId="77777777" w:rsidR="00D44702" w:rsidRDefault="00D44702" w:rsidP="00D4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35F9" w14:textId="77777777" w:rsidR="00D44702" w:rsidRPr="00D44702" w:rsidRDefault="00D44702" w:rsidP="00D447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2B2" w14:textId="77777777" w:rsidR="00D44702" w:rsidRPr="00D44702" w:rsidRDefault="00D44702" w:rsidP="00D447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9E03" w14:textId="77777777" w:rsidR="00D44702" w:rsidRPr="00D44702" w:rsidRDefault="00D44702" w:rsidP="00D447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E9A6" w14:textId="77777777" w:rsidR="00D44702" w:rsidRDefault="00D44702" w:rsidP="00D44702">
      <w:pPr>
        <w:spacing w:after="0" w:line="240" w:lineRule="auto"/>
      </w:pPr>
      <w:r>
        <w:separator/>
      </w:r>
    </w:p>
  </w:footnote>
  <w:footnote w:type="continuationSeparator" w:id="0">
    <w:p w14:paraId="0ADA7A80" w14:textId="77777777" w:rsidR="00D44702" w:rsidRDefault="00D44702" w:rsidP="00D44702">
      <w:pPr>
        <w:spacing w:after="0" w:line="240" w:lineRule="auto"/>
      </w:pPr>
      <w:r>
        <w:continuationSeparator/>
      </w:r>
    </w:p>
  </w:footnote>
  <w:footnote w:id="1">
    <w:p w14:paraId="1015C804" w14:textId="77777777" w:rsidR="00D44702" w:rsidRPr="000A72E5" w:rsidRDefault="00D44702" w:rsidP="00D44702">
      <w:pPr>
        <w:pStyle w:val="Voetnoottekst"/>
        <w:rPr>
          <w:sz w:val="16"/>
          <w:szCs w:val="16"/>
        </w:rPr>
      </w:pPr>
      <w:r w:rsidRPr="0092748D">
        <w:rPr>
          <w:rStyle w:val="Voetnootmarkering"/>
          <w:sz w:val="16"/>
          <w:szCs w:val="16"/>
        </w:rPr>
        <w:footnoteRef/>
      </w:r>
      <w:r w:rsidRPr="0092748D">
        <w:rPr>
          <w:sz w:val="16"/>
          <w:szCs w:val="16"/>
        </w:rPr>
        <w:t xml:space="preserve"> Trouw</w:t>
      </w:r>
      <w:r w:rsidRPr="000A72E5">
        <w:rPr>
          <w:sz w:val="16"/>
          <w:szCs w:val="16"/>
        </w:rPr>
        <w:t xml:space="preserve">, 2 juli 2025, </w:t>
      </w:r>
      <w:hyperlink r:id="rId1" w:history="1">
        <w:r w:rsidRPr="000A72E5">
          <w:rPr>
            <w:rStyle w:val="Hyperlink"/>
            <w:sz w:val="16"/>
            <w:szCs w:val="16"/>
          </w:rPr>
          <w:t>https://www.trouw.nl/duurzaamheid-economie/tekort-aan-drinkwater-dreigt-beloofde-voorraden-komen-niet-van-de-grond~b52e46ea/</w:t>
        </w:r>
      </w:hyperlink>
    </w:p>
  </w:footnote>
  <w:footnote w:id="2">
    <w:p w14:paraId="2EA6F0F6" w14:textId="77777777" w:rsidR="00D44702" w:rsidRPr="00040E86" w:rsidRDefault="00D44702" w:rsidP="00D44702">
      <w:pPr>
        <w:rPr>
          <w:lang w:val="de-DE"/>
        </w:rPr>
      </w:pPr>
      <w:r w:rsidRPr="000A72E5">
        <w:rPr>
          <w:rStyle w:val="Voetnootmarkering"/>
          <w:sz w:val="16"/>
          <w:szCs w:val="16"/>
        </w:rPr>
        <w:footnoteRef/>
      </w:r>
      <w:r w:rsidRPr="000A72E5">
        <w:rPr>
          <w:sz w:val="16"/>
          <w:szCs w:val="16"/>
          <w:lang w:val="de-DE"/>
        </w:rPr>
        <w:t xml:space="preserve"> NPO Radio 1, 2 juli 2025, </w:t>
      </w:r>
      <w:hyperlink r:id="rId2" w:history="1">
        <w:r w:rsidRPr="0092748D">
          <w:rPr>
            <w:rStyle w:val="Hyperlink"/>
            <w:sz w:val="16"/>
            <w:szCs w:val="16"/>
            <w:lang w:val="de-DE"/>
          </w:rPr>
          <w:t>https://www.nporadio1.nl/uitzendingen/nos-radio-1-journaal/9d7a6c05-c974-467f-a4e0-1345af9e5230/2025-07-02-nos-radio-1-journaal</w:t>
        </w:r>
      </w:hyperlink>
      <w:r>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9A21" w14:textId="77777777" w:rsidR="00D44702" w:rsidRPr="00D44702" w:rsidRDefault="00D44702" w:rsidP="00D447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D0C2" w14:textId="77777777" w:rsidR="00D44702" w:rsidRPr="00D44702" w:rsidRDefault="00D44702" w:rsidP="00D447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4BB6" w14:textId="77777777" w:rsidR="00D44702" w:rsidRPr="00D44702" w:rsidRDefault="00D44702" w:rsidP="00D447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02"/>
    <w:rsid w:val="00581739"/>
    <w:rsid w:val="00836248"/>
    <w:rsid w:val="00D44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2340"/>
  <w15:chartTrackingRefBased/>
  <w15:docId w15:val="{7C1E8346-EBA0-4513-A7FD-934E8BE6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4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47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47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47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4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7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47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47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47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47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4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702"/>
    <w:rPr>
      <w:rFonts w:eastAsiaTheme="majorEastAsia" w:cstheme="majorBidi"/>
      <w:color w:val="272727" w:themeColor="text1" w:themeTint="D8"/>
    </w:rPr>
  </w:style>
  <w:style w:type="paragraph" w:styleId="Titel">
    <w:name w:val="Title"/>
    <w:basedOn w:val="Standaard"/>
    <w:next w:val="Standaard"/>
    <w:link w:val="TitelChar"/>
    <w:uiPriority w:val="10"/>
    <w:qFormat/>
    <w:rsid w:val="00D44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702"/>
    <w:rPr>
      <w:i/>
      <w:iCs/>
      <w:color w:val="404040" w:themeColor="text1" w:themeTint="BF"/>
    </w:rPr>
  </w:style>
  <w:style w:type="paragraph" w:styleId="Lijstalinea">
    <w:name w:val="List Paragraph"/>
    <w:basedOn w:val="Standaard"/>
    <w:uiPriority w:val="34"/>
    <w:qFormat/>
    <w:rsid w:val="00D44702"/>
    <w:pPr>
      <w:ind w:left="720"/>
      <w:contextualSpacing/>
    </w:pPr>
  </w:style>
  <w:style w:type="character" w:styleId="Intensievebenadrukking">
    <w:name w:val="Intense Emphasis"/>
    <w:basedOn w:val="Standaardalinea-lettertype"/>
    <w:uiPriority w:val="21"/>
    <w:qFormat/>
    <w:rsid w:val="00D44702"/>
    <w:rPr>
      <w:i/>
      <w:iCs/>
      <w:color w:val="2F5496" w:themeColor="accent1" w:themeShade="BF"/>
    </w:rPr>
  </w:style>
  <w:style w:type="paragraph" w:styleId="Duidelijkcitaat">
    <w:name w:val="Intense Quote"/>
    <w:basedOn w:val="Standaard"/>
    <w:next w:val="Standaard"/>
    <w:link w:val="DuidelijkcitaatChar"/>
    <w:uiPriority w:val="30"/>
    <w:qFormat/>
    <w:rsid w:val="00D44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4702"/>
    <w:rPr>
      <w:i/>
      <w:iCs/>
      <w:color w:val="2F5496" w:themeColor="accent1" w:themeShade="BF"/>
    </w:rPr>
  </w:style>
  <w:style w:type="character" w:styleId="Intensieveverwijzing">
    <w:name w:val="Intense Reference"/>
    <w:basedOn w:val="Standaardalinea-lettertype"/>
    <w:uiPriority w:val="32"/>
    <w:qFormat/>
    <w:rsid w:val="00D44702"/>
    <w:rPr>
      <w:b/>
      <w:bCs/>
      <w:smallCaps/>
      <w:color w:val="2F5496" w:themeColor="accent1" w:themeShade="BF"/>
      <w:spacing w:val="5"/>
    </w:rPr>
  </w:style>
  <w:style w:type="character" w:styleId="Hyperlink">
    <w:name w:val="Hyperlink"/>
    <w:basedOn w:val="Standaardalinea-lettertype"/>
    <w:uiPriority w:val="99"/>
    <w:unhideWhenUsed/>
    <w:rsid w:val="00D44702"/>
    <w:rPr>
      <w:color w:val="0563C1" w:themeColor="hyperlink"/>
      <w:u w:val="single"/>
    </w:rPr>
  </w:style>
  <w:style w:type="paragraph" w:styleId="Voettekst">
    <w:name w:val="footer"/>
    <w:basedOn w:val="Standaard"/>
    <w:link w:val="VoettekstChar"/>
    <w:uiPriority w:val="99"/>
    <w:unhideWhenUsed/>
    <w:rsid w:val="00D447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470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47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47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4702"/>
    <w:rPr>
      <w:vertAlign w:val="superscript"/>
    </w:rPr>
  </w:style>
  <w:style w:type="paragraph" w:styleId="Koptekst">
    <w:name w:val="header"/>
    <w:basedOn w:val="Standaard"/>
    <w:link w:val="KoptekstChar"/>
    <w:uiPriority w:val="99"/>
    <w:unhideWhenUsed/>
    <w:rsid w:val="00D447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poradio1.nl/uitzendingen/nos-radio-1-journaal/9d7a6c05-c974-467f-a4e0-1345af9e5230/2025-07-02-nos-radio-1-journaal" TargetMode="External"/><Relationship Id="rId1" Type="http://schemas.openxmlformats.org/officeDocument/2006/relationships/hyperlink" Target="https://www.trouw.nl/duurzaamheid-economie/tekort-aan-drinkwater-dreigt-beloofde-voorraden-komen-niet-van-de-grond~b52e46e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860</ap:Words>
  <ap:Characters>4730</ap:Characters>
  <ap:DocSecurity>0</ap:DocSecurity>
  <ap:Lines>39</ap:Lines>
  <ap:Paragraphs>11</ap:Paragraphs>
  <ap:ScaleCrop>false</ap:ScaleCrop>
  <ap:LinksUpToDate>false</ap:LinksUpToDate>
  <ap:CharactersWithSpaces>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2025-08-11T11:56:00.0000000Z</dcterms:created>
  <dcterms:modified xsi:type="dcterms:W3CDTF">2025-08-11T11:57:00.0000000Z</dcterms:modified>
  <version/>
  <category/>
</coreProperties>
</file>