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2025Z14994</w:t>
        <w:br/>
      </w:r>
      <w:proofErr w:type="spellEnd"/>
    </w:p>
    <w:p>
      <w:pPr>
        <w:pStyle w:val="Normal"/>
        <w:rPr>
          <w:b w:val="1"/>
          <w:bCs w:val="1"/>
        </w:rPr>
      </w:pPr>
      <w:r w:rsidR="250AE766">
        <w:rPr>
          <w:b w:val="0"/>
          <w:bCs w:val="0"/>
        </w:rPr>
        <w:t>(ingezonden 4 augustus 2025)</w:t>
        <w:br/>
      </w:r>
    </w:p>
    <w:p>
      <w:r>
        <w:t xml:space="preserve">Vragen van de leden Michon-Derkzen en Van Eijk (beiden VVD) aan de staatssecretaris van Justitie en Veiligheid over het bericht 'Moordenaar krijgt na jaren cel en tbs baan in zorgkliniek: ‘Hoe kan zo iemand werken met kwetsbare personen?’'</w:t>
      </w:r>
      <w:r>
        <w:br/>
      </w:r>
    </w:p>
    <w:p>
      <w:pPr>
        <w:pStyle w:val="ListParagraph"/>
        <w:numPr>
          <w:ilvl w:val="0"/>
          <w:numId w:val="100484210"/>
        </w:numPr>
        <w:ind w:left="360"/>
      </w:pPr>
      <w:r>
        <w:t xml:space="preserve">Bent u bekend met het bericht «Moordenaar krijgt na jaren cel en tbs baan in zorgkliniek: ‘Hoe kan zo iemand werken met kwetsbare personen?’» gepubliceerd door </w:t>
      </w:r>
      <w:r>
        <w:rPr>
          <w:i w:val="1"/>
          <w:iCs w:val="1"/>
        </w:rPr>
        <w:t xml:space="preserve">De Telegraaf</w:t>
      </w:r>
      <w:r>
        <w:rPr/>
        <w:t xml:space="preserve"> op 31 juli 2025?[1]</w:t>
      </w:r>
      <w:r>
        <w:br/>
      </w:r>
    </w:p>
    <w:p>
      <w:pPr>
        <w:pStyle w:val="ListParagraph"/>
        <w:numPr>
          <w:ilvl w:val="0"/>
          <w:numId w:val="100484210"/>
        </w:numPr>
        <w:ind w:left="360"/>
      </w:pPr>
      <w:r>
        <w:t xml:space="preserve">Deelt u de zorgen van nabestaanden en andere betrokkenen over het feit dat iemand met een dergelijk ernstig verleden werkzaam is met kwetsbare cliënten?</w:t>
      </w:r>
      <w:r>
        <w:br/>
      </w:r>
    </w:p>
    <w:p>
      <w:pPr>
        <w:pStyle w:val="ListParagraph"/>
        <w:numPr>
          <w:ilvl w:val="0"/>
          <w:numId w:val="100484210"/>
        </w:numPr>
        <w:ind w:left="360"/>
      </w:pPr>
      <w:r>
        <w:t xml:space="preserve">Hoe vaak is het in de afgelopen tien jaar voorgekomen dat iemand met een veroordeling voor een ernstig geweldsmisdrijf tóch een Verklaring Omtrent het Gedrag (VOG) heeft gekregen voor werkzaamheden in de zorg? Welke zaken betroffen dit precies, en wat waren de motiveringen van Justis om in die gevallen toch een VOG te verlenen?</w:t>
      </w:r>
      <w:r>
        <w:br/>
      </w:r>
    </w:p>
    <w:p>
      <w:pPr>
        <w:pStyle w:val="ListParagraph"/>
        <w:numPr>
          <w:ilvl w:val="0"/>
          <w:numId w:val="100484210"/>
        </w:numPr>
        <w:ind w:left="360"/>
      </w:pPr>
      <w:r>
        <w:t xml:space="preserve">Kunt u bevestigen wanneer de betrokkene in deze casus een VOG heeft aangevraagd, voor welk type functie dit was, welk screeningsprofiel daarbij is gehanteerd, en of het levensdelict uit 2001 daarbij is meegewogen?</w:t>
      </w:r>
      <w:r>
        <w:br/>
      </w:r>
    </w:p>
    <w:p>
      <w:pPr>
        <w:pStyle w:val="ListParagraph"/>
        <w:numPr>
          <w:ilvl w:val="0"/>
          <w:numId w:val="100484210"/>
        </w:numPr>
        <w:ind w:left="360"/>
      </w:pPr>
      <w:r>
        <w:t xml:space="preserve">Kunt u toelichten of in deze zaak politiegegevens zijn geraadpleegd voorafgaand aan het verlenen van de VOG? Zo ja, welke gegevens betroffen dit en wie nam uiteindelijk de beslissing?</w:t>
      </w:r>
      <w:r>
        <w:br/>
      </w:r>
    </w:p>
    <w:p>
      <w:pPr>
        <w:pStyle w:val="ListParagraph"/>
        <w:numPr>
          <w:ilvl w:val="0"/>
          <w:numId w:val="100484210"/>
        </w:numPr>
        <w:ind w:left="360"/>
      </w:pPr>
      <w:r>
        <w:t xml:space="preserve">Waarom is in het onderhavige geval wél een VOG verstrekt, terwijl in een soortgelijke zaak door Justis en de staatssecretaris van Rechtsbescherming een VOG geweigerd werd wegens de ernst van het levensdelict en het risico voor de maatschappij?</w:t>
      </w:r>
      <w:r>
        <w:br/>
      </w:r>
    </w:p>
    <w:p>
      <w:pPr>
        <w:pStyle w:val="ListParagraph"/>
        <w:numPr>
          <w:ilvl w:val="0"/>
          <w:numId w:val="100484210"/>
        </w:numPr>
        <w:ind w:left="360"/>
      </w:pPr>
      <w:r>
        <w:t xml:space="preserve">In hoeverre stelt Justis bij de VOG-procedure expliciet rekening met het risico dat iemand met een aangetoonde ernst van geweldshandeling een functie zal vervullen met kwetsbare personen? Wordt daarbij al dan niet maatwerk toegepast?</w:t>
      </w:r>
      <w:r>
        <w:br/>
      </w:r>
    </w:p>
    <w:p>
      <w:pPr>
        <w:pStyle w:val="ListParagraph"/>
        <w:numPr>
          <w:ilvl w:val="0"/>
          <w:numId w:val="100484210"/>
        </w:numPr>
        <w:ind w:left="360"/>
      </w:pPr>
      <w:r>
        <w:t xml:space="preserve">In hoeverre wordt de VOG‑P momenteel benut bij het aannemen van personeel in de zorgsector, en zijn er plannen dit instrument breder toe te passen binnen zorginstellingen waar kwetsbare personen verblijven?</w:t>
      </w:r>
      <w:r>
        <w:br/>
      </w:r>
    </w:p>
    <w:p>
      <w:pPr>
        <w:pStyle w:val="ListParagraph"/>
        <w:numPr>
          <w:ilvl w:val="0"/>
          <w:numId w:val="100484210"/>
        </w:numPr>
        <w:ind w:left="360"/>
      </w:pPr>
      <w:r>
        <w:t xml:space="preserve">Is in deze zaak sprake geweest van continue screening? Zo nee, waarom niet? Acht u het wenselijk om continue screening uit te breiden naar functies in de forensische en geestelijke gezondheidszorg?</w:t>
      </w:r>
      <w:r>
        <w:br/>
      </w:r>
    </w:p>
    <w:p>
      <w:pPr>
        <w:pStyle w:val="ListParagraph"/>
        <w:numPr>
          <w:ilvl w:val="0"/>
          <w:numId w:val="100484210"/>
        </w:numPr>
        <w:ind w:left="360"/>
      </w:pPr>
      <w:r>
        <w:t xml:space="preserve">Hoeveel VOG-aanvragen in de gezondheidszorg zijn sinds januari 2024 afgewezen op basis van het verscherpte toetsingskader, bijvoorbeeld via de VOG-P? Wat zegt dit weigeringspercentage over de effectiviteit van het instrument in functies met hoge integriteitseisen?</w:t>
      </w:r>
      <w:r>
        <w:br/>
      </w:r>
    </w:p>
    <w:p>
      <w:pPr>
        <w:pStyle w:val="ListParagraph"/>
        <w:numPr>
          <w:ilvl w:val="0"/>
          <w:numId w:val="100484210"/>
        </w:numPr>
        <w:ind w:left="360"/>
      </w:pPr>
      <w:r>
        <w:t xml:space="preserve">Wordt bij VOG-aanvragen in de zorgsector structureel rekening gehouden met langere terugkijktermijnen bij ernstige geweldsdelicten, vergelijkbaar met de zeden- en terrorismekaders? Klopt het dat deze mogelijkheid bestaat, maar in de praktijk niet altijd wordt benut?</w:t>
      </w:r>
      <w:r>
        <w:br/>
      </w:r>
    </w:p>
    <w:p>
      <w:pPr>
        <w:pStyle w:val="ListParagraph"/>
        <w:numPr>
          <w:ilvl w:val="0"/>
          <w:numId w:val="100484210"/>
        </w:numPr>
        <w:ind w:left="360"/>
      </w:pPr>
      <w:r>
        <w:t xml:space="preserve">Welke verantwoordelijkheid rust op zorginstellingen en hun bestuur om antecedenten van werknemers en ervaringsdeskundigen te controleren? Acht u het nodig om deze verantwoordelijkheid te verduidelijken of uit te breiden bijvoorbeeld door een aangescherpte verantwoordingsplicht?</w:t>
      </w:r>
      <w:r>
        <w:br/>
      </w:r>
    </w:p>
    <w:p>
      <w:pPr>
        <w:pStyle w:val="ListParagraph"/>
        <w:numPr>
          <w:ilvl w:val="0"/>
          <w:numId w:val="100484210"/>
        </w:numPr>
        <w:ind w:left="360"/>
      </w:pPr>
      <w:r>
        <w:t xml:space="preserve">Hoe weegt u in deze zaak de belangen van re-integratie (werk voor ex-justitiabelen) af tegen de noodzaak van bescherming van kwetsbare personen in zorginstellingen? Klopt het dat in bepaalde gevallen het belang van de aanvrager zwaarder kan wegen dan het maatschappelijk risico?</w:t>
      </w:r>
      <w:r>
        <w:br/>
      </w:r>
    </w:p>
    <w:p>
      <w:r>
        <w:t xml:space="preserve"> </w:t>
      </w:r>
      <w:r>
        <w:br/>
      </w:r>
    </w:p>
    <w:p>
      <w:r>
        <w:t xml:space="preserve"> </w:t>
      </w:r>
      <w:r>
        <w:br/>
      </w:r>
    </w:p>
    <w:p>
      <w:r>
        <w:t xml:space="preserve">[1] Telegraaf, 31 juli 2025, Moordenaar krijgt na jaren cel en tbs baan in zorgkliniek: ’Hoe kan zo iemand werken met kwetsbare personen?’ (https://www.telegraaf.nl/binnenland/moordenaar-krijgt-na-jaren-cel-en-tbs-baan-in-zorgkliniek-hoe-kan-zo-iemand-werken-met-kwetsbare-personen/80953260.html).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190">
    <w:abstractNumId w:val="100484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