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2025Z14999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4 augustus 2025)</w:t>
        <w:br/>
      </w:r>
    </w:p>
    <w:p>
      <w:r>
        <w:t xml:space="preserve">Vragen van het lid Wijen-Nass (BBB) aan de staatssecretaris van Justitie en Veiligheid over het bericht ‘Moordenaar krijgt na jaren cel en tbs baan in zorgkliniek: ’Hoe kan zo iemand werken met kwetsbare personen?’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Bent u bekend met het artikel ‘Moordenaar krijgt na jaren cel en tbs baan in zorgkliniek: ’Hoe kan zo iemand werken met kwetsbare personen?’? 1)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Op welke manier is het mogelijk dat een persoon met een ernstig geweldsverleden een Verklaring Omtrent het Gedrag (VOG) heeft kunnen verkrijgen voor een functie in de zorg?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Is bij het afgeven van de VOG rekening gehouden met het feit dat het hier een moord betrof, gepleegd met 40 messteken, in de aanwezigheid van een kind?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Acht u het verantwoord dat personen met een dergelijk verleden werkzaam zijn binnen instellingen voor geestelijke gezondheidszorg waar zij in contact komen met kwetsbare cliënten?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Klopt het dat in een vergelijkbare zaak, waarbij een ex-tbs’er met een levensdelict werkzaam wilde zijn als ervaringsdeskundige in een tbs-kliniek en in een adviesraad, in 2022 geen VOG werd afgegeven?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Hoe verklaart u het verschil tussen deze casus en de situatie bij GGNet, waarin een soortgelijk delict wel leidde tot het verkrijgen van een VOG?</w:t>
      </w:r>
      <w:r>
        <w:br/>
      </w:r>
    </w:p>
    <w:p>
      <w:pPr>
        <w:pStyle w:val="ListParagraph"/>
        <w:numPr>
          <w:ilvl w:val="0"/>
          <w:numId w:val="100484250"/>
        </w:numPr>
        <w:ind w:left="360"/>
      </w:pPr>
      <w:r>
        <w:t xml:space="preserve">Deelt u de mening dat mensen met een dergelijk strafverleden nooit met kwetsbare personen mogen werken? Zo nee, waarom niet? Zo ja, welke maatregelen bent u bereid om te nemen?</w:t>
      </w:r>
      <w:r>
        <w:br/>
      </w:r>
    </w:p>
    <w:p>
      <w:r>
        <w:t xml:space="preserve"> </w:t>
      </w:r>
      <w:r>
        <w:br/>
      </w:r>
    </w:p>
    <w:p>
      <w:r>
        <w:t xml:space="preserve">1) Telegraaf, 31 juli 2025, www.telegraaf.nl/binnenland/moordenaar-krijgt-na-jaren-cel-en-tbs-baan-in-zorgkliniek-hoe-kan-zo-iemand-werken-met-kwetsbare-personen/80953260.html?utm_medium=referral&amp;utm_campaign=share</w:t>
      </w:r>
      <w:r>
        <w:br/>
      </w:r>
    </w:p>
    <w:p>
      <w:r>
        <w:t xml:space="preserve"> </w:t>
      </w:r>
      <w:r>
        <w:br/>
      </w:r>
    </w:p>
    <w:p>
      <w:r>
        <w:t xml:space="preserve"/>
      </w:r>
      <w:r>
        <w:rPr>
          <w:b w:val="1"/>
          <w:bCs w:val="1"/>
        </w:rPr>
        <w:t xml:space="preserve">Toelichting:</w:t>
      </w:r>
      <w:r>
        <w:rPr/>
        <w:t xml:space="preserve"/>
      </w:r>
      <w:r>
        <w:br/>
      </w:r>
    </w:p>
    <w:p>
      <w:r>
        <w:t xml:space="preserve">Deze vragen dienen ter aanvulling op eerdere vragen terzake van de leden Michon-Derkzen en Van Eijk (beiden VVD), ingezonden 4 augustus 2025 (vraagnummer 2025Z14994).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19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190">
    <w:abstractNumId w:val="10048419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