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2025Z15028</w:t>
        <w:br/>
      </w:r>
      <w:proofErr w:type="spellEnd"/>
    </w:p>
    <w:p>
      <w:pPr>
        <w:pStyle w:val="Normal"/>
        <w:rPr>
          <w:b w:val="1"/>
          <w:bCs w:val="1"/>
        </w:rPr>
      </w:pPr>
      <w:r w:rsidR="250AE766">
        <w:rPr>
          <w:b w:val="0"/>
          <w:bCs w:val="0"/>
        </w:rPr>
        <w:t>(ingezonden 6 augustus 2025)</w:t>
        <w:br/>
      </w:r>
    </w:p>
    <w:p>
      <w:r>
        <w:t xml:space="preserve">Vragen van het lid Inge van Dijk (CDA) aan de minister van Binnenlandse Zaken en Koninkrijksrelaties over de uitspraak van de Rechtbank Rotterdam van 11 februari 2025.</w:t>
      </w:r>
      <w:r>
        <w:br/>
      </w:r>
    </w:p>
    <w:p>
      <w:r>
        <w:t xml:space="preserve"> </w:t>
      </w:r>
      <w:r>
        <w:br/>
      </w:r>
    </w:p>
    <w:p>
      <w:r>
        <w:t xml:space="preserve">1) Kent u de uitspraak van de Rechtbank Rotterdam van 11 februari 2025 (ECLI:NL:RBROT:2025:1810)? 1)</w:t>
      </w:r>
      <w:r>
        <w:br/>
      </w:r>
    </w:p>
    <w:p>
      <w:r>
        <w:t xml:space="preserve"> </w:t>
      </w:r>
      <w:r>
        <w:br/>
      </w:r>
    </w:p>
    <w:p>
      <w:r>
        <w:t xml:space="preserve">2) Waarom is er middels de ‘code 404’ op indirecte wijze nog steeds in de Basisregistratie Personen geregistreerd dat een burger naast de Nederlandse een tweede nationaliteit heeft?</w:t>
      </w:r>
      <w:r>
        <w:br/>
      </w:r>
    </w:p>
    <w:p>
      <w:r>
        <w:t xml:space="preserve"> </w:t>
      </w:r>
      <w:r>
        <w:br/>
      </w:r>
    </w:p>
    <w:p>
      <w:r>
        <w:t xml:space="preserve">3) Deelt u het oordeel van de rechtbank dat een bij een burger opgenomen ‘code 404’ een persoonsgegeven als bedoeld in de Algemene verordening gegevensbescherming (AVG) is?</w:t>
      </w:r>
      <w:r>
        <w:br/>
      </w:r>
    </w:p>
    <w:p>
      <w:r>
        <w:t xml:space="preserve"> </w:t>
      </w:r>
      <w:r>
        <w:br/>
      </w:r>
    </w:p>
    <w:p>
      <w:r>
        <w:t xml:space="preserve">4) Welke noodzaak is er voor deze indirecte registratie van een tweede nationaliteit naast de Nederlandse?</w:t>
      </w:r>
      <w:r>
        <w:br/>
      </w:r>
    </w:p>
    <w:p>
      <w:r>
        <w:t xml:space="preserve"> </w:t>
      </w:r>
      <w:r>
        <w:br/>
      </w:r>
    </w:p>
    <w:p>
      <w:r>
        <w:t xml:space="preserve">5) Verandert uw antwoord op vraag vier als het gaat om een in Nederland geboren burger die de Nederlandse nationaliteit heeft?</w:t>
      </w:r>
      <w:r>
        <w:br/>
      </w:r>
    </w:p>
    <w:p>
      <w:r>
        <w:t xml:space="preserve"> </w:t>
      </w:r>
      <w:r>
        <w:br/>
      </w:r>
    </w:p>
    <w:p>
      <w:r>
        <w:t xml:space="preserve">6) Deelt u de mening dat burgers die in Nederland zijn geboren, de Nederlandse nationaliteit hebben en niet op de hoogte zijn van een door een andere mogendheid geclaimde nationaliteit van die burger, de keuze moeten hebben om elke verwijzing naar vermeldingen zoals een categorie 4, met betrekking tot de Turkse nationaliteit, als ook de daaropvolgende beëindiging met 'code 404', volledig te laten verwijderen uit de Basisregistratie Personen?</w:t>
      </w:r>
      <w:r>
        <w:br/>
      </w:r>
    </w:p>
    <w:p>
      <w:r>
        <w:t xml:space="preserve"> </w:t>
      </w:r>
      <w:r>
        <w:br/>
      </w:r>
    </w:p>
    <w:p>
      <w:r>
        <w:t xml:space="preserve">7) Welke selecties zijn er in de Basisregistratie Personen op ‘code 404’ door wie uitgevoerd sinds 2000?</w:t>
      </w:r>
      <w:r>
        <w:br/>
      </w:r>
    </w:p>
    <w:p>
      <w:r>
        <w:t xml:space="preserve"> </w:t>
      </w:r>
      <w:r>
        <w:br/>
      </w:r>
    </w:p>
    <w:p>
      <w:r>
        <w:t xml:space="preserve">1) De Rechtspraak, 11 februari 2025, (uitspraken.rechtspraak.nl/details?id=ECLI:NL:RBROT:2025:1810)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