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B7D" w:rsidP="000E3B7D" w:rsidRDefault="000E3B7D" w14:paraId="46C55EB9" w14:textId="2494B6FE">
      <w:r>
        <w:t>AH 2802</w:t>
      </w:r>
    </w:p>
    <w:p w:rsidR="000E3B7D" w:rsidP="000E3B7D" w:rsidRDefault="000E3B7D" w14:paraId="53346E58" w14:textId="3A0AEEA5">
      <w:r>
        <w:t>2025Z14943</w:t>
      </w:r>
    </w:p>
    <w:p w:rsidRPr="000E3B7D" w:rsidR="000E3B7D" w:rsidP="000E3B7D" w:rsidRDefault="000E3B7D" w14:paraId="3E70178D" w14:textId="01D8476C">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000E3B7D" w:rsidP="000E3B7D" w:rsidRDefault="000E3B7D" w14:paraId="1CCFAF02" w14:textId="77777777">
      <w:r w:rsidRPr="00CC66DC">
        <w:rPr>
          <w:b/>
        </w:rPr>
        <w:t>Vraag 1</w:t>
      </w:r>
    </w:p>
    <w:p w:rsidR="000E3B7D" w:rsidP="000E3B7D" w:rsidRDefault="000E3B7D" w14:paraId="6679A45C" w14:textId="77777777">
      <w:r w:rsidRPr="00543F95">
        <w:t>Bent u bekend met de inzage van interne stukken over mogelijke sanctiemaatregelen tegen Israël door De Telegraaf, d.d. 29 juli 2025?</w:t>
      </w:r>
      <w:r>
        <w:rPr>
          <w:rStyle w:val="Voetnootmarkering"/>
        </w:rPr>
        <w:footnoteReference w:id="1"/>
      </w:r>
      <w:r>
        <w:t xml:space="preserve"> </w:t>
      </w:r>
    </w:p>
    <w:p w:rsidR="000E3B7D" w:rsidP="000E3B7D" w:rsidRDefault="000E3B7D" w14:paraId="63A345F2" w14:textId="77777777"/>
    <w:p w:rsidR="000E3B7D" w:rsidP="000E3B7D" w:rsidRDefault="000E3B7D" w14:paraId="09BF3DAB" w14:textId="77777777">
      <w:r w:rsidRPr="00CC66DC">
        <w:rPr>
          <w:b/>
        </w:rPr>
        <w:t>Antwoord</w:t>
      </w:r>
    </w:p>
    <w:p w:rsidR="000E3B7D" w:rsidP="000E3B7D" w:rsidRDefault="000E3B7D" w14:paraId="08AD7A0E" w14:textId="77777777">
      <w:r>
        <w:t xml:space="preserve">Ja. </w:t>
      </w:r>
    </w:p>
    <w:p w:rsidR="000E3B7D" w:rsidP="000E3B7D" w:rsidRDefault="000E3B7D" w14:paraId="02300FA8" w14:textId="77777777"/>
    <w:p w:rsidR="000E3B7D" w:rsidP="000E3B7D" w:rsidRDefault="000E3B7D" w14:paraId="08D545B9" w14:textId="77777777">
      <w:r w:rsidRPr="00CC66DC">
        <w:rPr>
          <w:b/>
        </w:rPr>
        <w:t>Vraag 2</w:t>
      </w:r>
    </w:p>
    <w:p w:rsidR="000E3B7D" w:rsidP="000E3B7D" w:rsidRDefault="000E3B7D" w14:paraId="78E08BB2" w14:textId="77777777">
      <w:pPr>
        <w:rPr>
          <w:color w:val="FF0000"/>
        </w:rPr>
      </w:pPr>
      <w:r w:rsidRPr="00543F95">
        <w:t>Hebben deelnemers aan het spoedberaad van het kabinet op maandag 28 juli een lijst met beoogde maatregelen ontvangen?</w:t>
      </w:r>
      <w:r>
        <w:t xml:space="preserve"> </w:t>
      </w:r>
    </w:p>
    <w:p w:rsidRPr="00AA58D4" w:rsidR="000E3B7D" w:rsidP="000E3B7D" w:rsidRDefault="000E3B7D" w14:paraId="595C130E" w14:textId="77777777">
      <w:pPr>
        <w:rPr>
          <w:color w:val="FF0000"/>
        </w:rPr>
      </w:pPr>
    </w:p>
    <w:p w:rsidR="000E3B7D" w:rsidP="000E3B7D" w:rsidRDefault="000E3B7D" w14:paraId="3C53E444" w14:textId="77777777">
      <w:pPr>
        <w:tabs>
          <w:tab w:val="left" w:pos="4266"/>
        </w:tabs>
      </w:pPr>
      <w:r w:rsidRPr="00CC66DC">
        <w:rPr>
          <w:b/>
        </w:rPr>
        <w:t>Antwoord</w:t>
      </w:r>
    </w:p>
    <w:p w:rsidR="000E3B7D" w:rsidP="000E3B7D" w:rsidRDefault="000E3B7D" w14:paraId="7968D8EB" w14:textId="77777777">
      <w:r>
        <w:t xml:space="preserve">Ja. </w:t>
      </w:r>
    </w:p>
    <w:p w:rsidR="000E3B7D" w:rsidP="000E3B7D" w:rsidRDefault="000E3B7D" w14:paraId="4656B5DE" w14:textId="77777777"/>
    <w:p w:rsidR="000E3B7D" w:rsidP="000E3B7D" w:rsidRDefault="000E3B7D" w14:paraId="078BE14A" w14:textId="77777777">
      <w:r w:rsidRPr="00CC66DC">
        <w:rPr>
          <w:b/>
        </w:rPr>
        <w:t>Vraag 3</w:t>
      </w:r>
    </w:p>
    <w:p w:rsidR="000E3B7D" w:rsidP="000E3B7D" w:rsidRDefault="000E3B7D" w14:paraId="1C4E8CFB" w14:textId="77777777">
      <w:pPr>
        <w:rPr>
          <w:color w:val="FF0000"/>
        </w:rPr>
      </w:pPr>
      <w:r w:rsidRPr="00543F95">
        <w:t>Klopt het dat er meerdere opties op tafel lagen voor hardere sanctiemaatregelen, waaronder op het gebied van wapenleveranties? Zo ja, wat is de reden dat het kabinet hier niet voor heeft gekozen?</w:t>
      </w:r>
      <w:r>
        <w:t xml:space="preserve"> </w:t>
      </w:r>
    </w:p>
    <w:p w:rsidR="000E3B7D" w:rsidP="000E3B7D" w:rsidRDefault="000E3B7D" w14:paraId="0C833C66" w14:textId="77777777">
      <w:pPr>
        <w:rPr>
          <w:color w:val="FF0000"/>
        </w:rPr>
      </w:pPr>
    </w:p>
    <w:p w:rsidR="000E3B7D" w:rsidP="000E3B7D" w:rsidRDefault="000E3B7D" w14:paraId="21B0C5E9" w14:textId="77777777">
      <w:pPr>
        <w:rPr>
          <w:b/>
          <w:bCs/>
        </w:rPr>
      </w:pPr>
      <w:r>
        <w:rPr>
          <w:b/>
          <w:bCs/>
        </w:rPr>
        <w:t>Vraag 7</w:t>
      </w:r>
    </w:p>
    <w:p w:rsidRPr="00543F95" w:rsidR="000E3B7D" w:rsidP="000E3B7D" w:rsidRDefault="000E3B7D" w14:paraId="15A53F9B" w14:textId="77777777">
      <w:r w:rsidRPr="00543F95">
        <w:t xml:space="preserve">Klopt het dat een nationale boycot voor producten uit illegale nederzettingen op de lijst stond? Zo ja, waarom is hier niet voor gekozen? </w:t>
      </w:r>
    </w:p>
    <w:p w:rsidR="000E3B7D" w:rsidP="000E3B7D" w:rsidRDefault="000E3B7D" w14:paraId="7F85ED7A" w14:textId="77777777">
      <w:pPr>
        <w:rPr>
          <w:color w:val="FF0000"/>
        </w:rPr>
      </w:pPr>
    </w:p>
    <w:p w:rsidR="000E3B7D" w:rsidP="000E3B7D" w:rsidRDefault="000E3B7D" w14:paraId="4FF46F29" w14:textId="77777777">
      <w:pPr>
        <w:rPr>
          <w:b/>
          <w:bCs/>
        </w:rPr>
      </w:pPr>
      <w:r>
        <w:rPr>
          <w:b/>
          <w:bCs/>
        </w:rPr>
        <w:lastRenderedPageBreak/>
        <w:t>Vraag 9</w:t>
      </w:r>
    </w:p>
    <w:p w:rsidR="000E3B7D" w:rsidP="000E3B7D" w:rsidRDefault="000E3B7D" w14:paraId="6F594BE3" w14:textId="77777777">
      <w:r w:rsidRPr="00543F95">
        <w:t>Bent u bereid om de lijst, op basis van artikel 68 van de Grondwet, vóór het commissiedebat met de Tweede Kamer te delen? Zo nee, waarom niet?</w:t>
      </w:r>
      <w:r>
        <w:t xml:space="preserve"> </w:t>
      </w:r>
    </w:p>
    <w:p w:rsidRPr="00E408F0" w:rsidR="000E3B7D" w:rsidP="000E3B7D" w:rsidRDefault="000E3B7D" w14:paraId="4FC1350E" w14:textId="77777777">
      <w:pPr>
        <w:rPr>
          <w:color w:val="FF0000"/>
        </w:rPr>
      </w:pPr>
    </w:p>
    <w:p w:rsidR="000E3B7D" w:rsidP="000E3B7D" w:rsidRDefault="000E3B7D" w14:paraId="421D4203" w14:textId="77777777">
      <w:pPr>
        <w:rPr>
          <w:b/>
          <w:bCs/>
        </w:rPr>
      </w:pPr>
      <w:r>
        <w:rPr>
          <w:b/>
          <w:bCs/>
        </w:rPr>
        <w:t xml:space="preserve">Antwoord vraag 3, 7 en 9 </w:t>
      </w:r>
    </w:p>
    <w:p w:rsidRPr="00670BF9" w:rsidR="000E3B7D" w:rsidP="000E3B7D" w:rsidRDefault="000E3B7D" w14:paraId="777A4474" w14:textId="77777777">
      <w:r>
        <w:t>Het kabinet laat zich breed adviseren over verschillende mogelijkheden. De uiteindelijke uitkomst van de beslissing om maatregelen in te stellen is gedeeld in de Kamerbrief van 28 juli jl.</w:t>
      </w:r>
      <w:r>
        <w:rPr>
          <w:rStyle w:val="Voetnootmarkering"/>
        </w:rPr>
        <w:footnoteReference w:id="2"/>
      </w:r>
      <w:r>
        <w:t xml:space="preserve"> </w:t>
      </w:r>
      <w:r w:rsidRPr="00B115F6">
        <w:t>Het kabinet zal de opgestelde notitie voor het bewindspersonen overleg niet met de Kamer delen en beroept zich daarbij op de bescherming van de eenheid van kabinetsbeleid en de bescherming van diplomatieke belangen.</w:t>
      </w:r>
    </w:p>
    <w:p w:rsidR="000E3B7D" w:rsidP="000E3B7D" w:rsidRDefault="000E3B7D" w14:paraId="28A10E67" w14:textId="77777777">
      <w:bookmarkStart w:name="_Hlk205193792" w:id="0"/>
    </w:p>
    <w:p w:rsidR="000E3B7D" w:rsidP="000E3B7D" w:rsidRDefault="000E3B7D" w14:paraId="45B24D6D" w14:textId="77777777">
      <w:r w:rsidRPr="00CC66DC">
        <w:rPr>
          <w:b/>
        </w:rPr>
        <w:t>Vraag 4</w:t>
      </w:r>
    </w:p>
    <w:p w:rsidR="000E3B7D" w:rsidP="000E3B7D" w:rsidRDefault="000E3B7D" w14:paraId="6451176D" w14:textId="77777777">
      <w:pPr>
        <w:rPr>
          <w:color w:val="FF0000"/>
        </w:rPr>
      </w:pPr>
      <w:r w:rsidRPr="00543F95">
        <w:t>Waarom heeft het kabinet de maandelijkse rapportage over de uitvoer van militaire goederen na 31 maart 2025 niet meer geactualiseerd?</w:t>
      </w:r>
      <w:r>
        <w:t xml:space="preserve"> </w:t>
      </w:r>
    </w:p>
    <w:p w:rsidR="000E3B7D" w:rsidP="000E3B7D" w:rsidRDefault="000E3B7D" w14:paraId="15FC9FB8" w14:textId="77777777">
      <w:pPr>
        <w:rPr>
          <w:color w:val="FF0000"/>
        </w:rPr>
      </w:pPr>
    </w:p>
    <w:p w:rsidR="000E3B7D" w:rsidP="000E3B7D" w:rsidRDefault="000E3B7D" w14:paraId="178817A2" w14:textId="77777777">
      <w:pPr>
        <w:rPr>
          <w:b/>
          <w:bCs/>
        </w:rPr>
      </w:pPr>
      <w:r>
        <w:rPr>
          <w:b/>
          <w:bCs/>
        </w:rPr>
        <w:t xml:space="preserve">Vraag 6 </w:t>
      </w:r>
    </w:p>
    <w:p w:rsidR="000E3B7D" w:rsidP="000E3B7D" w:rsidRDefault="000E3B7D" w14:paraId="5AFF67C2" w14:textId="77777777">
      <w:r w:rsidRPr="00543F95">
        <w:t>Kunt u vóór het aanstaande commissiedebat over Gaza de maandelijkse rapportage actualiseren? Zo nee, waarom niet?</w:t>
      </w:r>
      <w:r>
        <w:t xml:space="preserve"> </w:t>
      </w:r>
    </w:p>
    <w:p w:rsidR="000E3B7D" w:rsidP="000E3B7D" w:rsidRDefault="000E3B7D" w14:paraId="133C6960" w14:textId="77777777"/>
    <w:p w:rsidRPr="00543F95" w:rsidR="000E3B7D" w:rsidP="000E3B7D" w:rsidRDefault="000E3B7D" w14:paraId="0FA350EF" w14:textId="77777777"/>
    <w:p w:rsidR="000E3B7D" w:rsidP="000E3B7D" w:rsidRDefault="000E3B7D" w14:paraId="07649820" w14:textId="77777777"/>
    <w:p w:rsidR="000E3B7D" w:rsidP="000E3B7D" w:rsidRDefault="000E3B7D" w14:paraId="392CB90D" w14:textId="77777777">
      <w:r w:rsidRPr="00CC66DC">
        <w:rPr>
          <w:b/>
        </w:rPr>
        <w:t>Antwoord vraag 4 en 6</w:t>
      </w:r>
    </w:p>
    <w:p w:rsidR="000E3B7D" w:rsidP="000E3B7D" w:rsidRDefault="000E3B7D" w14:paraId="03C3EEC2" w14:textId="77777777">
      <w:r>
        <w:t>Het kabinet hanteert een grote mate van transparantie over de uit- en doorvoer van strategische goederen en loopt hiermee internationaal voorop. Het kabinet publiceert regelmatig kerngegevens over alle afgegeven vergunningen voor de uitvoer van militaire en dual-use goederen, evenals kerngegevens over de doorvoer van militaire goederen over Nederlands grondgebied.</w:t>
      </w:r>
    </w:p>
    <w:p w:rsidR="000E3B7D" w:rsidP="000E3B7D" w:rsidRDefault="000E3B7D" w14:paraId="0EAB4373" w14:textId="77777777">
      <w:r>
        <w:t xml:space="preserve">Het streven is publicatie binnen twee maanden. </w:t>
      </w:r>
    </w:p>
    <w:p w:rsidR="000E3B7D" w:rsidP="000E3B7D" w:rsidRDefault="000E3B7D" w14:paraId="5B474461" w14:textId="77777777"/>
    <w:p w:rsidR="000E3B7D" w:rsidP="000E3B7D" w:rsidRDefault="000E3B7D" w14:paraId="58172084" w14:textId="77777777">
      <w:r>
        <w:t xml:space="preserve">Door zware belasting bij exportcontrole bij Douane en het ministerie van Buitenlandse Zaken als gevolg van de Ruslandsancties en de oorlog in de Gazastrook </w:t>
      </w:r>
      <w:r>
        <w:lastRenderedPageBreak/>
        <w:t>is de publicatie vertraagd.  Het kabinet doet zijn uiterste best om de achterstanden in te lopen en inmiddels zijn de kerngegevens voor uitvoer van militaire goederen tot en met 31 mei 2025 gepubliceerd.</w:t>
      </w:r>
      <w:r>
        <w:rPr>
          <w:rStyle w:val="Voetnootmarkering"/>
        </w:rPr>
        <w:footnoteReference w:id="3"/>
      </w:r>
      <w:r>
        <w:t xml:space="preserve"> </w:t>
      </w:r>
    </w:p>
    <w:bookmarkEnd w:id="0"/>
    <w:p w:rsidR="000E3B7D" w:rsidP="000E3B7D" w:rsidRDefault="000E3B7D" w14:paraId="0A475BA5" w14:textId="77777777"/>
    <w:p w:rsidR="000E3B7D" w:rsidP="000E3B7D" w:rsidRDefault="000E3B7D" w14:paraId="6E938DCC" w14:textId="77777777">
      <w:bookmarkStart w:name="_Hlk204941830" w:id="1"/>
      <w:r w:rsidRPr="00CC66DC">
        <w:rPr>
          <w:b/>
        </w:rPr>
        <w:t>Vraag 5</w:t>
      </w:r>
    </w:p>
    <w:p w:rsidR="000E3B7D" w:rsidP="000E3B7D" w:rsidRDefault="000E3B7D" w14:paraId="2DB3C88A" w14:textId="77777777">
      <w:r w:rsidRPr="00543F95">
        <w:t>Zijn er nu nog vergunningen geldig op basis waarvan doorvoer en uitvoer van militaire en dual-use goederen naar Israël mogelijk is? Zo ja, kunt u heel specifiek voor elke vergunning aangeven welke goederen en welke waarde het betreft?</w:t>
      </w:r>
      <w:r>
        <w:t xml:space="preserve"> </w:t>
      </w:r>
    </w:p>
    <w:p w:rsidR="000E3B7D" w:rsidP="000E3B7D" w:rsidRDefault="000E3B7D" w14:paraId="652132AB" w14:textId="77777777">
      <w:pPr>
        <w:rPr>
          <w:b/>
        </w:rPr>
      </w:pPr>
    </w:p>
    <w:p w:rsidR="000E3B7D" w:rsidP="000E3B7D" w:rsidRDefault="000E3B7D" w14:paraId="45A1B079" w14:textId="77777777">
      <w:r w:rsidRPr="00CC66DC">
        <w:rPr>
          <w:b/>
        </w:rPr>
        <w:t>Antwoord</w:t>
      </w:r>
    </w:p>
    <w:p w:rsidR="000E3B7D" w:rsidP="000E3B7D" w:rsidRDefault="000E3B7D" w14:paraId="66FBF071" w14:textId="77777777">
      <w:r>
        <w:t xml:space="preserve">Voor militaire goederen zijn er op dit moment zeven vergunningen geldig waarmee door- en uitvoer naar Israël mogelijk is. Het gaat hier om goederen als communicatiesystemen, technologie voor radarsystemen, delen voor onbemande voertuigen, elektronica voor vliegerhelmen, programmatuur voor observatiesystemen en delen voor geleide projectielen. </w:t>
      </w:r>
    </w:p>
    <w:p w:rsidR="000E3B7D" w:rsidP="000E3B7D" w:rsidRDefault="000E3B7D" w14:paraId="6A43FAC3" w14:textId="77777777"/>
    <w:p w:rsidR="000E3B7D" w:rsidP="000E3B7D" w:rsidRDefault="000E3B7D" w14:paraId="4CF7F144" w14:textId="77777777">
      <w:r>
        <w:t xml:space="preserve">Voor de uitvoer van delen voor radarsystemen geldt dat dit radaronderdelen betreffen ten behoeve van het </w:t>
      </w:r>
      <w:r w:rsidRPr="00CC66DC">
        <w:rPr>
          <w:i/>
        </w:rPr>
        <w:t>Iron Dome</w:t>
      </w:r>
      <w:r>
        <w:t xml:space="preserve">-luchtafweersysteem, waarmee inkomende dreigingen gedetecteerd en uitgeschakeld kunnen worden. </w:t>
      </w:r>
    </w:p>
    <w:p w:rsidR="000E3B7D" w:rsidP="000E3B7D" w:rsidRDefault="000E3B7D" w14:paraId="5EEFA328" w14:textId="77777777"/>
    <w:p w:rsidRPr="00B115F6" w:rsidR="000E3B7D" w:rsidP="000E3B7D" w:rsidRDefault="000E3B7D" w14:paraId="2A530D20" w14:textId="77777777">
      <w:r>
        <w:t xml:space="preserve">Met uitzondering van de delen voor radarsystemen ten bate van het </w:t>
      </w:r>
      <w:r w:rsidRPr="00280C64">
        <w:rPr>
          <w:i/>
          <w:iCs/>
        </w:rPr>
        <w:t>Iron Dome</w:t>
      </w:r>
      <w:r>
        <w:t>-</w:t>
      </w:r>
      <w:r w:rsidRPr="00B115F6">
        <w:t>luchtafweersysteem, conform de motie Kahraman</w:t>
      </w:r>
      <w:r w:rsidRPr="00B115F6">
        <w:rPr>
          <w:rStyle w:val="Voetnootmarkering"/>
        </w:rPr>
        <w:footnoteReference w:id="4"/>
      </w:r>
      <w:r w:rsidRPr="00B115F6">
        <w:t xml:space="preserve">, geldt dat er bij alle geldige vergunningen sprake is van (tijdelijke) uitvoer ten behoeve van verdere productontwikkeling of reparatie- en/of onderhoudsdoeleinden in Israël waarbij er geen sprake is van eindgebruik in Israël.   </w:t>
      </w:r>
    </w:p>
    <w:p w:rsidRPr="00B115F6" w:rsidR="000E3B7D" w:rsidP="000E3B7D" w:rsidRDefault="000E3B7D" w14:paraId="4F2B4510" w14:textId="77777777"/>
    <w:p w:rsidRPr="00B115F6" w:rsidR="000E3B7D" w:rsidP="000E3B7D" w:rsidRDefault="000E3B7D" w14:paraId="4A0558BE" w14:textId="77777777">
      <w:pPr>
        <w:rPr>
          <w:color w:val="000000" w:themeColor="text1"/>
        </w:rPr>
      </w:pPr>
      <w:r w:rsidRPr="00B115F6">
        <w:t>Voor de verleende dual-use vergunningen tot en met juni 2025, inclusief informatie over de geldigheid, omschrijving en waarde ervan, verwijst het kabinet naar het document ‘Rapportage uitvoer dual-use goederen geactualiseerd tot en met juni 2025</w:t>
      </w:r>
      <w:r w:rsidRPr="00B115F6">
        <w:rPr>
          <w:rStyle w:val="Voetnootmarkering"/>
        </w:rPr>
        <w:footnoteReference w:id="5"/>
      </w:r>
      <w:r w:rsidRPr="00B115F6">
        <w:t>’. In de periode 1 juli 2025 tot 1 augustus 2025 zijn na zorgvuldige toetsing aan de Europese exportcontrolekaders vijf dual-use vergunningen aan civiele bedrijven in Israël verleend</w:t>
      </w:r>
      <w:r w:rsidRPr="00B115F6">
        <w:rPr>
          <w:color w:val="000000" w:themeColor="text1"/>
        </w:rPr>
        <w:t xml:space="preserve">.  </w:t>
      </w:r>
    </w:p>
    <w:p w:rsidRPr="00B115F6" w:rsidR="000E3B7D" w:rsidDel="3025F36B" w:rsidP="000E3B7D" w:rsidRDefault="000E3B7D" w14:paraId="4A2A5A5F" w14:textId="77777777"/>
    <w:p w:rsidR="000E3B7D" w:rsidP="000E3B7D" w:rsidRDefault="000E3B7D" w14:paraId="55D9D72F" w14:textId="77777777">
      <w:r w:rsidRPr="00B115F6">
        <w:t>De verleende vergunningen zijn uitsluitend voor transacties met medisch of civiel eindgebruik. In geen van deze gevallen is sprake van eindgebruik</w:t>
      </w:r>
      <w:r w:rsidRPr="007E6C52">
        <w:t xml:space="preserve"> door de Israëlische krijgsmacht of andere eindgebruikers met een geweldsmandaat. </w:t>
      </w:r>
      <w:r>
        <w:t>In één geval</w:t>
      </w:r>
      <w:r w:rsidRPr="007E6C52">
        <w:t xml:space="preserve"> betrof het de definitieve uitvoer van meetsystemen ter waarde van </w:t>
      </w:r>
      <w:r>
        <w:t xml:space="preserve">circa </w:t>
      </w:r>
      <w:r w:rsidRPr="007E6C52">
        <w:t xml:space="preserve">31 miljoen euro. Eenmaal betrof het de definitieve uitvoer van technologie voor infraroodcamera’s ter waarde van </w:t>
      </w:r>
      <w:r>
        <w:t xml:space="preserve">circa </w:t>
      </w:r>
      <w:r w:rsidRPr="007E6C52">
        <w:t xml:space="preserve">25 duizend euro. Tweemaal betrof het de definitieve uitvoer van gestuurde vonkbruggen ter waarde van </w:t>
      </w:r>
      <w:r>
        <w:t xml:space="preserve">circa </w:t>
      </w:r>
      <w:r w:rsidRPr="007E6C52">
        <w:t xml:space="preserve">16 duizend, respectievelijk </w:t>
      </w:r>
      <w:r>
        <w:t xml:space="preserve">circa </w:t>
      </w:r>
      <w:r w:rsidRPr="007E6C52">
        <w:t xml:space="preserve">19 duizend euro. De laatste vergunning </w:t>
      </w:r>
      <w:r>
        <w:t>betrof</w:t>
      </w:r>
      <w:r w:rsidRPr="007E6C52">
        <w:t xml:space="preserve"> de tijdelijke uitvoer van traagheidsnavigatiesystemen ter waarde van </w:t>
      </w:r>
      <w:r>
        <w:t xml:space="preserve">circa </w:t>
      </w:r>
      <w:r w:rsidRPr="007E6C52">
        <w:t>24 miljoen euro. De verleende vergunningen hebben een geldigheid van één jaar</w:t>
      </w:r>
      <w:r>
        <w:t>.</w:t>
      </w:r>
    </w:p>
    <w:bookmarkEnd w:id="1"/>
    <w:p w:rsidR="000E3B7D" w:rsidP="000E3B7D" w:rsidRDefault="000E3B7D" w14:paraId="21211CC3" w14:textId="77777777">
      <w:pPr>
        <w:rPr>
          <w:b/>
          <w:bCs/>
        </w:rPr>
      </w:pPr>
    </w:p>
    <w:p w:rsidR="000E3B7D" w:rsidP="000E3B7D" w:rsidRDefault="000E3B7D" w14:paraId="0E5933E4" w14:textId="77777777">
      <w:pPr>
        <w:rPr>
          <w:b/>
          <w:bCs/>
        </w:rPr>
      </w:pPr>
      <w:r>
        <w:rPr>
          <w:b/>
          <w:bCs/>
        </w:rPr>
        <w:t>Vraag 8</w:t>
      </w:r>
    </w:p>
    <w:p w:rsidRPr="00E408F0" w:rsidR="000E3B7D" w:rsidP="000E3B7D" w:rsidRDefault="000E3B7D" w14:paraId="0F287D82" w14:textId="77777777">
      <w:pPr>
        <w:rPr>
          <w:color w:val="FF0000"/>
        </w:rPr>
      </w:pPr>
      <w:r w:rsidRPr="00543F95">
        <w:t>Waarom heeft het kabinet er niet voor gekozen om met een nationale boycot voor te sorteren op het scenario dat er onvoldoende steun voor een Europese boycot is?</w:t>
      </w:r>
      <w:r>
        <w:t xml:space="preserve"> </w:t>
      </w:r>
    </w:p>
    <w:p w:rsidR="000E3B7D" w:rsidP="000E3B7D" w:rsidRDefault="000E3B7D" w14:paraId="1F63A93D" w14:textId="77777777">
      <w:pPr>
        <w:rPr>
          <w:b/>
          <w:bCs/>
        </w:rPr>
      </w:pPr>
    </w:p>
    <w:p w:rsidR="000E3B7D" w:rsidP="000E3B7D" w:rsidRDefault="000E3B7D" w14:paraId="4D6047CD" w14:textId="77777777">
      <w:pPr>
        <w:rPr>
          <w:b/>
          <w:bCs/>
        </w:rPr>
      </w:pPr>
      <w:r>
        <w:rPr>
          <w:b/>
          <w:bCs/>
        </w:rPr>
        <w:t>Antwoord</w:t>
      </w:r>
    </w:p>
    <w:p w:rsidR="000E3B7D" w:rsidP="000E3B7D" w:rsidRDefault="000E3B7D" w14:paraId="01AF579F" w14:textId="77777777">
      <w:r w:rsidRPr="0071173C">
        <w:t xml:space="preserve">Zoals is vermeld in de Kamerbrief van 28 juli jl. heeft het kabinet besloten in samenwerking met gelijkgestemde partners zich in te spannen </w:t>
      </w:r>
      <w:r w:rsidRPr="00B115F6">
        <w:t>voor handelspolitieke maatregelen ten aanzien van goederenimport uit de door illegale nederzettingen, conform de motie van Campen en Boswijk.</w:t>
      </w:r>
      <w:r w:rsidRPr="00B115F6">
        <w:rPr>
          <w:rStyle w:val="Voetnootmarkering"/>
        </w:rPr>
        <w:footnoteReference w:id="6"/>
      </w:r>
      <w:r w:rsidRPr="00B115F6">
        <w:t xml:space="preserve"> Als lidstaat van de Europese Unie is Nederland onderdeel van de interne markt, waarin vrij verkeer van goederen geldt. Een eventuele maatregel gericht op het weren van producten uit illegale nederzettingen is effectiever als deze op niveau van de Unie wordt genomen, ook met oog op de eventuele handhaving van een dergelijke maatregel.</w:t>
      </w:r>
      <w:r>
        <w:t xml:space="preserve"> </w:t>
      </w:r>
    </w:p>
    <w:p w:rsidR="000E3B7D" w:rsidP="000E3B7D" w:rsidRDefault="000E3B7D" w14:paraId="3EC12190" w14:textId="77777777"/>
    <w:p w:rsidR="000E3B7D" w:rsidP="000E3B7D" w:rsidRDefault="000E3B7D" w14:paraId="12317100" w14:textId="77777777">
      <w:pPr>
        <w:rPr>
          <w:b/>
          <w:bCs/>
        </w:rPr>
      </w:pPr>
      <w:r>
        <w:rPr>
          <w:b/>
          <w:bCs/>
        </w:rPr>
        <w:t>Vraag 10</w:t>
      </w:r>
    </w:p>
    <w:p w:rsidRPr="00543F95" w:rsidR="000E3B7D" w:rsidP="000E3B7D" w:rsidRDefault="000E3B7D" w14:paraId="0DC8D5C2" w14:textId="77777777">
      <w:r w:rsidRPr="00543F95">
        <w:t>Kunt u deze vragen elk afzonderlijk en vóór het commissiedebat beantwoorden?</w:t>
      </w:r>
    </w:p>
    <w:p w:rsidR="000E3B7D" w:rsidP="000E3B7D" w:rsidRDefault="000E3B7D" w14:paraId="6CBD3543" w14:textId="77777777">
      <w:pPr>
        <w:rPr>
          <w:b/>
          <w:bCs/>
        </w:rPr>
      </w:pPr>
    </w:p>
    <w:p w:rsidR="000E3B7D" w:rsidP="000E3B7D" w:rsidRDefault="000E3B7D" w14:paraId="31B1379D" w14:textId="77777777">
      <w:pPr>
        <w:rPr>
          <w:b/>
          <w:bCs/>
        </w:rPr>
      </w:pPr>
      <w:r>
        <w:rPr>
          <w:b/>
          <w:bCs/>
        </w:rPr>
        <w:t>Antwoord</w:t>
      </w:r>
    </w:p>
    <w:p w:rsidRPr="008224D3" w:rsidR="000E3B7D" w:rsidP="000E3B7D" w:rsidRDefault="000E3B7D" w14:paraId="76AF47A4" w14:textId="77777777">
      <w:r>
        <w:t xml:space="preserve">De vragen zijn zoveel mogelijk separaat beantwoord en voor het debat verstuurd. </w:t>
      </w:r>
    </w:p>
    <w:p w:rsidR="00B37F4E" w:rsidRDefault="00B37F4E" w14:paraId="3D5C54F7" w14:textId="77777777"/>
    <w:sectPr w:rsidR="00B37F4E" w:rsidSect="000E3B7D">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17C1" w14:textId="77777777" w:rsidR="000E3B7D" w:rsidRDefault="000E3B7D" w:rsidP="000E3B7D">
      <w:pPr>
        <w:spacing w:after="0" w:line="240" w:lineRule="auto"/>
      </w:pPr>
      <w:r>
        <w:separator/>
      </w:r>
    </w:p>
  </w:endnote>
  <w:endnote w:type="continuationSeparator" w:id="0">
    <w:p w14:paraId="7C6914FD" w14:textId="77777777" w:rsidR="000E3B7D" w:rsidRDefault="000E3B7D" w:rsidP="000E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C080" w14:textId="77777777" w:rsidR="000E3B7D" w:rsidRPr="000E3B7D" w:rsidRDefault="000E3B7D" w:rsidP="000E3B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90C8" w14:textId="77777777" w:rsidR="000E3B7D" w:rsidRPr="000E3B7D" w:rsidRDefault="000E3B7D" w:rsidP="000E3B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B151" w14:textId="77777777" w:rsidR="000E3B7D" w:rsidRPr="000E3B7D" w:rsidRDefault="000E3B7D" w:rsidP="000E3B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94A5" w14:textId="77777777" w:rsidR="000E3B7D" w:rsidRDefault="000E3B7D" w:rsidP="000E3B7D">
      <w:pPr>
        <w:spacing w:after="0" w:line="240" w:lineRule="auto"/>
      </w:pPr>
      <w:r>
        <w:separator/>
      </w:r>
    </w:p>
  </w:footnote>
  <w:footnote w:type="continuationSeparator" w:id="0">
    <w:p w14:paraId="6B8EBFA3" w14:textId="77777777" w:rsidR="000E3B7D" w:rsidRDefault="000E3B7D" w:rsidP="000E3B7D">
      <w:pPr>
        <w:spacing w:after="0" w:line="240" w:lineRule="auto"/>
      </w:pPr>
      <w:r>
        <w:continuationSeparator/>
      </w:r>
    </w:p>
  </w:footnote>
  <w:footnote w:id="1">
    <w:p w14:paraId="632328A2" w14:textId="77777777" w:rsidR="000E3B7D" w:rsidRPr="0032757B" w:rsidRDefault="000E3B7D" w:rsidP="000E3B7D">
      <w:pPr>
        <w:pStyle w:val="Voetnoottekst"/>
        <w:rPr>
          <w:sz w:val="16"/>
          <w:szCs w:val="16"/>
        </w:rPr>
      </w:pPr>
      <w:r w:rsidRPr="0032757B">
        <w:rPr>
          <w:rStyle w:val="Voetnootmarkering"/>
          <w:sz w:val="16"/>
          <w:szCs w:val="16"/>
        </w:rPr>
        <w:footnoteRef/>
      </w:r>
      <w:r w:rsidRPr="0032757B">
        <w:rPr>
          <w:sz w:val="16"/>
          <w:szCs w:val="16"/>
        </w:rPr>
        <w:t xml:space="preserve"> De Telegraaf, 29 juli 2025, 'Reconstructie: de nieuwe Israël-koers had harder gekund, deze acties haalden het niet' (https://www.telegraaf.nl/politiek/reconstructie-de-nieuwe-israel-koers-had-harder-gekund-deze-acties-haalden-het-niet/80533012.html?utm_medium=referral&amp;utm_campaign=share)</w:t>
      </w:r>
    </w:p>
  </w:footnote>
  <w:footnote w:id="2">
    <w:p w14:paraId="56DAB5E0" w14:textId="77777777" w:rsidR="000E3B7D" w:rsidRPr="0062564B" w:rsidRDefault="000E3B7D" w:rsidP="000E3B7D">
      <w:pPr>
        <w:pStyle w:val="Voetnoottekst"/>
        <w:rPr>
          <w:sz w:val="16"/>
          <w:szCs w:val="16"/>
        </w:rPr>
      </w:pPr>
      <w:r w:rsidRPr="0032757B">
        <w:rPr>
          <w:sz w:val="16"/>
          <w:szCs w:val="16"/>
        </w:rPr>
        <w:footnoteRef/>
      </w:r>
      <w:r w:rsidRPr="0032757B">
        <w:rPr>
          <w:sz w:val="16"/>
          <w:szCs w:val="16"/>
        </w:rPr>
        <w:t xml:space="preserve"> Kamerstuk 23431 nr. 569</w:t>
      </w:r>
      <w:r w:rsidRPr="0062564B">
        <w:rPr>
          <w:sz w:val="16"/>
          <w:szCs w:val="16"/>
        </w:rPr>
        <w:t xml:space="preserve"> </w:t>
      </w:r>
    </w:p>
  </w:footnote>
  <w:footnote w:id="3">
    <w:p w14:paraId="1F804937" w14:textId="77777777" w:rsidR="000E3B7D" w:rsidRPr="00B115F6" w:rsidRDefault="000E3B7D" w:rsidP="000E3B7D">
      <w:pPr>
        <w:pStyle w:val="Voetnoottekst"/>
        <w:rPr>
          <w:sz w:val="16"/>
          <w:szCs w:val="16"/>
        </w:rPr>
      </w:pPr>
      <w:r w:rsidRPr="00B115F6">
        <w:rPr>
          <w:rStyle w:val="Voetnootmarkering"/>
          <w:sz w:val="16"/>
          <w:szCs w:val="16"/>
        </w:rPr>
        <w:footnoteRef/>
      </w:r>
      <w:r w:rsidRPr="00B115F6">
        <w:rPr>
          <w:sz w:val="16"/>
          <w:szCs w:val="16"/>
        </w:rPr>
        <w:t xml:space="preserve"> https://www.rijksoverheid.nl/documenten/rapporten/2016/10/01/overzicht-uitvoer-militaire-goederen</w:t>
      </w:r>
    </w:p>
  </w:footnote>
  <w:footnote w:id="4">
    <w:p w14:paraId="1785799B" w14:textId="77777777" w:rsidR="000E3B7D" w:rsidRPr="00B115F6" w:rsidRDefault="000E3B7D" w:rsidP="000E3B7D">
      <w:pPr>
        <w:pStyle w:val="Voetnoottekst"/>
        <w:rPr>
          <w:sz w:val="16"/>
          <w:szCs w:val="16"/>
        </w:rPr>
      </w:pPr>
      <w:r w:rsidRPr="00B115F6">
        <w:rPr>
          <w:rStyle w:val="Voetnootmarkering"/>
          <w:sz w:val="16"/>
          <w:szCs w:val="16"/>
        </w:rPr>
        <w:footnoteRef/>
      </w:r>
      <w:r w:rsidRPr="00B115F6">
        <w:rPr>
          <w:sz w:val="16"/>
          <w:szCs w:val="16"/>
        </w:rPr>
        <w:t xml:space="preserve"> Kamerstuk 21501-02-3170</w:t>
      </w:r>
    </w:p>
  </w:footnote>
  <w:footnote w:id="5">
    <w:p w14:paraId="7696F2BE" w14:textId="77777777" w:rsidR="000E3B7D" w:rsidRPr="0062564B" w:rsidRDefault="000E3B7D" w:rsidP="000E3B7D">
      <w:pPr>
        <w:pStyle w:val="Voetnoottekst"/>
        <w:rPr>
          <w:sz w:val="16"/>
          <w:szCs w:val="16"/>
        </w:rPr>
      </w:pPr>
      <w:r w:rsidRPr="00B115F6">
        <w:rPr>
          <w:rStyle w:val="Voetnootmarkering"/>
          <w:sz w:val="16"/>
          <w:szCs w:val="16"/>
        </w:rPr>
        <w:footnoteRef/>
      </w:r>
      <w:r w:rsidRPr="00B115F6">
        <w:rPr>
          <w:sz w:val="16"/>
          <w:szCs w:val="16"/>
        </w:rPr>
        <w:t xml:space="preserve"> </w:t>
      </w:r>
      <w:hyperlink r:id="rId1" w:history="1">
        <w:r w:rsidRPr="00B115F6">
          <w:rPr>
            <w:sz w:val="16"/>
            <w:szCs w:val="16"/>
          </w:rPr>
          <w:t>https://www.rijksoverheid.nl/documenten/rapporten/2016/10/01/overzicht-dual-use-vergunningen</w:t>
        </w:r>
      </w:hyperlink>
      <w:r w:rsidRPr="0062564B">
        <w:rPr>
          <w:sz w:val="16"/>
          <w:szCs w:val="16"/>
        </w:rPr>
        <w:t xml:space="preserve"> </w:t>
      </w:r>
    </w:p>
  </w:footnote>
  <w:footnote w:id="6">
    <w:p w14:paraId="17EB4F26" w14:textId="77777777" w:rsidR="000E3B7D" w:rsidRPr="000B68F3" w:rsidRDefault="000E3B7D" w:rsidP="000E3B7D">
      <w:pPr>
        <w:pStyle w:val="Voetnoottekst"/>
      </w:pPr>
      <w:r w:rsidRPr="007E4D2A">
        <w:rPr>
          <w:rStyle w:val="Voetnootmarkering"/>
          <w:sz w:val="16"/>
          <w:szCs w:val="16"/>
        </w:rPr>
        <w:footnoteRef/>
      </w:r>
      <w:r w:rsidRPr="007E4D2A">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C540" w14:textId="77777777" w:rsidR="000E3B7D" w:rsidRPr="000E3B7D" w:rsidRDefault="000E3B7D" w:rsidP="000E3B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9242" w14:textId="77777777" w:rsidR="000E3B7D" w:rsidRPr="000E3B7D" w:rsidRDefault="000E3B7D" w:rsidP="000E3B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EA4B" w14:textId="77777777" w:rsidR="000E3B7D" w:rsidRPr="000E3B7D" w:rsidRDefault="000E3B7D" w:rsidP="000E3B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7D"/>
    <w:rsid w:val="000E3B7D"/>
    <w:rsid w:val="00B37F4E"/>
    <w:rsid w:val="00B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D2E9"/>
  <w15:chartTrackingRefBased/>
  <w15:docId w15:val="{5036DAEA-AD2F-4902-BD17-55666BC8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3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3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3B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3B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3B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3B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3B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3B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3B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3B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3B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3B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3B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3B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3B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3B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3B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3B7D"/>
    <w:rPr>
      <w:rFonts w:eastAsiaTheme="majorEastAsia" w:cstheme="majorBidi"/>
      <w:color w:val="272727" w:themeColor="text1" w:themeTint="D8"/>
    </w:rPr>
  </w:style>
  <w:style w:type="paragraph" w:styleId="Titel">
    <w:name w:val="Title"/>
    <w:basedOn w:val="Standaard"/>
    <w:next w:val="Standaard"/>
    <w:link w:val="TitelChar"/>
    <w:uiPriority w:val="10"/>
    <w:qFormat/>
    <w:rsid w:val="000E3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3B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3B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3B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3B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3B7D"/>
    <w:rPr>
      <w:i/>
      <w:iCs/>
      <w:color w:val="404040" w:themeColor="text1" w:themeTint="BF"/>
    </w:rPr>
  </w:style>
  <w:style w:type="paragraph" w:styleId="Lijstalinea">
    <w:name w:val="List Paragraph"/>
    <w:basedOn w:val="Standaard"/>
    <w:uiPriority w:val="34"/>
    <w:qFormat/>
    <w:rsid w:val="000E3B7D"/>
    <w:pPr>
      <w:ind w:left="720"/>
      <w:contextualSpacing/>
    </w:pPr>
  </w:style>
  <w:style w:type="character" w:styleId="Intensievebenadrukking">
    <w:name w:val="Intense Emphasis"/>
    <w:basedOn w:val="Standaardalinea-lettertype"/>
    <w:uiPriority w:val="21"/>
    <w:qFormat/>
    <w:rsid w:val="000E3B7D"/>
    <w:rPr>
      <w:i/>
      <w:iCs/>
      <w:color w:val="2F5496" w:themeColor="accent1" w:themeShade="BF"/>
    </w:rPr>
  </w:style>
  <w:style w:type="paragraph" w:styleId="Duidelijkcitaat">
    <w:name w:val="Intense Quote"/>
    <w:basedOn w:val="Standaard"/>
    <w:next w:val="Standaard"/>
    <w:link w:val="DuidelijkcitaatChar"/>
    <w:uiPriority w:val="30"/>
    <w:qFormat/>
    <w:rsid w:val="000E3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3B7D"/>
    <w:rPr>
      <w:i/>
      <w:iCs/>
      <w:color w:val="2F5496" w:themeColor="accent1" w:themeShade="BF"/>
    </w:rPr>
  </w:style>
  <w:style w:type="character" w:styleId="Intensieveverwijzing">
    <w:name w:val="Intense Reference"/>
    <w:basedOn w:val="Standaardalinea-lettertype"/>
    <w:uiPriority w:val="32"/>
    <w:qFormat/>
    <w:rsid w:val="000E3B7D"/>
    <w:rPr>
      <w:b/>
      <w:bCs/>
      <w:smallCaps/>
      <w:color w:val="2F5496" w:themeColor="accent1" w:themeShade="BF"/>
      <w:spacing w:val="5"/>
    </w:rPr>
  </w:style>
  <w:style w:type="paragraph" w:styleId="Koptekst">
    <w:name w:val="header"/>
    <w:basedOn w:val="Standaard"/>
    <w:link w:val="KoptekstChar"/>
    <w:uiPriority w:val="99"/>
    <w:unhideWhenUsed/>
    <w:rsid w:val="000E3B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3B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3B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3B7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3B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E3B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3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6/10/01/overzicht-dual-use-vergunn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886</ap:Words>
  <ap:Characters>4879</ap:Characters>
  <ap:DocSecurity>0</ap:DocSecurity>
  <ap:Lines>40</ap:Lines>
  <ap:Paragraphs>11</ap:Paragraphs>
  <ap:ScaleCrop>false</ap:ScaleCrop>
  <ap:LinksUpToDate>false</ap:LinksUpToDate>
  <ap:CharactersWithSpaces>5754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2025-08-11T12:20:00.0000000Z</dcterms:created>
  <dcterms:modified xsi:type="dcterms:W3CDTF">2025-08-11T12:20:00.0000000Z</dcterms:modified>
  <version/>
  <category/>
</coreProperties>
</file>