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4A27" w:rsidRDefault="00F74A27" w14:paraId="345DDFDA" w14:textId="77777777"/>
    <w:p w:rsidR="00F74A27" w:rsidRDefault="00F74A27" w14:paraId="09984857" w14:textId="77777777"/>
    <w:p w:rsidR="00176C12" w:rsidRDefault="00176C12" w14:paraId="7827C72E" w14:textId="10618E2F">
      <w:r w:rsidRPr="00176C12">
        <w:t>Hierbij beantwoord ik</w:t>
      </w:r>
      <w:r w:rsidR="00F74A27">
        <w:t xml:space="preserve"> de vragen van het lid </w:t>
      </w:r>
      <w:proofErr w:type="spellStart"/>
      <w:r w:rsidR="00F74A27">
        <w:t>Tseggai</w:t>
      </w:r>
      <w:proofErr w:type="spellEnd"/>
      <w:r w:rsidR="00F74A27">
        <w:t xml:space="preserve"> (GroenLinks-PvdA)</w:t>
      </w:r>
      <w:r w:rsidRPr="00176C12">
        <w:t xml:space="preserve"> </w:t>
      </w:r>
      <w:r w:rsidR="00F74A27">
        <w:t>over de inzage in transactiegegevens van kansspelaanbieders.</w:t>
      </w:r>
      <w:r w:rsidRPr="00176C12">
        <w:t xml:space="preserve"> </w:t>
      </w:r>
    </w:p>
    <w:p w:rsidR="00176C12" w:rsidRDefault="00176C12" w14:paraId="1450CB35" w14:textId="77777777"/>
    <w:p w:rsidR="004C264D" w:rsidRDefault="004C264D" w14:paraId="6A5ACB85" w14:textId="77777777"/>
    <w:p w:rsidR="00176C12" w:rsidRDefault="00176C12" w14:paraId="11F55B99" w14:textId="77777777">
      <w:r w:rsidRPr="00176C12">
        <w:t xml:space="preserve">De Staatssecretaris Rechtsbescherming, </w:t>
      </w:r>
    </w:p>
    <w:p w:rsidR="00176C12" w:rsidRDefault="00176C12" w14:paraId="64DF33EE" w14:textId="77777777"/>
    <w:p w:rsidR="00176C12" w:rsidRDefault="00176C12" w14:paraId="5C6525CB" w14:textId="77777777"/>
    <w:p w:rsidR="00176C12" w:rsidRDefault="00176C12" w14:paraId="38645893" w14:textId="77777777"/>
    <w:p w:rsidR="00176C12" w:rsidRDefault="00176C12" w14:paraId="29759F5A" w14:textId="77777777"/>
    <w:p w:rsidR="005301D1" w:rsidRDefault="00176C12" w14:paraId="203FE904" w14:textId="7CA6E394">
      <w:r w:rsidRPr="00176C12">
        <w:t>T.H.D. Struycken</w:t>
      </w:r>
    </w:p>
    <w:p w:rsidR="005301D1" w:rsidRDefault="005301D1" w14:paraId="4EDB0D94" w14:textId="77777777"/>
    <w:p w:rsidR="00560A43" w:rsidRDefault="00560A43" w14:paraId="44A4B969" w14:textId="4D924D66">
      <w:pPr>
        <w:spacing w:line="240" w:lineRule="auto"/>
      </w:pPr>
      <w:r>
        <w:br w:type="page"/>
      </w:r>
    </w:p>
    <w:p w:rsidRPr="004E70CB" w:rsidR="00560A43" w:rsidP="00560A43" w:rsidRDefault="00560A43" w14:paraId="0186A3EA" w14:textId="731C55EC">
      <w:pPr>
        <w:autoSpaceDN/>
        <w:spacing w:after="160" w:line="259" w:lineRule="auto"/>
        <w:textAlignment w:val="auto"/>
        <w:rPr>
          <w:b/>
          <w:bCs/>
        </w:rPr>
      </w:pPr>
      <w:r w:rsidRPr="004E70CB">
        <w:rPr>
          <w:b/>
          <w:bCs/>
        </w:rPr>
        <w:lastRenderedPageBreak/>
        <w:t xml:space="preserve">Vragen van het lid </w:t>
      </w:r>
      <w:proofErr w:type="spellStart"/>
      <w:r w:rsidRPr="004E70CB">
        <w:rPr>
          <w:b/>
          <w:bCs/>
        </w:rPr>
        <w:t>Tseggai</w:t>
      </w:r>
      <w:proofErr w:type="spellEnd"/>
      <w:r w:rsidRPr="004E70CB">
        <w:rPr>
          <w:b/>
          <w:bCs/>
        </w:rPr>
        <w:t xml:space="preserve"> (GroenLinks-PvdA) aan de staatssecretaris van Justitie en Veiligheid over de inzage in transactieoverzichten van kansspelaanbieders</w:t>
      </w:r>
      <w:r w:rsidR="004C264D">
        <w:rPr>
          <w:b/>
          <w:bCs/>
        </w:rPr>
        <w:br/>
      </w:r>
      <w:r w:rsidRPr="004E70CB">
        <w:rPr>
          <w:b/>
          <w:bCs/>
        </w:rPr>
        <w:t>(ingezonden 14 juli 2025, 2025Z14676</w:t>
      </w:r>
      <w:r>
        <w:rPr>
          <w:b/>
          <w:bCs/>
        </w:rPr>
        <w:t>)</w:t>
      </w:r>
    </w:p>
    <w:p w:rsidR="004C264D" w:rsidP="00560A43" w:rsidRDefault="00560A43" w14:paraId="329AEABA" w14:textId="77777777">
      <w:pPr>
        <w:rPr>
          <w:b/>
          <w:bCs/>
        </w:rPr>
      </w:pPr>
      <w:r>
        <w:rPr>
          <w:b/>
          <w:bCs/>
          <w:noProof/>
        </w:rPr>
        <mc:AlternateContent>
          <mc:Choice Requires="wps">
            <w:drawing>
              <wp:anchor distT="0" distB="0" distL="114300" distR="114300" simplePos="0" relativeHeight="251659264" behindDoc="0" locked="0" layoutInCell="1" allowOverlap="1" wp14:editId="2902458B" wp14:anchorId="66781D20">
                <wp:simplePos x="0" y="0"/>
                <wp:positionH relativeFrom="column">
                  <wp:posOffset>-23496</wp:posOffset>
                </wp:positionH>
                <wp:positionV relativeFrom="paragraph">
                  <wp:posOffset>34925</wp:posOffset>
                </wp:positionV>
                <wp:extent cx="5724525" cy="9525"/>
                <wp:effectExtent l="0" t="0" r="28575" b="28575"/>
                <wp:wrapNone/>
                <wp:docPr id="1631387003" name="Rechte verbindingslijn 1"/>
                <wp:cNvGraphicFramePr/>
                <a:graphic xmlns:a="http://schemas.openxmlformats.org/drawingml/2006/main">
                  <a:graphicData uri="http://schemas.microsoft.com/office/word/2010/wordprocessingShape">
                    <wps:wsp>
                      <wps:cNvCnPr/>
                      <wps:spPr>
                        <a:xfrm flipV="1">
                          <a:off x="0" y="0"/>
                          <a:ext cx="5724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Rechte verbindingslijn 1"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VTC7pQEAAJUDAAAOAAAAZHJzL2Uyb0RvYy54bWysU01v2zAMvQ/YfxB0X+wEy7oZcXposV2K rti63lWZioVJoiBpsfPvS8mJO2wtUBS9CPp475GPpDbnozVsDyFqdC1fLmrOwEnstNu1/Nft1w+f OYtJuE4YdNDyA0R+vn3/bjP4BlbYo+kgMBJxsRl8y/uUfFNVUfZgRVygB0ePCoMViY5hV3VBDKRu TbWq60/VgKHzASXESLeX0yPfFn2lQKbvSkVIzLSccktlDWW9z2u13YhmF4TvtTymIV6RhRXaUdBZ 6lIkwf4E/Z+U1TJgRJUWEm2FSmkJxQO5Wdb/uPnZCw/FCxUn+rlM8e1k5fX+wt0EKsPgYxP9Tcgu RhUsU0b7O+pp8UWZsrGU7TCXDcbEJF2uz1Yf16s1Z5LevuQdyVWTSlbzIaZvgJblTcuNdtmUaMT+ KqYJeoIQ7zGPsksHAxls3A9QTHcUb8qojAhcmMD2gprb/V4ewxZkpihtzEyqS8hnSUdspkEZm5cS Z3SJiC7NRKsdhqeipvGUqprwJ9eT12z7HrtD6UopB/W+FPQ4p3m4/j4X+uNv2j4AAAD//wMAUEsD BBQABgAIAAAAIQCLpQZo2QAAAAYBAAAPAAAAZHJzL2Rvd25yZXYueG1sTI/BTsMwEETvSPyDtUjc WhtQmhKyqUolxJmWS29OvCQR8TrEbhv+nuUEx9GMZt6Um9kP6kxT7AMj3C0NKOImuJ5bhPfDy2IN KibLzg6BCeGbImyq66vSFi5c+I3O+9QqKeFYWIQupbHQOjYdeRuXYSQW7yNM3iaRU6vdZC9S7gd9 b8xKe9uzLHR2pF1Hzef+5BEOr97Mdep3xF+52R6fsxUfM8Tbm3n7BCrRnP7C8Isv6FAJUx1O7KIa EBYPuSQRsgyU2OvHXJ7UCLkBXZX6P371AwAA//8DAFBLAQItABQABgAIAAAAIQC2gziS/gAAAOEB AAATAAAAAAAAAAAAAAAAAAAAAABbQ29udGVudF9UeXBlc10ueG1sUEsBAi0AFAAGAAgAAAAhADj9 If/WAAAAlAEAAAsAAAAAAAAAAAAAAAAALwEAAF9yZWxzLy5yZWxzUEsBAi0AFAAGAAgAAAAhAJBV MLulAQAAlQMAAA4AAAAAAAAAAAAAAAAALgIAAGRycy9lMm9Eb2MueG1sUEsBAi0AFAAGAAgAAAAh AIulBmjZAAAABgEAAA8AAAAAAAAAAAAAAAAA/wMAAGRycy9kb3ducmV2LnhtbFBLBQYAAAAABAAE APMAAAAFBQAAAAA= " from="-1.85pt,2.75pt" to="448.9pt,3.5pt" w14:anchorId="269E36EB">
                <v:stroke joinstyle="miter"/>
              </v:line>
            </w:pict>
          </mc:Fallback>
        </mc:AlternateContent>
      </w:r>
      <w:r w:rsidR="004C264D">
        <w:rPr>
          <w:b/>
          <w:bCs/>
        </w:rPr>
        <w:br/>
      </w:r>
    </w:p>
    <w:p w:rsidR="00560A43" w:rsidP="00560A43" w:rsidRDefault="00560A43" w14:paraId="4A760083" w14:textId="761C3144">
      <w:pPr>
        <w:rPr>
          <w:b/>
          <w:bCs/>
        </w:rPr>
      </w:pPr>
      <w:r w:rsidRPr="004E70CB">
        <w:rPr>
          <w:b/>
          <w:bCs/>
        </w:rPr>
        <w:t>Vraag 1</w:t>
      </w:r>
    </w:p>
    <w:p w:rsidR="00560A43" w:rsidP="00560A43" w:rsidRDefault="00560A43" w14:paraId="2BFE6ECE" w14:textId="77777777">
      <w:pPr>
        <w:rPr>
          <w:b/>
          <w:bCs/>
        </w:rPr>
      </w:pPr>
      <w:r w:rsidRPr="004E70CB">
        <w:rPr>
          <w:b/>
          <w:bCs/>
        </w:rPr>
        <w:t>Kent u het bericht dat een kansspelaanbieder van illegale online gokspelen weigert transactieoverzichten te verstrekken aan een dakloos geraakte gokverslaafde man?</w:t>
      </w:r>
      <w:r w:rsidRPr="004E70CB">
        <w:rPr>
          <w:rStyle w:val="Voetnootmarkering"/>
          <w:b/>
          <w:bCs/>
        </w:rPr>
        <w:footnoteReference w:id="1"/>
      </w:r>
      <w:r w:rsidRPr="004E70CB">
        <w:rPr>
          <w:b/>
          <w:bCs/>
        </w:rPr>
        <w:t xml:space="preserve"> Zo ja, klopt het dat dit verband houdt met de veroordeling van dit Maltese bedrijf tot het terugbetalen van grote sommen geld aan Nederlandse klanten?</w:t>
      </w:r>
    </w:p>
    <w:p w:rsidRPr="004E70CB" w:rsidR="00560A43" w:rsidP="00560A43" w:rsidRDefault="00560A43" w14:paraId="48DBA3BF" w14:textId="77777777">
      <w:pPr>
        <w:rPr>
          <w:b/>
          <w:bCs/>
        </w:rPr>
      </w:pPr>
    </w:p>
    <w:p w:rsidR="00560A43" w:rsidP="00560A43" w:rsidRDefault="00560A43" w14:paraId="5AEDA276" w14:textId="7C2BA022">
      <w:pPr>
        <w:rPr>
          <w:b/>
          <w:bCs/>
        </w:rPr>
      </w:pPr>
      <w:r w:rsidRPr="004E70CB">
        <w:rPr>
          <w:b/>
          <w:bCs/>
        </w:rPr>
        <w:t>Antwoord op vraag 1</w:t>
      </w:r>
    </w:p>
    <w:p w:rsidR="00560A43" w:rsidP="00560A43" w:rsidRDefault="00560A43" w14:paraId="697E6999" w14:textId="58E9A618">
      <w:r w:rsidRPr="004E70CB">
        <w:t>Ja, ik ken het bericht</w:t>
      </w:r>
      <w:r w:rsidR="00F965D5">
        <w:t xml:space="preserve"> over het weigeren van inzage in transactieoverzichten door een kansspelaanbieder</w:t>
      </w:r>
      <w:r w:rsidRPr="004E70CB">
        <w:t xml:space="preserve">. In het bericht wordt gesproken van transacties in de periode 2011 tot 2019. In die periode was het aanbieden van online kansspelen in Nederland illegaal. </w:t>
      </w:r>
      <w:r w:rsidR="00BF401B">
        <w:t>Wat betreft uw vraag over het verband tussen het geschetste in het bericht en een veroordeling tot terugbetalen aan Nederlandse klanten</w:t>
      </w:r>
      <w:r w:rsidR="007A06C2">
        <w:t xml:space="preserve"> merk ik op dat</w:t>
      </w:r>
      <w:r w:rsidR="00BF401B">
        <w:t xml:space="preserve"> h</w:t>
      </w:r>
      <w:r w:rsidRPr="004E70CB">
        <w:t xml:space="preserve">et niet aan mij </w:t>
      </w:r>
      <w:r w:rsidR="007A06C2">
        <w:t xml:space="preserve">is </w:t>
      </w:r>
      <w:r w:rsidRPr="004E70CB">
        <w:t xml:space="preserve">om uitspraken te doen over de motivering van een bedrijf om transactieoverzichten </w:t>
      </w:r>
      <w:r w:rsidR="00CA1DD0">
        <w:t xml:space="preserve">al dan </w:t>
      </w:r>
      <w:r w:rsidRPr="004E70CB">
        <w:t xml:space="preserve">niet te verstrekken. </w:t>
      </w:r>
    </w:p>
    <w:p w:rsidRPr="004E70CB" w:rsidR="00560A43" w:rsidP="00560A43" w:rsidRDefault="00560A43" w14:paraId="77C56B0A" w14:textId="77777777"/>
    <w:p w:rsidR="00560A43" w:rsidP="00560A43" w:rsidRDefault="00560A43" w14:paraId="31A5FF87" w14:textId="77777777">
      <w:pPr>
        <w:rPr>
          <w:b/>
          <w:bCs/>
        </w:rPr>
      </w:pPr>
      <w:bookmarkStart w:name="_Hlk204772580" w:id="0"/>
      <w:r w:rsidRPr="004E70CB">
        <w:rPr>
          <w:b/>
          <w:bCs/>
        </w:rPr>
        <w:t>Vraag 2</w:t>
      </w:r>
    </w:p>
    <w:p w:rsidR="00560A43" w:rsidP="00560A43" w:rsidRDefault="00560A43" w14:paraId="4848BBEE" w14:textId="77777777">
      <w:pPr>
        <w:rPr>
          <w:b/>
          <w:bCs/>
        </w:rPr>
      </w:pPr>
      <w:r w:rsidRPr="004E70CB">
        <w:rPr>
          <w:b/>
          <w:bCs/>
        </w:rPr>
        <w:t>Klopt de bewering dat het Maltese recht op gegevensbescherming van toepassing zou zijn in dit soort gevallen? Moet niet onder alle omstandigheden Nederlands recht van toepassing worden verklaard op in Nederland aangeboden illegale online kansspeltransacties?</w:t>
      </w:r>
    </w:p>
    <w:p w:rsidRPr="004E70CB" w:rsidR="00560A43" w:rsidP="00560A43" w:rsidRDefault="00560A43" w14:paraId="37158E1C" w14:textId="77777777">
      <w:pPr>
        <w:rPr>
          <w:b/>
          <w:bCs/>
        </w:rPr>
      </w:pPr>
    </w:p>
    <w:p w:rsidR="00560A43" w:rsidP="00560A43" w:rsidRDefault="00560A43" w14:paraId="295E63CB" w14:textId="30AB2BE4">
      <w:pPr>
        <w:autoSpaceDE w:val="0"/>
        <w:adjustRightInd w:val="0"/>
        <w:spacing w:line="240" w:lineRule="auto"/>
        <w:rPr>
          <w:rFonts w:eastAsia="DejaVuSerifCondensed" w:cs="DejaVuSerifCondensed"/>
          <w:b/>
          <w:bCs/>
        </w:rPr>
      </w:pPr>
      <w:r w:rsidRPr="004E70CB">
        <w:rPr>
          <w:rFonts w:eastAsia="DejaVuSerifCondensed" w:cs="DejaVuSerifCondensed"/>
          <w:b/>
          <w:bCs/>
        </w:rPr>
        <w:t>Antwoord op vraag 2</w:t>
      </w:r>
    </w:p>
    <w:p w:rsidRPr="004E70CB" w:rsidR="00560A43" w:rsidP="00560A43" w:rsidRDefault="00560A43" w14:paraId="25271D6B" w14:textId="047572C3">
      <w:pPr>
        <w:autoSpaceDE w:val="0"/>
        <w:adjustRightInd w:val="0"/>
        <w:spacing w:line="240" w:lineRule="auto"/>
        <w:rPr>
          <w:rFonts w:eastAsia="DejaVuSerifCondensed" w:cs="DejaVuSerifCondensed"/>
        </w:rPr>
      </w:pPr>
      <w:r w:rsidRPr="004E70CB">
        <w:rPr>
          <w:rFonts w:eastAsia="DejaVuSerifCondensed" w:cs="DejaVuSerifCondensed"/>
        </w:rPr>
        <w:t xml:space="preserve">Het klopt dat Maltees recht van toepassing is op het juridische geschil over de gegevensverstrekking uit het nieuwsbericht dat aangehaald is in vraag 1. Het Maltees recht rondom gegevensbescherming is </w:t>
      </w:r>
      <w:r w:rsidR="00457ECB">
        <w:rPr>
          <w:rFonts w:eastAsia="DejaVuSerifCondensed" w:cs="DejaVuSerifCondensed"/>
        </w:rPr>
        <w:t>een uitwerking van de Algemene Verordening Gegevensbescherming (AVG)</w:t>
      </w:r>
      <w:r w:rsidRPr="004E70CB">
        <w:rPr>
          <w:rFonts w:eastAsia="DejaVuSerifCondensed" w:cs="DejaVuSerifCondensed"/>
        </w:rPr>
        <w:t xml:space="preserve">. Deze Europese regelgeving harmoniseert de bescherming van persoonsgegevens van alle inwoners van EU-lidstaten. In beginsel is dus het recht op inzage voor iedere EU-burger gelijk. Echter, de </w:t>
      </w:r>
      <w:r w:rsidR="001A4259">
        <w:rPr>
          <w:rFonts w:eastAsia="DejaVuSerifCondensed" w:cs="DejaVuSerifCondensed"/>
        </w:rPr>
        <w:t>AVG</w:t>
      </w:r>
      <w:r w:rsidRPr="004E70CB">
        <w:rPr>
          <w:rFonts w:eastAsia="DejaVuSerifCondensed" w:cs="DejaVuSerifCondensed"/>
        </w:rPr>
        <w:t xml:space="preserve"> laat enige ruimte voor lidstaten over om nationale wetgeving te formuleren die een specifieke invulling geeft aan sommige bepalingen in de </w:t>
      </w:r>
      <w:r w:rsidR="001A4259">
        <w:rPr>
          <w:rFonts w:eastAsia="DejaVuSerifCondensed" w:cs="DejaVuSerifCondensed"/>
        </w:rPr>
        <w:t>AVG</w:t>
      </w:r>
      <w:r w:rsidRPr="004E70CB">
        <w:rPr>
          <w:rFonts w:eastAsia="DejaVuSerifCondensed" w:cs="DejaVuSerifCondensed"/>
        </w:rPr>
        <w:t xml:space="preserve">. </w:t>
      </w:r>
    </w:p>
    <w:p w:rsidRPr="004E70CB" w:rsidR="00560A43" w:rsidP="00560A43" w:rsidRDefault="00560A43" w14:paraId="68A04DF6" w14:textId="11A54775">
      <w:pPr>
        <w:autoSpaceDE w:val="0"/>
        <w:adjustRightInd w:val="0"/>
        <w:spacing w:line="240" w:lineRule="auto"/>
        <w:rPr>
          <w:rFonts w:eastAsia="DejaVuSerifCondensed" w:cs="DejaVuSerifCondensed"/>
        </w:rPr>
      </w:pPr>
      <w:r w:rsidRPr="004E70CB">
        <w:rPr>
          <w:rFonts w:eastAsia="DejaVuSerifCondensed" w:cs="DejaVuSerifCondensed"/>
        </w:rPr>
        <w:t>Het is altijd mogelijk voor mensen om een klacht in te dienen bij de A</w:t>
      </w:r>
      <w:r w:rsidR="00AB3804">
        <w:rPr>
          <w:rFonts w:eastAsia="DejaVuSerifCondensed" w:cs="DejaVuSerifCondensed"/>
        </w:rPr>
        <w:t xml:space="preserve">utoriteit </w:t>
      </w:r>
      <w:r w:rsidRPr="004E70CB">
        <w:rPr>
          <w:rFonts w:eastAsia="DejaVuSerifCondensed" w:cs="DejaVuSerifCondensed"/>
        </w:rPr>
        <w:t>P</w:t>
      </w:r>
      <w:r w:rsidR="00AB3804">
        <w:rPr>
          <w:rFonts w:eastAsia="DejaVuSerifCondensed" w:cs="DejaVuSerifCondensed"/>
        </w:rPr>
        <w:t>ersoonsgegevens (AP)</w:t>
      </w:r>
      <w:r w:rsidRPr="004E70CB">
        <w:rPr>
          <w:rFonts w:eastAsia="DejaVuSerifCondensed" w:cs="DejaVuSerifCondensed"/>
        </w:rPr>
        <w:t xml:space="preserve"> wanneer kansspelaanbieders gevestigd in Malta geen gehoor geven aan het verzoek om inzage van persoonsgegevens. De AP behandelt deze klachten en zet ze waar nodig door naar de </w:t>
      </w:r>
      <w:proofErr w:type="spellStart"/>
      <w:r w:rsidRPr="004E70CB">
        <w:rPr>
          <w:rFonts w:eastAsia="DejaVuSerifCondensed" w:cs="DejaVuSerifCondensed"/>
        </w:rPr>
        <w:t>privacytoezichthouder</w:t>
      </w:r>
      <w:proofErr w:type="spellEnd"/>
      <w:r w:rsidRPr="004E70CB">
        <w:rPr>
          <w:rFonts w:eastAsia="DejaVuSerifCondensed" w:cs="DejaVuSerifCondensed"/>
        </w:rPr>
        <w:t xml:space="preserve"> van Malta (de I</w:t>
      </w:r>
      <w:r w:rsidR="00EC6526">
        <w:rPr>
          <w:rFonts w:eastAsia="DejaVuSerifCondensed" w:cs="DejaVuSerifCondensed"/>
        </w:rPr>
        <w:t xml:space="preserve">nformation </w:t>
      </w:r>
      <w:proofErr w:type="spellStart"/>
      <w:r w:rsidR="00EC6526">
        <w:rPr>
          <w:rFonts w:eastAsia="DejaVuSerifCondensed" w:cs="DejaVuSerifCondensed"/>
        </w:rPr>
        <w:t>and</w:t>
      </w:r>
      <w:proofErr w:type="spellEnd"/>
      <w:r w:rsidR="00EC6526">
        <w:rPr>
          <w:rFonts w:eastAsia="DejaVuSerifCondensed" w:cs="DejaVuSerifCondensed"/>
        </w:rPr>
        <w:t xml:space="preserve"> Data </w:t>
      </w:r>
      <w:proofErr w:type="spellStart"/>
      <w:r w:rsidR="00EC6526">
        <w:rPr>
          <w:rFonts w:eastAsia="DejaVuSerifCondensed" w:cs="DejaVuSerifCondensed"/>
        </w:rPr>
        <w:t>Protection</w:t>
      </w:r>
      <w:proofErr w:type="spellEnd"/>
      <w:r w:rsidR="00EC6526">
        <w:rPr>
          <w:rFonts w:eastAsia="DejaVuSerifCondensed" w:cs="DejaVuSerifCondensed"/>
        </w:rPr>
        <w:t xml:space="preserve"> </w:t>
      </w:r>
      <w:proofErr w:type="spellStart"/>
      <w:r w:rsidR="00EC6526">
        <w:rPr>
          <w:rFonts w:eastAsia="DejaVuSerifCondensed" w:cs="DejaVuSerifCondensed"/>
        </w:rPr>
        <w:t>Commissioner</w:t>
      </w:r>
      <w:proofErr w:type="spellEnd"/>
      <w:r w:rsidRPr="004E70CB">
        <w:rPr>
          <w:rFonts w:eastAsia="DejaVuSerifCondensed" w:cs="DejaVuSerifCondensed"/>
        </w:rPr>
        <w:t xml:space="preserve">). Klachten kunnen ook rechtstreeks bij de Maltese toezichthouder worden ingediend. De AP houdt als betrokken toezichthouder nauw contact met haar collega’s in Malta over de voortgang van het onderzoek naar klachten. </w:t>
      </w:r>
    </w:p>
    <w:p w:rsidR="00AB3804" w:rsidP="00560A43" w:rsidRDefault="00AB3804" w14:paraId="0E9D77CC" w14:textId="77777777">
      <w:pPr>
        <w:spacing w:line="259" w:lineRule="auto"/>
        <w:rPr>
          <w:rFonts w:eastAsia="DejaVuSerifCondensed" w:cs="DejaVuSerifCondensed"/>
        </w:rPr>
      </w:pPr>
    </w:p>
    <w:p w:rsidR="00560A43" w:rsidP="00560A43" w:rsidRDefault="00560A43" w14:paraId="68DBCA21" w14:textId="0B620669">
      <w:pPr>
        <w:spacing w:line="259" w:lineRule="auto"/>
        <w:rPr>
          <w:rFonts w:eastAsia="DejaVuSerifCondensed" w:cs="DejaVuSerifCondensed"/>
        </w:rPr>
      </w:pPr>
      <w:r w:rsidRPr="004E70CB">
        <w:rPr>
          <w:rFonts w:eastAsia="DejaVuSerifCondensed" w:cs="DejaVuSerifCondensed"/>
        </w:rPr>
        <w:lastRenderedPageBreak/>
        <w:t>In onderhavige casus heeft</w:t>
      </w:r>
      <w:r w:rsidRPr="004E70CB">
        <w:t xml:space="preserve"> </w:t>
      </w:r>
      <w:r w:rsidRPr="004E70CB">
        <w:rPr>
          <w:rFonts w:eastAsia="DejaVuSerifCondensed" w:cs="DejaVuSerifCondensed"/>
        </w:rPr>
        <w:t xml:space="preserve">de Rechtbank Overijssel op 16 juli jl. in een voorlopige voorzieningenprocedure geoordeeld over de vraag </w:t>
      </w:r>
      <w:r w:rsidR="009501B6">
        <w:rPr>
          <w:rFonts w:eastAsia="DejaVuSerifCondensed" w:cs="DejaVuSerifCondensed"/>
        </w:rPr>
        <w:t xml:space="preserve">of </w:t>
      </w:r>
      <w:r w:rsidRPr="00C76BC2" w:rsidR="00C76BC2">
        <w:rPr>
          <w:rFonts w:eastAsia="DejaVuSerifCondensed" w:cs="DejaVuSerifCondensed"/>
        </w:rPr>
        <w:t xml:space="preserve">de kansspelaanbieder in kwestie zich kan beroepen op </w:t>
      </w:r>
      <w:r w:rsidR="009501B6">
        <w:rPr>
          <w:rFonts w:eastAsia="DejaVuSerifCondensed" w:cs="DejaVuSerifCondensed"/>
        </w:rPr>
        <w:t>de beperking die volgt uit</w:t>
      </w:r>
      <w:r w:rsidRPr="00C76BC2" w:rsidR="00C76BC2">
        <w:rPr>
          <w:rFonts w:eastAsia="DejaVuSerifCondensed" w:cs="DejaVuSerifCondensed"/>
        </w:rPr>
        <w:t xml:space="preserve"> Maltese recht</w:t>
      </w:r>
      <w:r w:rsidR="009501B6">
        <w:rPr>
          <w:rFonts w:eastAsia="DejaVuSerifCondensed" w:cs="DejaVuSerifCondensed"/>
        </w:rPr>
        <w:t xml:space="preserve"> </w:t>
      </w:r>
      <w:r w:rsidR="00DD0909">
        <w:rPr>
          <w:rFonts w:eastAsia="DejaVuSerifCondensed" w:cs="DejaVuSerifCondensed"/>
        </w:rPr>
        <w:t xml:space="preserve">inzake </w:t>
      </w:r>
      <w:r w:rsidR="009501B6">
        <w:rPr>
          <w:rFonts w:eastAsia="DejaVuSerifCondensed" w:cs="DejaVuSerifCondensed"/>
        </w:rPr>
        <w:t xml:space="preserve"> gegevens</w:t>
      </w:r>
      <w:r w:rsidR="00D16211">
        <w:rPr>
          <w:rFonts w:eastAsia="DejaVuSerifCondensed" w:cs="DejaVuSerifCondensed"/>
        </w:rPr>
        <w:t>bescherming</w:t>
      </w:r>
      <w:r w:rsidR="00535F98">
        <w:rPr>
          <w:rFonts w:eastAsia="DejaVuSerifCondensed" w:cs="DejaVuSerifCondensed"/>
        </w:rPr>
        <w:t>,</w:t>
      </w:r>
      <w:r w:rsidRPr="00C76BC2" w:rsidR="00C76BC2">
        <w:rPr>
          <w:rFonts w:eastAsia="DejaVuSerifCondensed" w:cs="DejaVuSerifCondensed"/>
        </w:rPr>
        <w:t xml:space="preserve"> om de transactiegegevens niet te verstrekken aan de verzoeker</w:t>
      </w:r>
      <w:r w:rsidRPr="004E70CB">
        <w:rPr>
          <w:rFonts w:eastAsia="DejaVuSerifCondensed" w:cs="DejaVuSerifCondensed"/>
        </w:rPr>
        <w:t>. Naar het voorlopig oordeel van de voorzieningenrechter</w:t>
      </w:r>
      <w:r w:rsidR="00ED09B9">
        <w:rPr>
          <w:rFonts w:eastAsia="DejaVuSerifCondensed" w:cs="DejaVuSerifCondensed"/>
        </w:rPr>
        <w:t xml:space="preserve"> moeten de transactiegegevens alsnog worden verstrekt aan de verzoeker, op grond van de AVG.</w:t>
      </w:r>
      <w:r w:rsidRPr="004E70CB" w:rsidR="00ED09B9">
        <w:rPr>
          <w:rStyle w:val="Voetnootmarkering"/>
          <w:rFonts w:eastAsia="DejaVuSerifCondensed" w:cs="DejaVuSerifCondensed"/>
        </w:rPr>
        <w:footnoteReference w:id="2"/>
      </w:r>
      <w:r w:rsidR="00ED09B9">
        <w:rPr>
          <w:rFonts w:eastAsia="DejaVuSerifCondensed" w:cs="DejaVuSerifCondensed"/>
        </w:rPr>
        <w:t xml:space="preserve"> De beperking die volgt uit het Maltese recht biedt volgens de rechter geen grondslag om </w:t>
      </w:r>
      <w:r w:rsidRPr="004E70CB">
        <w:rPr>
          <w:rFonts w:eastAsia="DejaVuSerifCondensed" w:cs="DejaVuSerifCondensed"/>
        </w:rPr>
        <w:t>de verstrekking van de gevraagde gegevens te weigeren.</w:t>
      </w:r>
      <w:r w:rsidRPr="004E70CB">
        <w:rPr>
          <w:rStyle w:val="Voetnootmarkering"/>
          <w:rFonts w:eastAsia="DejaVuSerifCondensed" w:cs="DejaVuSerifCondensed"/>
        </w:rPr>
        <w:footnoteReference w:id="3"/>
      </w:r>
      <w:r w:rsidRPr="004E70CB">
        <w:rPr>
          <w:rFonts w:eastAsia="DejaVuSerifCondensed" w:cs="DejaVuSerifCondensed"/>
        </w:rPr>
        <w:t xml:space="preserve"> </w:t>
      </w:r>
      <w:bookmarkStart w:name="artikel_15_avg" w:id="1"/>
      <w:bookmarkStart w:name="artikel_23,_avg" w:id="2"/>
      <w:bookmarkEnd w:id="1"/>
      <w:bookmarkEnd w:id="2"/>
    </w:p>
    <w:p w:rsidRPr="004E70CB" w:rsidR="00560A43" w:rsidP="00560A43" w:rsidRDefault="00560A43" w14:paraId="5C3CBC87" w14:textId="77777777">
      <w:pPr>
        <w:spacing w:line="259" w:lineRule="auto"/>
        <w:rPr>
          <w:rFonts w:eastAsiaTheme="minorHAnsi" w:cstheme="minorBidi"/>
        </w:rPr>
      </w:pPr>
    </w:p>
    <w:bookmarkEnd w:id="0"/>
    <w:p w:rsidR="00560A43" w:rsidP="00560A43" w:rsidRDefault="00560A43" w14:paraId="52E6462E" w14:textId="77777777">
      <w:pPr>
        <w:rPr>
          <w:b/>
          <w:bCs/>
        </w:rPr>
      </w:pPr>
      <w:r w:rsidRPr="004E70CB">
        <w:rPr>
          <w:b/>
          <w:bCs/>
        </w:rPr>
        <w:t>Vraag 3</w:t>
      </w:r>
    </w:p>
    <w:p w:rsidR="00560A43" w:rsidP="00560A43" w:rsidRDefault="00560A43" w14:paraId="671F25A8" w14:textId="77777777">
      <w:pPr>
        <w:rPr>
          <w:b/>
          <w:bCs/>
        </w:rPr>
      </w:pPr>
      <w:r w:rsidRPr="004E70CB">
        <w:rPr>
          <w:b/>
          <w:bCs/>
        </w:rPr>
        <w:t>Bent u het ermee eens dat kansspelaanbieders die op de Nederlandse gokmarkt actief zijn onder alle omstandigheden op het eerste verzoek moeten kunnen voorzien in dergelijke transactieoverzichten? Zo nee, waarom niet? Zo ja, bent u bereid om de Kansspelautoriteit te vragen online kansspelaanbieders die vóór 2021 illegale kansspelen aanboden op de Nederlandse markt aan te spreken om aan hun klanten inzage te geven in hun betaalgegevens? Zo nee, waarom niet?</w:t>
      </w:r>
    </w:p>
    <w:p w:rsidRPr="004E70CB" w:rsidR="00560A43" w:rsidP="00560A43" w:rsidRDefault="00560A43" w14:paraId="62FC3F0E" w14:textId="77777777">
      <w:pPr>
        <w:rPr>
          <w:b/>
          <w:bCs/>
        </w:rPr>
      </w:pPr>
    </w:p>
    <w:p w:rsidR="00560A43" w:rsidP="00560A43" w:rsidRDefault="00560A43" w14:paraId="30F47ACB" w14:textId="01B84053">
      <w:pPr>
        <w:rPr>
          <w:b/>
          <w:bCs/>
        </w:rPr>
      </w:pPr>
      <w:r w:rsidRPr="004E70CB">
        <w:rPr>
          <w:b/>
          <w:bCs/>
        </w:rPr>
        <w:t>Antwoord op vraag 3</w:t>
      </w:r>
    </w:p>
    <w:p w:rsidR="00560A43" w:rsidP="00560A43" w:rsidRDefault="00560A43" w14:paraId="2E1792A4" w14:textId="36015B96">
      <w:pPr>
        <w:rPr>
          <w:rFonts w:eastAsia="DejaVuSerifCondensed" w:cs="DejaVuSerifCondensed"/>
        </w:rPr>
      </w:pPr>
      <w:r w:rsidRPr="004E70CB">
        <w:t xml:space="preserve">Zoals ik heb aangegeven in mijn </w:t>
      </w:r>
      <w:r w:rsidR="00AB3804">
        <w:t xml:space="preserve">eerdere </w:t>
      </w:r>
      <w:r w:rsidRPr="004E70CB">
        <w:t>antwoorden op Kamervragen is het niet aan mij of aan de Kansspelautoriteit (Ksa) om een oordeel te vellen over de inzage in transactiegegevens.</w:t>
      </w:r>
      <w:r>
        <w:rPr>
          <w:rStyle w:val="Voetnootmarkering"/>
        </w:rPr>
        <w:footnoteReference w:id="4"/>
      </w:r>
      <w:r w:rsidRPr="004E70CB">
        <w:t xml:space="preserve"> Het gaat hier om </w:t>
      </w:r>
      <w:r w:rsidRPr="004E70CB">
        <w:rPr>
          <w:rFonts w:eastAsia="DejaVuSerifCondensed" w:cs="DejaVuSerifCondensed"/>
        </w:rPr>
        <w:t>geschillen tussen een (illegale) aanbieder van kansspelen en de speler</w:t>
      </w:r>
      <w:r w:rsidR="005712D2">
        <w:rPr>
          <w:rFonts w:eastAsia="DejaVuSerifCondensed" w:cs="DejaVuSerifCondensed"/>
        </w:rPr>
        <w:t xml:space="preserve"> die betrekking hebben op een periode waarin het aanbieden van online kansspelen in Nederland illegaal was</w:t>
      </w:r>
      <w:r w:rsidRPr="004E70CB">
        <w:rPr>
          <w:rFonts w:eastAsia="DejaVuSerifCondensed" w:cs="DejaVuSerifCondensed"/>
        </w:rPr>
        <w:t>. De beoordeling daarvan is voorbehouden aan de rechter.</w:t>
      </w:r>
      <w:r w:rsidRPr="004E70CB">
        <w:t xml:space="preserve"> </w:t>
      </w:r>
      <w:r w:rsidRPr="004E70CB">
        <w:rPr>
          <w:rFonts w:eastAsia="DejaVuSerifCondensed" w:cs="DejaVuSerifCondensed"/>
        </w:rPr>
        <w:t>Zoals genoemd in mijn antwoord op vraag 2 is op 16 juli jl. geoordeeld dat inzage in transactiegegevens moet worden verleend.</w:t>
      </w:r>
      <w:r w:rsidRPr="004E70CB">
        <w:rPr>
          <w:rStyle w:val="Voetnootmarkering"/>
          <w:rFonts w:eastAsia="DejaVuSerifCondensed" w:cs="DejaVuSerifCondensed"/>
        </w:rPr>
        <w:footnoteReference w:id="5"/>
      </w:r>
      <w:r w:rsidRPr="004E70CB">
        <w:rPr>
          <w:rFonts w:eastAsia="DejaVuSerifCondensed" w:cs="DejaVuSerifCondensed"/>
        </w:rPr>
        <w:t xml:space="preserve"> Op 4 juli jl. heeft de rechter in eerste aanleg zich ook uitgelaten over het verstrekken van inzage in transactiegegevens.</w:t>
      </w:r>
      <w:r w:rsidRPr="004E70CB">
        <w:rPr>
          <w:rStyle w:val="Voetnootmarkering"/>
          <w:rFonts w:eastAsia="DejaVuSerifCondensed" w:cs="DejaVuSerifCondensed"/>
        </w:rPr>
        <w:footnoteReference w:id="6"/>
      </w:r>
      <w:r w:rsidRPr="004E70CB">
        <w:rPr>
          <w:rFonts w:eastAsia="DejaVuSerifCondensed" w:cs="DejaVuSerifCondensed"/>
        </w:rPr>
        <w:t xml:space="preserve"> </w:t>
      </w:r>
      <w:r w:rsidR="009E0E72">
        <w:rPr>
          <w:rFonts w:eastAsia="DejaVuSerifCondensed" w:cs="DejaVuSerifCondensed"/>
        </w:rPr>
        <w:t>In die zaak</w:t>
      </w:r>
      <w:r w:rsidRPr="004E70CB">
        <w:rPr>
          <w:rFonts w:eastAsia="DejaVuSerifCondensed" w:cs="DejaVuSerifCondensed"/>
        </w:rPr>
        <w:t xml:space="preserve"> werd de vordering om inzage te verlenen eveneens toegewezen. De Ksa heeft, zoals gezegd, geen rol als partij in deze juridische procedures. </w:t>
      </w:r>
      <w:r w:rsidR="000E5785">
        <w:rPr>
          <w:rFonts w:eastAsia="DejaVuSerifCondensed" w:cs="DejaVuSerifCondensed"/>
        </w:rPr>
        <w:t xml:space="preserve">De handelswijze van vergunde aanbieders die onderwerp zijn van deze procedures wordt betrokken bij de beoordeling van een nieuwe vergunningsaanvraag door die aanbieder. </w:t>
      </w:r>
    </w:p>
    <w:p w:rsidRPr="004E70CB" w:rsidR="00422C65" w:rsidP="00422C65" w:rsidRDefault="00422C65" w14:paraId="79C46A51" w14:textId="25F8737C">
      <w:r>
        <w:t>Ik vind</w:t>
      </w:r>
      <w:r w:rsidRPr="004E70CB">
        <w:t xml:space="preserve"> dat rechtspersonen en hun opvolgers die nu een vergunning hebben voor het aanbieden van kansspelen een maximale inspanning moeten plegen om zaken die zich voor de vergunningsperiode afspeelden behoorlijk af te wikkelen. Zoals ik </w:t>
      </w:r>
      <w:r w:rsidRPr="004E70CB">
        <w:lastRenderedPageBreak/>
        <w:t xml:space="preserve">ook heb aangegeven in antwoorden op Kamervragen </w:t>
      </w:r>
      <w:r>
        <w:t>van 11 juli jl.</w:t>
      </w:r>
      <w:r w:rsidRPr="004E70CB">
        <w:t xml:space="preserve"> behoort daarbij wat mij betreft het maximaal verstrekken van noodzakelijke gegevens</w:t>
      </w:r>
      <w:r>
        <w:t>.</w:t>
      </w:r>
      <w:r>
        <w:rPr>
          <w:rStyle w:val="Voetnootmarkering"/>
        </w:rPr>
        <w:footnoteReference w:id="7"/>
      </w:r>
    </w:p>
    <w:p w:rsidRPr="004E70CB" w:rsidR="00422C65" w:rsidP="00560A43" w:rsidRDefault="00422C65" w14:paraId="1D9C5DFF" w14:textId="5A541E50">
      <w:r>
        <w:t>Het gedrag van vergunninghouders in het verleden kan</w:t>
      </w:r>
      <w:r w:rsidRPr="004E70CB">
        <w:t xml:space="preserve"> </w:t>
      </w:r>
      <w:r w:rsidR="00BF401B">
        <w:t xml:space="preserve">daarnaast </w:t>
      </w:r>
      <w:r>
        <w:t>relevant</w:t>
      </w:r>
      <w:r w:rsidRPr="004E70CB">
        <w:t xml:space="preserve"> zijn voor de algemene betrouwbaarheids- en integriteitstoets van een vergunde aanbieder. </w:t>
      </w:r>
    </w:p>
    <w:p w:rsidR="00560A43" w:rsidP="00560A43" w:rsidRDefault="00560A43" w14:paraId="0B0B525D" w14:textId="77777777">
      <w:pPr>
        <w:rPr>
          <w:b/>
          <w:bCs/>
        </w:rPr>
      </w:pPr>
    </w:p>
    <w:p w:rsidR="00560A43" w:rsidP="00560A43" w:rsidRDefault="00560A43" w14:paraId="59616FB3" w14:textId="6422184E">
      <w:pPr>
        <w:rPr>
          <w:b/>
          <w:bCs/>
        </w:rPr>
      </w:pPr>
      <w:r w:rsidRPr="004E70CB">
        <w:rPr>
          <w:b/>
          <w:bCs/>
        </w:rPr>
        <w:t>Vraag 4</w:t>
      </w:r>
    </w:p>
    <w:p w:rsidR="00560A43" w:rsidP="00560A43" w:rsidRDefault="00560A43" w14:paraId="0A0702DE" w14:textId="77777777">
      <w:pPr>
        <w:rPr>
          <w:b/>
          <w:bCs/>
        </w:rPr>
      </w:pPr>
      <w:r w:rsidRPr="004E70CB">
        <w:rPr>
          <w:b/>
          <w:bCs/>
        </w:rPr>
        <w:t>Zijn u illegale online kansspelaanbieders bekend die weigeren inzage te geven in betaalgegevens om juridische claims van hun klanten te frustreren? Zitten daar kansspelaanbieders bij die inmiddels legaal online kansspelen aanbieden? Zo ja, welke mogelijkheden ziet u om deze kansspelaanbieders tot actieve medewerking aan juridische claims te dwingen?</w:t>
      </w:r>
    </w:p>
    <w:p w:rsidRPr="004E70CB" w:rsidR="00560A43" w:rsidP="00560A43" w:rsidRDefault="00560A43" w14:paraId="57FB2823" w14:textId="77777777">
      <w:pPr>
        <w:rPr>
          <w:b/>
          <w:bCs/>
        </w:rPr>
      </w:pPr>
    </w:p>
    <w:p w:rsidR="00560A43" w:rsidP="00560A43" w:rsidRDefault="00560A43" w14:paraId="4A05B426" w14:textId="6FB53483">
      <w:pPr>
        <w:rPr>
          <w:b/>
          <w:bCs/>
        </w:rPr>
      </w:pPr>
      <w:r w:rsidRPr="004E70CB">
        <w:rPr>
          <w:b/>
          <w:bCs/>
        </w:rPr>
        <w:t>Antwoord op vraag 4</w:t>
      </w:r>
    </w:p>
    <w:p w:rsidR="00560A43" w:rsidP="0027084A" w:rsidRDefault="00560A43" w14:paraId="4636812E" w14:textId="4D4F2116">
      <w:pPr>
        <w:autoSpaceDE w:val="0"/>
        <w:adjustRightInd w:val="0"/>
        <w:spacing w:line="240" w:lineRule="auto"/>
        <w:rPr>
          <w:b/>
          <w:bCs/>
        </w:rPr>
      </w:pPr>
      <w:r w:rsidRPr="004E70CB">
        <w:t xml:space="preserve">Het is mij bekend dat bij tenminste </w:t>
      </w:r>
      <w:r w:rsidR="00BF401B">
        <w:t>éé</w:t>
      </w:r>
      <w:r w:rsidRPr="004E70CB">
        <w:t>n aanbieder van</w:t>
      </w:r>
      <w:r w:rsidR="007F65EE">
        <w:t xml:space="preserve"> online</w:t>
      </w:r>
      <w:r w:rsidRPr="004E70CB">
        <w:t xml:space="preserve"> kansspelen die thans over een vergunning beschikt en voordat er een gereguleerde markt was illegaal kansspelen aanbo</w:t>
      </w:r>
      <w:r w:rsidR="00AD77A1">
        <w:t>od,</w:t>
      </w:r>
      <w:r w:rsidRPr="004E70CB">
        <w:t xml:space="preserve"> verzoeken liggen om inzage te verstrekken in transactiegegevens. Dit blijkt onder andere uit voornoemde rechterlijke uitspraken. Zoals ik in mijn antwoord op vraag 3 heb aangegeven </w:t>
      </w:r>
      <w:r w:rsidR="00ED15D0">
        <w:t>zijn</w:t>
      </w:r>
      <w:r w:rsidRPr="004E70CB">
        <w:t xml:space="preserve"> de Ksa </w:t>
      </w:r>
      <w:r w:rsidR="00ED15D0">
        <w:t xml:space="preserve">en ik geen </w:t>
      </w:r>
      <w:r w:rsidRPr="004E70CB">
        <w:t>partij in procedures omtrent inzage in de transactiegegevens voor zover het gaat om het illegaal aanbieden van online kansspelen in Nederland</w:t>
      </w:r>
      <w:r w:rsidR="006E4DE8">
        <w:t xml:space="preserve">. </w:t>
      </w:r>
      <w:r w:rsidR="00422C65">
        <w:t>Zoals ik in</w:t>
      </w:r>
      <w:r w:rsidR="006E4DE8">
        <w:t xml:space="preserve"> mijn </w:t>
      </w:r>
      <w:r w:rsidRPr="004E70CB" w:rsidR="0027084A">
        <w:t>antwoor</w:t>
      </w:r>
      <w:r w:rsidR="00422C65">
        <w:t>d op vraag 3 en in antwoord op eerdere Kamervragen heb aangegeven kan het gedrag van vergunninghouders in deze wel relevant zijn voor de algemene betrouwbaarheids- en integriteitstoets van een vergunde aanbieder. Dit gedrag wordt betrokken bij de beoordeling van een nieuwe vergunningsaanvraag door die aanbieder.</w:t>
      </w:r>
    </w:p>
    <w:p w:rsidR="0027084A" w:rsidP="00560A43" w:rsidRDefault="0027084A" w14:paraId="4169D514" w14:textId="77777777">
      <w:pPr>
        <w:rPr>
          <w:b/>
          <w:bCs/>
        </w:rPr>
      </w:pPr>
    </w:p>
    <w:p w:rsidRPr="004E70CB" w:rsidR="00560A43" w:rsidP="00560A43" w:rsidRDefault="00560A43" w14:paraId="501C330C" w14:textId="1661CFB3">
      <w:pPr>
        <w:rPr>
          <w:b/>
          <w:bCs/>
        </w:rPr>
      </w:pPr>
      <w:r w:rsidRPr="004E70CB">
        <w:rPr>
          <w:b/>
          <w:bCs/>
        </w:rPr>
        <w:t>Vraag 5</w:t>
      </w:r>
    </w:p>
    <w:p w:rsidR="00560A43" w:rsidP="00560A43" w:rsidRDefault="00560A43" w14:paraId="64DF2BB3" w14:textId="0FB82EB0">
      <w:pPr>
        <w:rPr>
          <w:b/>
          <w:bCs/>
        </w:rPr>
      </w:pPr>
      <w:r w:rsidRPr="004E70CB">
        <w:rPr>
          <w:b/>
          <w:bCs/>
        </w:rPr>
        <w:t>Bent u bereid om de Kamer te informeren over de wijze waarop dit soort kansspelaanbieders gevolg geven aan de uitvoering van de rechterlijke uitspraken tot nu toe en die binnenkort te verwachten zijn? Zo nee, waarom niet?</w:t>
      </w:r>
    </w:p>
    <w:p w:rsidRPr="004E70CB" w:rsidR="00560A43" w:rsidP="00560A43" w:rsidRDefault="00560A43" w14:paraId="7DA6D516" w14:textId="77777777">
      <w:pPr>
        <w:rPr>
          <w:b/>
          <w:bCs/>
        </w:rPr>
      </w:pPr>
    </w:p>
    <w:p w:rsidR="00560A43" w:rsidP="00560A43" w:rsidRDefault="00560A43" w14:paraId="609C51C9" w14:textId="15AC7888">
      <w:pPr>
        <w:rPr>
          <w:b/>
          <w:bCs/>
        </w:rPr>
      </w:pPr>
      <w:r w:rsidRPr="004E70CB">
        <w:rPr>
          <w:b/>
          <w:bCs/>
        </w:rPr>
        <w:t>Antwoord op vraag 5</w:t>
      </w:r>
    </w:p>
    <w:p w:rsidRPr="004E70CB" w:rsidR="00560A43" w:rsidP="00560A43" w:rsidRDefault="00560A43" w14:paraId="28D70718" w14:textId="1AEBCD40">
      <w:r w:rsidRPr="004E70CB">
        <w:t xml:space="preserve">Het gaat in deze procedures om geschillen die betrekking hebben op een civielrechtelijke verhouding tussen partijen. Zowel ten aanzien van geschillen over het verstrekken van gegevens alsmede over de geldigheid van de onderliggende overeenkomst is het aan partijen om deze geschillen aan een rechterlijke instantie voor te leggen. Ik heb </w:t>
      </w:r>
      <w:r w:rsidR="00D53358">
        <w:t>daarnaast</w:t>
      </w:r>
      <w:r w:rsidRPr="004E70CB" w:rsidR="00D53358">
        <w:t xml:space="preserve"> </w:t>
      </w:r>
      <w:r w:rsidRPr="004E70CB">
        <w:t xml:space="preserve">geen zicht op welk geschil aan welke rechterlijke instantie is voorgelegd, wat de uitspraak is en in hoeverre door partijen hieraan uitvoering wordt gegeven. Relevante uitspraken worden door de gerechtelijke instanties voorts zoveel mogelijk op www.rechtspraak.nl gepubliceerd en zijn daar in geanonimiseerde vorm in te zien. </w:t>
      </w:r>
      <w:r w:rsidR="00AE44E2">
        <w:t>Ik vind het gezien voorgaande niet passend om uw Kamer over al deze zaken te informeren en ben daarnaast niet in de positie om dat te doen.</w:t>
      </w:r>
    </w:p>
    <w:p w:rsidR="00560A43" w:rsidP="00560A43" w:rsidRDefault="00560A43" w14:paraId="5C37DF23" w14:textId="77777777"/>
    <w:p w:rsidR="005301D1" w:rsidRDefault="005301D1" w14:paraId="7E69D864" w14:textId="77777777"/>
    <w:sectPr w:rsidR="005301D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862D8" w14:textId="77777777" w:rsidR="002525D8" w:rsidRDefault="002525D8">
      <w:pPr>
        <w:spacing w:line="240" w:lineRule="auto"/>
      </w:pPr>
      <w:r>
        <w:separator/>
      </w:r>
    </w:p>
  </w:endnote>
  <w:endnote w:type="continuationSeparator" w:id="0">
    <w:p w14:paraId="3E36FA98" w14:textId="77777777" w:rsidR="002525D8" w:rsidRDefault="002525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6D761" w14:textId="77777777" w:rsidR="005301D1" w:rsidRDefault="005301D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CE2A" w14:textId="77777777" w:rsidR="002525D8" w:rsidRDefault="002525D8">
      <w:pPr>
        <w:spacing w:line="240" w:lineRule="auto"/>
      </w:pPr>
      <w:r>
        <w:separator/>
      </w:r>
    </w:p>
  </w:footnote>
  <w:footnote w:type="continuationSeparator" w:id="0">
    <w:p w14:paraId="4B368E2B" w14:textId="77777777" w:rsidR="002525D8" w:rsidRDefault="002525D8">
      <w:pPr>
        <w:spacing w:line="240" w:lineRule="auto"/>
      </w:pPr>
      <w:r>
        <w:continuationSeparator/>
      </w:r>
    </w:p>
  </w:footnote>
  <w:footnote w:id="1">
    <w:p w14:paraId="5732B512" w14:textId="77777777" w:rsidR="00560A43" w:rsidRPr="004D69A9" w:rsidRDefault="00560A43" w:rsidP="00560A43">
      <w:pPr>
        <w:pStyle w:val="Voetnoottekst"/>
        <w:rPr>
          <w:sz w:val="16"/>
          <w:szCs w:val="16"/>
        </w:rPr>
      </w:pPr>
      <w:r w:rsidRPr="004D69A9">
        <w:rPr>
          <w:rStyle w:val="Voetnootmarkering"/>
          <w:sz w:val="16"/>
          <w:szCs w:val="16"/>
        </w:rPr>
        <w:footnoteRef/>
      </w:r>
      <w:r w:rsidRPr="004D69A9">
        <w:rPr>
          <w:sz w:val="16"/>
          <w:szCs w:val="16"/>
        </w:rPr>
        <w:t xml:space="preserve"> AD, 11 </w:t>
      </w:r>
      <w:proofErr w:type="spellStart"/>
      <w:r w:rsidRPr="004D69A9">
        <w:rPr>
          <w:sz w:val="16"/>
          <w:szCs w:val="16"/>
        </w:rPr>
        <w:t>juli</w:t>
      </w:r>
      <w:proofErr w:type="spellEnd"/>
      <w:r w:rsidRPr="004D69A9">
        <w:rPr>
          <w:sz w:val="16"/>
          <w:szCs w:val="16"/>
        </w:rPr>
        <w:t xml:space="preserve"> 2025, https://www.ad.nl/binnenland/gokverslaafde-die-dakloos-werd-wil-weten-hoeveel-hij-verloor-maar-unibet-werkt-niet-mee~aa64c006/</w:t>
      </w:r>
    </w:p>
  </w:footnote>
  <w:footnote w:id="2">
    <w:p w14:paraId="18346D5B" w14:textId="77777777" w:rsidR="00ED09B9" w:rsidRPr="00DE0802" w:rsidRDefault="00ED09B9" w:rsidP="00ED09B9">
      <w:pPr>
        <w:pStyle w:val="Voetnoottekst"/>
        <w:rPr>
          <w:sz w:val="16"/>
          <w:szCs w:val="16"/>
          <w:lang w:val="nl-NL"/>
        </w:rPr>
      </w:pPr>
      <w:r w:rsidRPr="00DE0802">
        <w:rPr>
          <w:rStyle w:val="Voetnootmarkering"/>
          <w:sz w:val="16"/>
          <w:szCs w:val="16"/>
          <w:lang w:val="nl-NL"/>
        </w:rPr>
        <w:footnoteRef/>
      </w:r>
      <w:r w:rsidRPr="00DE0802">
        <w:rPr>
          <w:sz w:val="16"/>
          <w:szCs w:val="16"/>
          <w:lang w:val="nl-NL"/>
        </w:rPr>
        <w:t xml:space="preserve"> Uitspraak van 16 juli 2025 Rechtbank Overijssel: ECLI:NL:RBOVE:2025:4820</w:t>
      </w:r>
    </w:p>
  </w:footnote>
  <w:footnote w:id="3">
    <w:p w14:paraId="4F5949A2" w14:textId="77777777" w:rsidR="00560A43" w:rsidRPr="007B4423" w:rsidRDefault="00560A43" w:rsidP="00560A43">
      <w:pPr>
        <w:pStyle w:val="Voetnoottekst"/>
        <w:keepLines/>
        <w:rPr>
          <w:lang w:val="nl-NL"/>
        </w:rPr>
      </w:pPr>
      <w:r>
        <w:rPr>
          <w:rStyle w:val="Voetnootmarkering"/>
        </w:rPr>
        <w:footnoteRef/>
      </w:r>
      <w:r w:rsidRPr="00CA1DD0">
        <w:rPr>
          <w:lang w:val="nl-NL"/>
        </w:rPr>
        <w:t xml:space="preserve"> </w:t>
      </w:r>
      <w:r w:rsidRPr="007B4423">
        <w:rPr>
          <w:sz w:val="16"/>
          <w:szCs w:val="16"/>
          <w:lang w:val="nl-NL"/>
        </w:rPr>
        <w:t>De rechtsoverweging luidt als volgt: “Uitgaande van het uitgangspunt dat het inzagerecht van </w:t>
      </w:r>
      <w:r w:rsidR="00902619">
        <w:fldChar w:fldCharType="begin"/>
      </w:r>
      <w:r w:rsidR="00902619" w:rsidRPr="004C264D">
        <w:rPr>
          <w:lang w:val="nl-NL"/>
        </w:rPr>
        <w:instrText>HYPERLINK "https://linkeddata.overheid.nl/front/portal/spiegel-lijstweergave?id=http%3A%2F%2Flinkeddata.overheid.nl%2Fterms%2Feu-regelgeving%2Fid%2F32016R0679" \o "Klik hier voor de gerelateerde links van artikel 15 AVG"</w:instrText>
      </w:r>
      <w:r w:rsidR="00902619">
        <w:fldChar w:fldCharType="separate"/>
      </w:r>
      <w:r w:rsidRPr="00535F98">
        <w:rPr>
          <w:sz w:val="16"/>
          <w:szCs w:val="16"/>
          <w:lang w:val="nl-NL"/>
        </w:rPr>
        <w:t>artikel 15 AVG</w:t>
      </w:r>
      <w:r w:rsidR="00902619">
        <w:rPr>
          <w:sz w:val="16"/>
          <w:szCs w:val="16"/>
          <w:lang w:val="nl-NL"/>
        </w:rPr>
        <w:fldChar w:fldCharType="end"/>
      </w:r>
      <w:r w:rsidRPr="007B4423">
        <w:rPr>
          <w:sz w:val="16"/>
          <w:szCs w:val="16"/>
          <w:lang w:val="nl-NL"/>
        </w:rPr>
        <w:t> op grond van </w:t>
      </w:r>
      <w:r w:rsidR="00902619">
        <w:fldChar w:fldCharType="begin"/>
      </w:r>
      <w:r w:rsidR="00902619" w:rsidRPr="004C264D">
        <w:rPr>
          <w:lang w:val="nl-NL"/>
        </w:rPr>
        <w:instrText>HYPERLINK "https://linkeddata.overheid.nl/front/portal/spiegel-lijstweergave?id=http%3A%2F%2Flinkeddata.overheid.nl%2Fterms%2Feu-regelgeving%2Fid%2F32016R0679" \o "Klik hier voor de gerelateerde links van artikel 23, AVG"</w:instrText>
      </w:r>
      <w:r w:rsidR="00902619">
        <w:fldChar w:fldCharType="separate"/>
      </w:r>
      <w:r w:rsidRPr="007B4423">
        <w:rPr>
          <w:sz w:val="16"/>
          <w:szCs w:val="16"/>
          <w:lang w:val="nl-NL"/>
        </w:rPr>
        <w:t>artikel 23, AVG</w:t>
      </w:r>
      <w:r w:rsidR="00902619">
        <w:rPr>
          <w:sz w:val="16"/>
          <w:szCs w:val="16"/>
          <w:lang w:val="nl-NL"/>
        </w:rPr>
        <w:fldChar w:fldCharType="end"/>
      </w:r>
      <w:r w:rsidRPr="007B4423">
        <w:rPr>
          <w:sz w:val="16"/>
          <w:szCs w:val="16"/>
          <w:lang w:val="nl-NL"/>
        </w:rPr>
        <w:t xml:space="preserve"> in verbinding met artikel 4, aanhef en onder e, van de </w:t>
      </w:r>
      <w:proofErr w:type="spellStart"/>
      <w:r w:rsidRPr="007B4423">
        <w:rPr>
          <w:sz w:val="16"/>
          <w:szCs w:val="16"/>
          <w:lang w:val="nl-NL"/>
        </w:rPr>
        <w:t>Restriction</w:t>
      </w:r>
      <w:proofErr w:type="spellEnd"/>
      <w:r w:rsidRPr="007B4423">
        <w:rPr>
          <w:sz w:val="16"/>
          <w:szCs w:val="16"/>
          <w:lang w:val="nl-NL"/>
        </w:rPr>
        <w:t xml:space="preserve"> </w:t>
      </w:r>
      <w:proofErr w:type="spellStart"/>
      <w:r w:rsidRPr="007B4423">
        <w:rPr>
          <w:sz w:val="16"/>
          <w:szCs w:val="16"/>
          <w:lang w:val="nl-NL"/>
        </w:rPr>
        <w:t>Regulation</w:t>
      </w:r>
      <w:proofErr w:type="spellEnd"/>
      <w:r w:rsidRPr="007B4423">
        <w:rPr>
          <w:sz w:val="16"/>
          <w:szCs w:val="16"/>
          <w:lang w:val="nl-NL"/>
        </w:rPr>
        <w:t xml:space="preserve"> kan worden beperkt, heeft te gelden dat de in artikel 4 aanhef en onder e van de </w:t>
      </w:r>
      <w:proofErr w:type="spellStart"/>
      <w:r w:rsidRPr="007B4423">
        <w:rPr>
          <w:sz w:val="16"/>
          <w:szCs w:val="16"/>
          <w:lang w:val="nl-NL"/>
        </w:rPr>
        <w:t>Restriction</w:t>
      </w:r>
      <w:proofErr w:type="spellEnd"/>
      <w:r w:rsidRPr="007B4423">
        <w:rPr>
          <w:sz w:val="16"/>
          <w:szCs w:val="16"/>
          <w:lang w:val="nl-NL"/>
        </w:rPr>
        <w:t xml:space="preserve"> </w:t>
      </w:r>
      <w:proofErr w:type="spellStart"/>
      <w:r w:rsidRPr="007B4423">
        <w:rPr>
          <w:sz w:val="16"/>
          <w:szCs w:val="16"/>
          <w:lang w:val="nl-NL"/>
        </w:rPr>
        <w:t>Regulation</w:t>
      </w:r>
      <w:proofErr w:type="spellEnd"/>
      <w:r w:rsidRPr="007B4423">
        <w:rPr>
          <w:sz w:val="16"/>
          <w:szCs w:val="16"/>
          <w:lang w:val="nl-NL"/>
        </w:rPr>
        <w:t xml:space="preserve"> strikt moet worden beoordeeld in het licht van artikel 7 van de </w:t>
      </w:r>
      <w:proofErr w:type="spellStart"/>
      <w:r w:rsidRPr="007B4423">
        <w:rPr>
          <w:sz w:val="16"/>
          <w:szCs w:val="16"/>
          <w:lang w:val="nl-NL"/>
        </w:rPr>
        <w:t>Restriction</w:t>
      </w:r>
      <w:proofErr w:type="spellEnd"/>
      <w:r w:rsidRPr="007B4423">
        <w:rPr>
          <w:sz w:val="16"/>
          <w:szCs w:val="16"/>
          <w:lang w:val="nl-NL"/>
        </w:rPr>
        <w:t xml:space="preserve"> </w:t>
      </w:r>
      <w:proofErr w:type="spellStart"/>
      <w:r w:rsidRPr="007B4423">
        <w:rPr>
          <w:sz w:val="16"/>
          <w:szCs w:val="16"/>
          <w:lang w:val="nl-NL"/>
        </w:rPr>
        <w:t>Regulation</w:t>
      </w:r>
      <w:proofErr w:type="spellEnd"/>
      <w:r w:rsidRPr="007B4423">
        <w:rPr>
          <w:sz w:val="16"/>
          <w:szCs w:val="16"/>
          <w:lang w:val="nl-NL"/>
        </w:rPr>
        <w:t xml:space="preserve">. Dat artikel schrijft voor dat elke opgelegde beperking de essentie van de fundamentele rechten en vrijheden van de betrokkene moet respecteren en een noodzakelijke en evenredige maatregel moet zijn. Bezien tegen de nadere uitleg die IDPC heeft gegeven over artikel 4, aanhef en onder (e) van de </w:t>
      </w:r>
      <w:proofErr w:type="spellStart"/>
      <w:r w:rsidRPr="007B4423">
        <w:rPr>
          <w:sz w:val="16"/>
          <w:szCs w:val="16"/>
          <w:lang w:val="nl-NL"/>
        </w:rPr>
        <w:t>Restriction</w:t>
      </w:r>
      <w:proofErr w:type="spellEnd"/>
      <w:r w:rsidRPr="007B4423">
        <w:rPr>
          <w:sz w:val="16"/>
          <w:szCs w:val="16"/>
          <w:lang w:val="nl-NL"/>
        </w:rPr>
        <w:t xml:space="preserve"> </w:t>
      </w:r>
      <w:proofErr w:type="spellStart"/>
      <w:r w:rsidRPr="007B4423">
        <w:rPr>
          <w:sz w:val="16"/>
          <w:szCs w:val="16"/>
          <w:lang w:val="nl-NL"/>
        </w:rPr>
        <w:t>Regulation</w:t>
      </w:r>
      <w:proofErr w:type="spellEnd"/>
      <w:r w:rsidRPr="007B4423">
        <w:rPr>
          <w:sz w:val="16"/>
          <w:szCs w:val="16"/>
          <w:lang w:val="nl-NL"/>
        </w:rPr>
        <w:t xml:space="preserve"> en de vele besluiten van IDPC waarin de gokbedrijven zijn bevolen om de persoonsgegevens, waaronder de transactiegegevens, aan de betreffende betrokkenen te verstrekken, is de voorzieningenrechter voorshands van oordeel dat, anders dan Risepoint heeft betoogd, zij er niet in geslaagd is om aan te tonen dat de beperking in dit geval gerechtvaardigd is.”</w:t>
      </w:r>
    </w:p>
  </w:footnote>
  <w:footnote w:id="4">
    <w:p w14:paraId="27B13C81" w14:textId="77777777" w:rsidR="00560A43" w:rsidRPr="00DE0802" w:rsidRDefault="00560A43" w:rsidP="00560A43">
      <w:pPr>
        <w:pStyle w:val="Voetnoottekst"/>
        <w:rPr>
          <w:sz w:val="16"/>
          <w:szCs w:val="16"/>
          <w:lang w:val="nl-NL"/>
        </w:rPr>
      </w:pPr>
      <w:r w:rsidRPr="00DE0802">
        <w:rPr>
          <w:rStyle w:val="Voetnootmarkering"/>
          <w:sz w:val="16"/>
          <w:szCs w:val="16"/>
        </w:rPr>
        <w:footnoteRef/>
      </w:r>
      <w:r w:rsidRPr="00CA1DD0">
        <w:rPr>
          <w:sz w:val="16"/>
          <w:szCs w:val="16"/>
          <w:lang w:val="nl-NL"/>
        </w:rPr>
        <w:t xml:space="preserve"> </w:t>
      </w:r>
      <w:r w:rsidRPr="00DE0802">
        <w:rPr>
          <w:i/>
          <w:iCs/>
          <w:sz w:val="16"/>
          <w:szCs w:val="16"/>
          <w:lang w:val="nl-NL"/>
        </w:rPr>
        <w:t>Kamerstukken II</w:t>
      </w:r>
      <w:r w:rsidRPr="00DE0802">
        <w:rPr>
          <w:sz w:val="16"/>
          <w:szCs w:val="16"/>
          <w:lang w:val="nl-NL"/>
        </w:rPr>
        <w:t xml:space="preserve"> 2024/25, 24 557, </w:t>
      </w:r>
      <w:proofErr w:type="spellStart"/>
      <w:r w:rsidRPr="00DE0802">
        <w:rPr>
          <w:sz w:val="16"/>
          <w:szCs w:val="16"/>
          <w:lang w:val="nl-NL"/>
        </w:rPr>
        <w:t>nr</w:t>
      </w:r>
      <w:r>
        <w:rPr>
          <w:sz w:val="16"/>
          <w:szCs w:val="16"/>
          <w:lang w:val="nl-NL"/>
        </w:rPr>
        <w:t>s</w:t>
      </w:r>
      <w:proofErr w:type="spellEnd"/>
      <w:r w:rsidRPr="00DE0802">
        <w:rPr>
          <w:sz w:val="16"/>
          <w:szCs w:val="16"/>
          <w:lang w:val="nl-NL"/>
        </w:rPr>
        <w:t>. 2025Z10599</w:t>
      </w:r>
      <w:r>
        <w:rPr>
          <w:sz w:val="16"/>
          <w:szCs w:val="16"/>
          <w:lang w:val="nl-NL"/>
        </w:rPr>
        <w:t xml:space="preserve">, </w:t>
      </w:r>
      <w:r w:rsidRPr="003A39D9">
        <w:rPr>
          <w:sz w:val="16"/>
          <w:szCs w:val="16"/>
          <w:lang w:val="nl-NL"/>
        </w:rPr>
        <w:t>2025Z00290</w:t>
      </w:r>
      <w:r>
        <w:rPr>
          <w:sz w:val="16"/>
          <w:szCs w:val="16"/>
          <w:lang w:val="nl-NL"/>
        </w:rPr>
        <w:t xml:space="preserve"> en </w:t>
      </w:r>
      <w:r w:rsidRPr="001313F5">
        <w:rPr>
          <w:sz w:val="16"/>
          <w:szCs w:val="16"/>
          <w:lang w:val="nl-NL"/>
        </w:rPr>
        <w:t>2025D08249</w:t>
      </w:r>
    </w:p>
  </w:footnote>
  <w:footnote w:id="5">
    <w:p w14:paraId="556ADC5B" w14:textId="77777777" w:rsidR="00560A43" w:rsidRPr="00DE0802" w:rsidRDefault="00560A43" w:rsidP="00560A43">
      <w:pPr>
        <w:pStyle w:val="Voetnoottekst"/>
        <w:rPr>
          <w:sz w:val="16"/>
          <w:szCs w:val="16"/>
          <w:lang w:val="nl-NL"/>
        </w:rPr>
      </w:pPr>
      <w:r w:rsidRPr="00DE0802">
        <w:rPr>
          <w:rStyle w:val="Voetnootmarkering"/>
          <w:sz w:val="16"/>
          <w:szCs w:val="16"/>
          <w:lang w:val="nl-NL"/>
        </w:rPr>
        <w:footnoteRef/>
      </w:r>
      <w:r w:rsidRPr="00DE0802">
        <w:rPr>
          <w:sz w:val="16"/>
          <w:szCs w:val="16"/>
          <w:lang w:val="nl-NL"/>
        </w:rPr>
        <w:t xml:space="preserve"> Uitspraak van 16 juli 2025 Rechtbank Overijssel: ECLI:NL:RBOVE:2025:4820</w:t>
      </w:r>
    </w:p>
  </w:footnote>
  <w:footnote w:id="6">
    <w:p w14:paraId="7F947170" w14:textId="77777777" w:rsidR="00560A43" w:rsidRPr="005C42B3" w:rsidRDefault="00560A43" w:rsidP="00560A43">
      <w:pPr>
        <w:pStyle w:val="Voetnoottekst"/>
        <w:rPr>
          <w:lang w:val="nl-NL"/>
        </w:rPr>
      </w:pPr>
      <w:r w:rsidRPr="00DE0802">
        <w:rPr>
          <w:rStyle w:val="Voetnootmarkering"/>
          <w:sz w:val="16"/>
          <w:szCs w:val="16"/>
          <w:lang w:val="nl-NL"/>
        </w:rPr>
        <w:footnoteRef/>
      </w:r>
      <w:r w:rsidRPr="00DE0802">
        <w:rPr>
          <w:sz w:val="16"/>
          <w:szCs w:val="16"/>
          <w:lang w:val="nl-NL"/>
        </w:rPr>
        <w:t xml:space="preserve"> Uitspraak</w:t>
      </w:r>
      <w:r w:rsidRPr="007B4423">
        <w:rPr>
          <w:sz w:val="16"/>
          <w:szCs w:val="16"/>
          <w:lang w:val="nl-NL"/>
        </w:rPr>
        <w:t xml:space="preserve"> van 4 juli 2025 Rechtbank Amsterdam: ECLI:NL:RBAMS:2025:4663; Uitspraak van 7 juli 2025 Rechtbank Amsterdam</w:t>
      </w:r>
      <w:r w:rsidRPr="007B4423">
        <w:rPr>
          <w:lang w:val="nl-NL"/>
        </w:rPr>
        <w:t xml:space="preserve">: </w:t>
      </w:r>
      <w:r w:rsidRPr="007B4423">
        <w:rPr>
          <w:sz w:val="16"/>
          <w:szCs w:val="16"/>
          <w:lang w:val="nl-NL"/>
        </w:rPr>
        <w:t>ECLI:NL:RBAMS:2025:4721</w:t>
      </w:r>
    </w:p>
  </w:footnote>
  <w:footnote w:id="7">
    <w:p w14:paraId="5FD57B8C" w14:textId="77777777" w:rsidR="00422C65" w:rsidRPr="002F2806" w:rsidRDefault="00422C65" w:rsidP="00422C65">
      <w:pPr>
        <w:pStyle w:val="Voetnoottekst"/>
        <w:rPr>
          <w:sz w:val="16"/>
          <w:szCs w:val="16"/>
          <w:lang w:val="nl-NL"/>
        </w:rPr>
      </w:pPr>
      <w:r w:rsidRPr="002F2806">
        <w:rPr>
          <w:rStyle w:val="Voetnootmarkering"/>
          <w:sz w:val="16"/>
          <w:szCs w:val="16"/>
        </w:rPr>
        <w:footnoteRef/>
      </w:r>
      <w:r w:rsidRPr="002F2806">
        <w:rPr>
          <w:sz w:val="16"/>
          <w:szCs w:val="16"/>
        </w:rPr>
        <w:t xml:space="preserve"> </w:t>
      </w:r>
      <w:r w:rsidRPr="002F2806">
        <w:rPr>
          <w:i/>
          <w:iCs/>
          <w:sz w:val="16"/>
          <w:szCs w:val="16"/>
          <w:lang w:val="nl-NL"/>
        </w:rPr>
        <w:t>Kamerstukken II</w:t>
      </w:r>
      <w:r w:rsidRPr="002F2806">
        <w:rPr>
          <w:sz w:val="16"/>
          <w:szCs w:val="16"/>
          <w:lang w:val="nl-NL"/>
        </w:rPr>
        <w:t xml:space="preserve"> 2024/25, 24 557, nr. 2025Z10599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70B3" w14:textId="77777777" w:rsidR="005301D1" w:rsidRDefault="00D53358">
    <w:r>
      <w:rPr>
        <w:noProof/>
      </w:rPr>
      <mc:AlternateContent>
        <mc:Choice Requires="wps">
          <w:drawing>
            <wp:anchor distT="0" distB="0" distL="0" distR="0" simplePos="0" relativeHeight="251652608" behindDoc="0" locked="1" layoutInCell="1" allowOverlap="1" wp14:anchorId="0387C3D5" wp14:editId="0A706B1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4344F0" w14:textId="77777777" w:rsidR="005301D1" w:rsidRDefault="00D53358">
                          <w:pPr>
                            <w:pStyle w:val="Referentiegegevensbold"/>
                          </w:pPr>
                          <w:r>
                            <w:t>Directoraat-Generaal Straffen en Beschermen</w:t>
                          </w:r>
                        </w:p>
                        <w:p w14:paraId="04B89776" w14:textId="77777777" w:rsidR="005301D1" w:rsidRDefault="00D53358">
                          <w:pPr>
                            <w:pStyle w:val="Referentiegegevens"/>
                          </w:pPr>
                          <w:r>
                            <w:t>Directie Sanctie- en Slachtofferbeleid</w:t>
                          </w:r>
                        </w:p>
                        <w:p w14:paraId="38974F67" w14:textId="77777777" w:rsidR="005301D1" w:rsidRDefault="005301D1">
                          <w:pPr>
                            <w:pStyle w:val="WitregelW2"/>
                          </w:pPr>
                        </w:p>
                        <w:p w14:paraId="5C5FE92F" w14:textId="77777777" w:rsidR="004C264D" w:rsidRDefault="004C264D">
                          <w:pPr>
                            <w:pStyle w:val="Referentiegegevensbold"/>
                          </w:pPr>
                        </w:p>
                        <w:p w14:paraId="1FCDEB7A" w14:textId="0E9DF22A" w:rsidR="005301D1" w:rsidRDefault="00D53358">
                          <w:pPr>
                            <w:pStyle w:val="Referentiegegevensbold"/>
                          </w:pPr>
                          <w:r>
                            <w:t>Datum</w:t>
                          </w:r>
                        </w:p>
                        <w:p w14:paraId="39CF5E9E" w14:textId="3C28BBC5" w:rsidR="005301D1" w:rsidRDefault="00902619">
                          <w:pPr>
                            <w:pStyle w:val="Referentiegegevens"/>
                          </w:pPr>
                          <w:sdt>
                            <w:sdtPr>
                              <w:id w:val="-537209093"/>
                              <w:date w:fullDate="2025-08-14T00:00:00Z">
                                <w:dateFormat w:val="d MMMM yyyy"/>
                                <w:lid w:val="nl"/>
                                <w:storeMappedDataAs w:val="dateTime"/>
                                <w:calendar w:val="gregorian"/>
                              </w:date>
                            </w:sdtPr>
                            <w:sdtEndPr/>
                            <w:sdtContent>
                              <w:r w:rsidR="004C264D">
                                <w:t>14 augustus 2025</w:t>
                              </w:r>
                            </w:sdtContent>
                          </w:sdt>
                        </w:p>
                        <w:p w14:paraId="636DAF2F" w14:textId="77777777" w:rsidR="005301D1" w:rsidRDefault="005301D1">
                          <w:pPr>
                            <w:pStyle w:val="WitregelW1"/>
                          </w:pPr>
                        </w:p>
                        <w:p w14:paraId="01E68B79" w14:textId="77777777" w:rsidR="005301D1" w:rsidRDefault="00D53358">
                          <w:pPr>
                            <w:pStyle w:val="Referentiegegevensbold"/>
                          </w:pPr>
                          <w:r>
                            <w:t>Onze referentie</w:t>
                          </w:r>
                        </w:p>
                        <w:p w14:paraId="04815BEE" w14:textId="77777777" w:rsidR="005301D1" w:rsidRDefault="00D53358">
                          <w:pPr>
                            <w:pStyle w:val="Referentiegegevens"/>
                          </w:pPr>
                          <w:r>
                            <w:t>6609782</w:t>
                          </w:r>
                        </w:p>
                      </w:txbxContent>
                    </wps:txbx>
                    <wps:bodyPr vert="horz" wrap="square" lIns="0" tIns="0" rIns="0" bIns="0" anchor="t" anchorCtr="0"/>
                  </wps:wsp>
                </a:graphicData>
              </a:graphic>
            </wp:anchor>
          </w:drawing>
        </mc:Choice>
        <mc:Fallback>
          <w:pict>
            <v:shapetype w14:anchorId="0387C3D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94344F0" w14:textId="77777777" w:rsidR="005301D1" w:rsidRDefault="00D53358">
                    <w:pPr>
                      <w:pStyle w:val="Referentiegegevensbold"/>
                    </w:pPr>
                    <w:r>
                      <w:t>Directoraat-Generaal Straffen en Beschermen</w:t>
                    </w:r>
                  </w:p>
                  <w:p w14:paraId="04B89776" w14:textId="77777777" w:rsidR="005301D1" w:rsidRDefault="00D53358">
                    <w:pPr>
                      <w:pStyle w:val="Referentiegegevens"/>
                    </w:pPr>
                    <w:r>
                      <w:t>Directie Sanctie- en Slachtofferbeleid</w:t>
                    </w:r>
                  </w:p>
                  <w:p w14:paraId="38974F67" w14:textId="77777777" w:rsidR="005301D1" w:rsidRDefault="005301D1">
                    <w:pPr>
                      <w:pStyle w:val="WitregelW2"/>
                    </w:pPr>
                  </w:p>
                  <w:p w14:paraId="5C5FE92F" w14:textId="77777777" w:rsidR="004C264D" w:rsidRDefault="004C264D">
                    <w:pPr>
                      <w:pStyle w:val="Referentiegegevensbold"/>
                    </w:pPr>
                  </w:p>
                  <w:p w14:paraId="1FCDEB7A" w14:textId="0E9DF22A" w:rsidR="005301D1" w:rsidRDefault="00D53358">
                    <w:pPr>
                      <w:pStyle w:val="Referentiegegevensbold"/>
                    </w:pPr>
                    <w:r>
                      <w:t>Datum</w:t>
                    </w:r>
                  </w:p>
                  <w:p w14:paraId="39CF5E9E" w14:textId="3C28BBC5" w:rsidR="005301D1" w:rsidRDefault="00902619">
                    <w:pPr>
                      <w:pStyle w:val="Referentiegegevens"/>
                    </w:pPr>
                    <w:sdt>
                      <w:sdtPr>
                        <w:id w:val="-537209093"/>
                        <w:date w:fullDate="2025-08-14T00:00:00Z">
                          <w:dateFormat w:val="d MMMM yyyy"/>
                          <w:lid w:val="nl"/>
                          <w:storeMappedDataAs w:val="dateTime"/>
                          <w:calendar w:val="gregorian"/>
                        </w:date>
                      </w:sdtPr>
                      <w:sdtEndPr/>
                      <w:sdtContent>
                        <w:r w:rsidR="004C264D">
                          <w:t>14 augustus 2025</w:t>
                        </w:r>
                      </w:sdtContent>
                    </w:sdt>
                  </w:p>
                  <w:p w14:paraId="636DAF2F" w14:textId="77777777" w:rsidR="005301D1" w:rsidRDefault="005301D1">
                    <w:pPr>
                      <w:pStyle w:val="WitregelW1"/>
                    </w:pPr>
                  </w:p>
                  <w:p w14:paraId="01E68B79" w14:textId="77777777" w:rsidR="005301D1" w:rsidRDefault="00D53358">
                    <w:pPr>
                      <w:pStyle w:val="Referentiegegevensbold"/>
                    </w:pPr>
                    <w:r>
                      <w:t>Onze referentie</w:t>
                    </w:r>
                  </w:p>
                  <w:p w14:paraId="04815BEE" w14:textId="77777777" w:rsidR="005301D1" w:rsidRDefault="00D53358">
                    <w:pPr>
                      <w:pStyle w:val="Referentiegegevens"/>
                    </w:pPr>
                    <w:r>
                      <w:t>6609782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5C836DB" wp14:editId="3CED349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8083F17" w14:textId="77777777" w:rsidR="001B3A27" w:rsidRDefault="001B3A27"/>
                      </w:txbxContent>
                    </wps:txbx>
                    <wps:bodyPr vert="horz" wrap="square" lIns="0" tIns="0" rIns="0" bIns="0" anchor="t" anchorCtr="0"/>
                  </wps:wsp>
                </a:graphicData>
              </a:graphic>
            </wp:anchor>
          </w:drawing>
        </mc:Choice>
        <mc:Fallback>
          <w:pict>
            <v:shape w14:anchorId="15C836D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8083F17" w14:textId="77777777" w:rsidR="001B3A27" w:rsidRDefault="001B3A2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30683AD" wp14:editId="5BF67E5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C3E235" w14:textId="7D8A249D" w:rsidR="005301D1" w:rsidRDefault="00D53358">
                          <w:pPr>
                            <w:pStyle w:val="Referentiegegevens"/>
                          </w:pPr>
                          <w:r>
                            <w:t xml:space="preserve">Pagina </w:t>
                          </w:r>
                          <w:r>
                            <w:fldChar w:fldCharType="begin"/>
                          </w:r>
                          <w:r>
                            <w:instrText>PAGE</w:instrText>
                          </w:r>
                          <w:r>
                            <w:fldChar w:fldCharType="separate"/>
                          </w:r>
                          <w:r w:rsidR="00560A43">
                            <w:rPr>
                              <w:noProof/>
                            </w:rPr>
                            <w:t>2</w:t>
                          </w:r>
                          <w:r>
                            <w:fldChar w:fldCharType="end"/>
                          </w:r>
                          <w:r>
                            <w:t xml:space="preserve"> van </w:t>
                          </w:r>
                          <w:r>
                            <w:fldChar w:fldCharType="begin"/>
                          </w:r>
                          <w:r>
                            <w:instrText>NUMPAGES</w:instrText>
                          </w:r>
                          <w:r>
                            <w:fldChar w:fldCharType="separate"/>
                          </w:r>
                          <w:r w:rsidR="00176C12">
                            <w:rPr>
                              <w:noProof/>
                            </w:rPr>
                            <w:t>1</w:t>
                          </w:r>
                          <w:r>
                            <w:fldChar w:fldCharType="end"/>
                          </w:r>
                        </w:p>
                      </w:txbxContent>
                    </wps:txbx>
                    <wps:bodyPr vert="horz" wrap="square" lIns="0" tIns="0" rIns="0" bIns="0" anchor="t" anchorCtr="0"/>
                  </wps:wsp>
                </a:graphicData>
              </a:graphic>
            </wp:anchor>
          </w:drawing>
        </mc:Choice>
        <mc:Fallback>
          <w:pict>
            <v:shape w14:anchorId="730683A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BC3E235" w14:textId="7D8A249D" w:rsidR="005301D1" w:rsidRDefault="00D53358">
                    <w:pPr>
                      <w:pStyle w:val="Referentiegegevens"/>
                    </w:pPr>
                    <w:r>
                      <w:t xml:space="preserve">Pagina </w:t>
                    </w:r>
                    <w:r>
                      <w:fldChar w:fldCharType="begin"/>
                    </w:r>
                    <w:r>
                      <w:instrText>PAGE</w:instrText>
                    </w:r>
                    <w:r>
                      <w:fldChar w:fldCharType="separate"/>
                    </w:r>
                    <w:r w:rsidR="00560A43">
                      <w:rPr>
                        <w:noProof/>
                      </w:rPr>
                      <w:t>2</w:t>
                    </w:r>
                    <w:r>
                      <w:fldChar w:fldCharType="end"/>
                    </w:r>
                    <w:r>
                      <w:t xml:space="preserve"> van </w:t>
                    </w:r>
                    <w:r>
                      <w:fldChar w:fldCharType="begin"/>
                    </w:r>
                    <w:r>
                      <w:instrText>NUMPAGES</w:instrText>
                    </w:r>
                    <w:r>
                      <w:fldChar w:fldCharType="separate"/>
                    </w:r>
                    <w:r w:rsidR="00176C1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7F53" w14:textId="77777777" w:rsidR="005301D1" w:rsidRDefault="00D53358">
    <w:pPr>
      <w:spacing w:after="6377" w:line="14" w:lineRule="exact"/>
    </w:pPr>
    <w:r>
      <w:rPr>
        <w:noProof/>
      </w:rPr>
      <mc:AlternateContent>
        <mc:Choice Requires="wps">
          <w:drawing>
            <wp:anchor distT="0" distB="0" distL="0" distR="0" simplePos="0" relativeHeight="251655680" behindDoc="0" locked="1" layoutInCell="1" allowOverlap="1" wp14:anchorId="1A5A424D" wp14:editId="13AE444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E3EB439" w14:textId="4EB4E1B7" w:rsidR="005301D1" w:rsidRDefault="00D53358">
                          <w:r>
                            <w:t xml:space="preserve">Aan de Voorzitter van de Tweede Kamer </w:t>
                          </w:r>
                          <w:r w:rsidR="004C264D">
                            <w:br/>
                          </w:r>
                          <w:r>
                            <w:t>der Staten-Generaal</w:t>
                          </w:r>
                        </w:p>
                        <w:p w14:paraId="0694B9B7" w14:textId="77777777" w:rsidR="005301D1" w:rsidRDefault="00D53358">
                          <w:r>
                            <w:t xml:space="preserve">Postbus 20018 </w:t>
                          </w:r>
                        </w:p>
                        <w:p w14:paraId="12A54E24" w14:textId="77777777" w:rsidR="005301D1" w:rsidRDefault="00D53358">
                          <w:r>
                            <w:t>2500 EA  DEN HAAG</w:t>
                          </w:r>
                        </w:p>
                      </w:txbxContent>
                    </wps:txbx>
                    <wps:bodyPr vert="horz" wrap="square" lIns="0" tIns="0" rIns="0" bIns="0" anchor="t" anchorCtr="0"/>
                  </wps:wsp>
                </a:graphicData>
              </a:graphic>
            </wp:anchor>
          </w:drawing>
        </mc:Choice>
        <mc:Fallback>
          <w:pict>
            <v:shapetype w14:anchorId="1A5A424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E3EB439" w14:textId="4EB4E1B7" w:rsidR="005301D1" w:rsidRDefault="00D53358">
                    <w:r>
                      <w:t xml:space="preserve">Aan de Voorzitter van de Tweede Kamer </w:t>
                    </w:r>
                    <w:r w:rsidR="004C264D">
                      <w:br/>
                    </w:r>
                    <w:r>
                      <w:t>der Staten-Generaal</w:t>
                    </w:r>
                  </w:p>
                  <w:p w14:paraId="0694B9B7" w14:textId="77777777" w:rsidR="005301D1" w:rsidRDefault="00D53358">
                    <w:r>
                      <w:t xml:space="preserve">Postbus 20018 </w:t>
                    </w:r>
                  </w:p>
                  <w:p w14:paraId="12A54E24" w14:textId="77777777" w:rsidR="005301D1" w:rsidRDefault="00D5335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F7D9256" wp14:editId="2D3DE24D">
              <wp:simplePos x="0" y="0"/>
              <wp:positionH relativeFrom="margin">
                <wp:align>right</wp:align>
              </wp:positionH>
              <wp:positionV relativeFrom="page">
                <wp:posOffset>3352165</wp:posOffset>
              </wp:positionV>
              <wp:extent cx="4787900" cy="10953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1095375"/>
                      </a:xfrm>
                      <a:prstGeom prst="rect">
                        <a:avLst/>
                      </a:prstGeom>
                      <a:noFill/>
                    </wps:spPr>
                    <wps:txbx>
                      <w:txbxContent>
                        <w:tbl>
                          <w:tblPr>
                            <w:tblW w:w="0" w:type="auto"/>
                            <w:tblInd w:w="-120" w:type="dxa"/>
                            <w:tblLayout w:type="fixed"/>
                            <w:tblLook w:val="07E0" w:firstRow="1" w:lastRow="1" w:firstColumn="1" w:lastColumn="1" w:noHBand="1" w:noVBand="1"/>
                          </w:tblPr>
                          <w:tblGrid>
                            <w:gridCol w:w="1188"/>
                            <w:gridCol w:w="6169"/>
                          </w:tblGrid>
                          <w:tr w:rsidR="005301D1" w14:paraId="1470AF25" w14:textId="77777777" w:rsidTr="00F74A27">
                            <w:trPr>
                              <w:trHeight w:val="602"/>
                            </w:trPr>
                            <w:tc>
                              <w:tcPr>
                                <w:tcW w:w="1188" w:type="dxa"/>
                              </w:tcPr>
                              <w:p w14:paraId="02207E31" w14:textId="77777777" w:rsidR="005301D1" w:rsidRPr="00A52FC1" w:rsidRDefault="00D53358">
                                <w:pPr>
                                  <w:rPr>
                                    <w:color w:val="auto"/>
                                  </w:rPr>
                                </w:pPr>
                                <w:r w:rsidRPr="00A52FC1">
                                  <w:rPr>
                                    <w:color w:val="auto"/>
                                  </w:rPr>
                                  <w:t>Datum</w:t>
                                </w:r>
                              </w:p>
                            </w:tc>
                            <w:tc>
                              <w:tcPr>
                                <w:tcW w:w="6169" w:type="dxa"/>
                              </w:tcPr>
                              <w:p w14:paraId="3395C9EF" w14:textId="052F9DA4" w:rsidR="005301D1" w:rsidRPr="00A52FC1" w:rsidRDefault="00902619">
                                <w:pPr>
                                  <w:rPr>
                                    <w:color w:val="auto"/>
                                  </w:rPr>
                                </w:pPr>
                                <w:sdt>
                                  <w:sdtPr>
                                    <w:rPr>
                                      <w:color w:val="auto"/>
                                    </w:rPr>
                                    <w:id w:val="367188175"/>
                                    <w:date w:fullDate="2025-08-14T00:00:00Z">
                                      <w:dateFormat w:val="d MMMM yyyy"/>
                                      <w:lid w:val="nl"/>
                                      <w:storeMappedDataAs w:val="dateTime"/>
                                      <w:calendar w:val="gregorian"/>
                                    </w:date>
                                  </w:sdtPr>
                                  <w:sdtEndPr/>
                                  <w:sdtContent>
                                    <w:r w:rsidR="004C264D">
                                      <w:rPr>
                                        <w:color w:val="auto"/>
                                        <w:lang w:val="nl"/>
                                      </w:rPr>
                                      <w:t>14 augustus 2025</w:t>
                                    </w:r>
                                  </w:sdtContent>
                                </w:sdt>
                              </w:p>
                            </w:tc>
                          </w:tr>
                          <w:tr w:rsidR="005301D1" w14:paraId="2E1644F0" w14:textId="77777777" w:rsidTr="004C264D">
                            <w:trPr>
                              <w:trHeight w:val="962"/>
                            </w:trPr>
                            <w:tc>
                              <w:tcPr>
                                <w:tcW w:w="1188" w:type="dxa"/>
                              </w:tcPr>
                              <w:p w14:paraId="41FBD657" w14:textId="77777777" w:rsidR="005301D1" w:rsidRPr="00A52FC1" w:rsidRDefault="00D53358">
                                <w:pPr>
                                  <w:rPr>
                                    <w:color w:val="auto"/>
                                  </w:rPr>
                                </w:pPr>
                                <w:r w:rsidRPr="00A52FC1">
                                  <w:rPr>
                                    <w:color w:val="auto"/>
                                  </w:rPr>
                                  <w:t>Betreft</w:t>
                                </w:r>
                              </w:p>
                            </w:tc>
                            <w:tc>
                              <w:tcPr>
                                <w:tcW w:w="6169" w:type="dxa"/>
                              </w:tcPr>
                              <w:p w14:paraId="755A8E69" w14:textId="3C1F6A04" w:rsidR="005301D1" w:rsidRPr="00A52FC1" w:rsidRDefault="00D53358">
                                <w:pPr>
                                  <w:rPr>
                                    <w:color w:val="auto"/>
                                  </w:rPr>
                                </w:pPr>
                                <w:r w:rsidRPr="00A52FC1">
                                  <w:rPr>
                                    <w:color w:val="auto"/>
                                  </w:rPr>
                                  <w:t>Antwoorden Kamervragen over de inzage in transactieoverzichten van kansspelaanbieders</w:t>
                                </w:r>
                              </w:p>
                            </w:tc>
                          </w:tr>
                        </w:tbl>
                        <w:p w14:paraId="275F6928" w14:textId="77777777" w:rsidR="001B3A27" w:rsidRDefault="001B3A2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F7D9256" id="46feebd0-aa3c-11ea-a756-beb5f67e67be" o:spid="_x0000_s1030" type="#_x0000_t202" style="position:absolute;margin-left:325.8pt;margin-top:263.95pt;width:377pt;height:86.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88"/>
                      <w:gridCol w:w="6169"/>
                    </w:tblGrid>
                    <w:tr w:rsidR="005301D1" w14:paraId="1470AF25" w14:textId="77777777" w:rsidTr="00F74A27">
                      <w:trPr>
                        <w:trHeight w:val="602"/>
                      </w:trPr>
                      <w:tc>
                        <w:tcPr>
                          <w:tcW w:w="1188" w:type="dxa"/>
                        </w:tcPr>
                        <w:p w14:paraId="02207E31" w14:textId="77777777" w:rsidR="005301D1" w:rsidRPr="00A52FC1" w:rsidRDefault="00D53358">
                          <w:pPr>
                            <w:rPr>
                              <w:color w:val="auto"/>
                            </w:rPr>
                          </w:pPr>
                          <w:r w:rsidRPr="00A52FC1">
                            <w:rPr>
                              <w:color w:val="auto"/>
                            </w:rPr>
                            <w:t>Datum</w:t>
                          </w:r>
                        </w:p>
                      </w:tc>
                      <w:tc>
                        <w:tcPr>
                          <w:tcW w:w="6169" w:type="dxa"/>
                        </w:tcPr>
                        <w:p w14:paraId="3395C9EF" w14:textId="052F9DA4" w:rsidR="005301D1" w:rsidRPr="00A52FC1" w:rsidRDefault="00902619">
                          <w:pPr>
                            <w:rPr>
                              <w:color w:val="auto"/>
                            </w:rPr>
                          </w:pPr>
                          <w:sdt>
                            <w:sdtPr>
                              <w:rPr>
                                <w:color w:val="auto"/>
                              </w:rPr>
                              <w:id w:val="367188175"/>
                              <w:date w:fullDate="2025-08-14T00:00:00Z">
                                <w:dateFormat w:val="d MMMM yyyy"/>
                                <w:lid w:val="nl"/>
                                <w:storeMappedDataAs w:val="dateTime"/>
                                <w:calendar w:val="gregorian"/>
                              </w:date>
                            </w:sdtPr>
                            <w:sdtEndPr/>
                            <w:sdtContent>
                              <w:r w:rsidR="004C264D">
                                <w:rPr>
                                  <w:color w:val="auto"/>
                                  <w:lang w:val="nl"/>
                                </w:rPr>
                                <w:t>14 augustus 2025</w:t>
                              </w:r>
                            </w:sdtContent>
                          </w:sdt>
                        </w:p>
                      </w:tc>
                    </w:tr>
                    <w:tr w:rsidR="005301D1" w14:paraId="2E1644F0" w14:textId="77777777" w:rsidTr="004C264D">
                      <w:trPr>
                        <w:trHeight w:val="962"/>
                      </w:trPr>
                      <w:tc>
                        <w:tcPr>
                          <w:tcW w:w="1188" w:type="dxa"/>
                        </w:tcPr>
                        <w:p w14:paraId="41FBD657" w14:textId="77777777" w:rsidR="005301D1" w:rsidRPr="00A52FC1" w:rsidRDefault="00D53358">
                          <w:pPr>
                            <w:rPr>
                              <w:color w:val="auto"/>
                            </w:rPr>
                          </w:pPr>
                          <w:r w:rsidRPr="00A52FC1">
                            <w:rPr>
                              <w:color w:val="auto"/>
                            </w:rPr>
                            <w:t>Betreft</w:t>
                          </w:r>
                        </w:p>
                      </w:tc>
                      <w:tc>
                        <w:tcPr>
                          <w:tcW w:w="6169" w:type="dxa"/>
                        </w:tcPr>
                        <w:p w14:paraId="755A8E69" w14:textId="3C1F6A04" w:rsidR="005301D1" w:rsidRPr="00A52FC1" w:rsidRDefault="00D53358">
                          <w:pPr>
                            <w:rPr>
                              <w:color w:val="auto"/>
                            </w:rPr>
                          </w:pPr>
                          <w:r w:rsidRPr="00A52FC1">
                            <w:rPr>
                              <w:color w:val="auto"/>
                            </w:rPr>
                            <w:t>Antwoorden Kamervragen over de inzage in transactieoverzichten van kansspelaanbieders</w:t>
                          </w:r>
                        </w:p>
                      </w:tc>
                    </w:tr>
                  </w:tbl>
                  <w:p w14:paraId="275F6928" w14:textId="77777777" w:rsidR="001B3A27" w:rsidRDefault="001B3A2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FA8BB86" wp14:editId="272EB4A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F14B0A" w14:textId="77777777" w:rsidR="005301D1" w:rsidRDefault="00D53358">
                          <w:pPr>
                            <w:pStyle w:val="Referentiegegevensbold"/>
                          </w:pPr>
                          <w:r>
                            <w:t>Directoraat-Generaal Straffen en Beschermen</w:t>
                          </w:r>
                        </w:p>
                        <w:p w14:paraId="68D8C14E" w14:textId="77777777" w:rsidR="005301D1" w:rsidRDefault="00D53358">
                          <w:pPr>
                            <w:pStyle w:val="Referentiegegevens"/>
                          </w:pPr>
                          <w:r>
                            <w:t>Directie Sanctie- en Slachtofferbeleid</w:t>
                          </w:r>
                        </w:p>
                        <w:p w14:paraId="5E7CC525" w14:textId="77777777" w:rsidR="005301D1" w:rsidRDefault="005301D1">
                          <w:pPr>
                            <w:pStyle w:val="WitregelW1"/>
                          </w:pPr>
                        </w:p>
                        <w:p w14:paraId="73A40749" w14:textId="77777777" w:rsidR="005301D1" w:rsidRPr="00CA1DD0" w:rsidRDefault="00D53358">
                          <w:pPr>
                            <w:pStyle w:val="Referentiegegevens"/>
                            <w:rPr>
                              <w:lang w:val="de-DE"/>
                            </w:rPr>
                          </w:pPr>
                          <w:proofErr w:type="spellStart"/>
                          <w:r w:rsidRPr="00CA1DD0">
                            <w:rPr>
                              <w:lang w:val="de-DE"/>
                            </w:rPr>
                            <w:t>Turfmarkt</w:t>
                          </w:r>
                          <w:proofErr w:type="spellEnd"/>
                          <w:r w:rsidRPr="00CA1DD0">
                            <w:rPr>
                              <w:lang w:val="de-DE"/>
                            </w:rPr>
                            <w:t xml:space="preserve"> 147</w:t>
                          </w:r>
                        </w:p>
                        <w:p w14:paraId="76B87C78" w14:textId="77777777" w:rsidR="005301D1" w:rsidRPr="00CA1DD0" w:rsidRDefault="00D53358">
                          <w:pPr>
                            <w:pStyle w:val="Referentiegegevens"/>
                            <w:rPr>
                              <w:lang w:val="de-DE"/>
                            </w:rPr>
                          </w:pPr>
                          <w:r w:rsidRPr="00CA1DD0">
                            <w:rPr>
                              <w:lang w:val="de-DE"/>
                            </w:rPr>
                            <w:t>2511 DP   Den Haag</w:t>
                          </w:r>
                        </w:p>
                        <w:p w14:paraId="1E8BF8AA" w14:textId="77777777" w:rsidR="005301D1" w:rsidRPr="00CA1DD0" w:rsidRDefault="00D53358">
                          <w:pPr>
                            <w:pStyle w:val="Referentiegegevens"/>
                            <w:rPr>
                              <w:lang w:val="de-DE"/>
                            </w:rPr>
                          </w:pPr>
                          <w:r w:rsidRPr="00CA1DD0">
                            <w:rPr>
                              <w:lang w:val="de-DE"/>
                            </w:rPr>
                            <w:t>Postbus 20301</w:t>
                          </w:r>
                        </w:p>
                        <w:p w14:paraId="7ACF48FA" w14:textId="77777777" w:rsidR="005301D1" w:rsidRPr="00CA1DD0" w:rsidRDefault="00D53358">
                          <w:pPr>
                            <w:pStyle w:val="Referentiegegevens"/>
                            <w:rPr>
                              <w:lang w:val="de-DE"/>
                            </w:rPr>
                          </w:pPr>
                          <w:r w:rsidRPr="00CA1DD0">
                            <w:rPr>
                              <w:lang w:val="de-DE"/>
                            </w:rPr>
                            <w:t>2500 EH   Den Haag</w:t>
                          </w:r>
                        </w:p>
                        <w:p w14:paraId="7D2F9A00" w14:textId="77777777" w:rsidR="005301D1" w:rsidRPr="00CA1DD0" w:rsidRDefault="00D53358">
                          <w:pPr>
                            <w:pStyle w:val="Referentiegegevens"/>
                            <w:rPr>
                              <w:lang w:val="de-DE"/>
                            </w:rPr>
                          </w:pPr>
                          <w:r w:rsidRPr="00CA1DD0">
                            <w:rPr>
                              <w:lang w:val="de-DE"/>
                            </w:rPr>
                            <w:t>www.rijksoverheid.nl/jenv</w:t>
                          </w:r>
                        </w:p>
                        <w:p w14:paraId="2633E385" w14:textId="77777777" w:rsidR="005301D1" w:rsidRPr="00CA1DD0" w:rsidRDefault="005301D1">
                          <w:pPr>
                            <w:pStyle w:val="WitregelW2"/>
                            <w:rPr>
                              <w:lang w:val="de-DE"/>
                            </w:rPr>
                          </w:pPr>
                        </w:p>
                        <w:p w14:paraId="2FAC1FFD" w14:textId="77777777" w:rsidR="005301D1" w:rsidRDefault="00D53358">
                          <w:pPr>
                            <w:pStyle w:val="Referentiegegevensbold"/>
                          </w:pPr>
                          <w:r>
                            <w:t>Onze referentie</w:t>
                          </w:r>
                        </w:p>
                        <w:p w14:paraId="7953E900" w14:textId="77777777" w:rsidR="005301D1" w:rsidRDefault="00D53358">
                          <w:pPr>
                            <w:pStyle w:val="Referentiegegevens"/>
                          </w:pPr>
                          <w:r>
                            <w:t>6609782</w:t>
                          </w:r>
                        </w:p>
                        <w:p w14:paraId="2D4ECA76" w14:textId="77777777" w:rsidR="004C264D" w:rsidRDefault="004C264D" w:rsidP="004C264D"/>
                        <w:p w14:paraId="714B74FA" w14:textId="1E9B02D9" w:rsidR="004C264D" w:rsidRPr="004C264D" w:rsidRDefault="004C264D" w:rsidP="004C264D">
                          <w:pPr>
                            <w:rPr>
                              <w:b/>
                              <w:bCs/>
                              <w:sz w:val="13"/>
                              <w:szCs w:val="13"/>
                            </w:rPr>
                          </w:pPr>
                          <w:r w:rsidRPr="004C264D">
                            <w:rPr>
                              <w:b/>
                              <w:bCs/>
                              <w:sz w:val="13"/>
                              <w:szCs w:val="13"/>
                            </w:rPr>
                            <w:t>Uw referentie</w:t>
                          </w:r>
                          <w:r>
                            <w:rPr>
                              <w:b/>
                              <w:bCs/>
                              <w:sz w:val="13"/>
                              <w:szCs w:val="13"/>
                            </w:rPr>
                            <w:br/>
                          </w:r>
                          <w:r w:rsidRPr="004C264D">
                            <w:rPr>
                              <w:sz w:val="13"/>
                              <w:szCs w:val="13"/>
                            </w:rPr>
                            <w:t>2025Z14676</w:t>
                          </w:r>
                        </w:p>
                      </w:txbxContent>
                    </wps:txbx>
                    <wps:bodyPr vert="horz" wrap="square" lIns="0" tIns="0" rIns="0" bIns="0" anchor="t" anchorCtr="0"/>
                  </wps:wsp>
                </a:graphicData>
              </a:graphic>
            </wp:anchor>
          </w:drawing>
        </mc:Choice>
        <mc:Fallback>
          <w:pict>
            <v:shape w14:anchorId="1FA8BB8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9F14B0A" w14:textId="77777777" w:rsidR="005301D1" w:rsidRDefault="00D53358">
                    <w:pPr>
                      <w:pStyle w:val="Referentiegegevensbold"/>
                    </w:pPr>
                    <w:r>
                      <w:t>Directoraat-Generaal Straffen en Beschermen</w:t>
                    </w:r>
                  </w:p>
                  <w:p w14:paraId="68D8C14E" w14:textId="77777777" w:rsidR="005301D1" w:rsidRDefault="00D53358">
                    <w:pPr>
                      <w:pStyle w:val="Referentiegegevens"/>
                    </w:pPr>
                    <w:r>
                      <w:t>Directie Sanctie- en Slachtofferbeleid</w:t>
                    </w:r>
                  </w:p>
                  <w:p w14:paraId="5E7CC525" w14:textId="77777777" w:rsidR="005301D1" w:rsidRDefault="005301D1">
                    <w:pPr>
                      <w:pStyle w:val="WitregelW1"/>
                    </w:pPr>
                  </w:p>
                  <w:p w14:paraId="73A40749" w14:textId="77777777" w:rsidR="005301D1" w:rsidRPr="00CA1DD0" w:rsidRDefault="00D53358">
                    <w:pPr>
                      <w:pStyle w:val="Referentiegegevens"/>
                      <w:rPr>
                        <w:lang w:val="de-DE"/>
                      </w:rPr>
                    </w:pPr>
                    <w:proofErr w:type="spellStart"/>
                    <w:r w:rsidRPr="00CA1DD0">
                      <w:rPr>
                        <w:lang w:val="de-DE"/>
                      </w:rPr>
                      <w:t>Turfmarkt</w:t>
                    </w:r>
                    <w:proofErr w:type="spellEnd"/>
                    <w:r w:rsidRPr="00CA1DD0">
                      <w:rPr>
                        <w:lang w:val="de-DE"/>
                      </w:rPr>
                      <w:t xml:space="preserve"> 147</w:t>
                    </w:r>
                  </w:p>
                  <w:p w14:paraId="76B87C78" w14:textId="77777777" w:rsidR="005301D1" w:rsidRPr="00CA1DD0" w:rsidRDefault="00D53358">
                    <w:pPr>
                      <w:pStyle w:val="Referentiegegevens"/>
                      <w:rPr>
                        <w:lang w:val="de-DE"/>
                      </w:rPr>
                    </w:pPr>
                    <w:r w:rsidRPr="00CA1DD0">
                      <w:rPr>
                        <w:lang w:val="de-DE"/>
                      </w:rPr>
                      <w:t>2511 DP   Den Haag</w:t>
                    </w:r>
                  </w:p>
                  <w:p w14:paraId="1E8BF8AA" w14:textId="77777777" w:rsidR="005301D1" w:rsidRPr="00CA1DD0" w:rsidRDefault="00D53358">
                    <w:pPr>
                      <w:pStyle w:val="Referentiegegevens"/>
                      <w:rPr>
                        <w:lang w:val="de-DE"/>
                      </w:rPr>
                    </w:pPr>
                    <w:r w:rsidRPr="00CA1DD0">
                      <w:rPr>
                        <w:lang w:val="de-DE"/>
                      </w:rPr>
                      <w:t>Postbus 20301</w:t>
                    </w:r>
                  </w:p>
                  <w:p w14:paraId="7ACF48FA" w14:textId="77777777" w:rsidR="005301D1" w:rsidRPr="00CA1DD0" w:rsidRDefault="00D53358">
                    <w:pPr>
                      <w:pStyle w:val="Referentiegegevens"/>
                      <w:rPr>
                        <w:lang w:val="de-DE"/>
                      </w:rPr>
                    </w:pPr>
                    <w:r w:rsidRPr="00CA1DD0">
                      <w:rPr>
                        <w:lang w:val="de-DE"/>
                      </w:rPr>
                      <w:t>2500 EH   Den Haag</w:t>
                    </w:r>
                  </w:p>
                  <w:p w14:paraId="7D2F9A00" w14:textId="77777777" w:rsidR="005301D1" w:rsidRPr="00CA1DD0" w:rsidRDefault="00D53358">
                    <w:pPr>
                      <w:pStyle w:val="Referentiegegevens"/>
                      <w:rPr>
                        <w:lang w:val="de-DE"/>
                      </w:rPr>
                    </w:pPr>
                    <w:r w:rsidRPr="00CA1DD0">
                      <w:rPr>
                        <w:lang w:val="de-DE"/>
                      </w:rPr>
                      <w:t>www.rijksoverheid.nl/jenv</w:t>
                    </w:r>
                  </w:p>
                  <w:p w14:paraId="2633E385" w14:textId="77777777" w:rsidR="005301D1" w:rsidRPr="00CA1DD0" w:rsidRDefault="005301D1">
                    <w:pPr>
                      <w:pStyle w:val="WitregelW2"/>
                      <w:rPr>
                        <w:lang w:val="de-DE"/>
                      </w:rPr>
                    </w:pPr>
                  </w:p>
                  <w:p w14:paraId="2FAC1FFD" w14:textId="77777777" w:rsidR="005301D1" w:rsidRDefault="00D53358">
                    <w:pPr>
                      <w:pStyle w:val="Referentiegegevensbold"/>
                    </w:pPr>
                    <w:r>
                      <w:t>Onze referentie</w:t>
                    </w:r>
                  </w:p>
                  <w:p w14:paraId="7953E900" w14:textId="77777777" w:rsidR="005301D1" w:rsidRDefault="00D53358">
                    <w:pPr>
                      <w:pStyle w:val="Referentiegegevens"/>
                    </w:pPr>
                    <w:r>
                      <w:t>6609782</w:t>
                    </w:r>
                  </w:p>
                  <w:p w14:paraId="2D4ECA76" w14:textId="77777777" w:rsidR="004C264D" w:rsidRDefault="004C264D" w:rsidP="004C264D"/>
                  <w:p w14:paraId="714B74FA" w14:textId="1E9B02D9" w:rsidR="004C264D" w:rsidRPr="004C264D" w:rsidRDefault="004C264D" w:rsidP="004C264D">
                    <w:pPr>
                      <w:rPr>
                        <w:b/>
                        <w:bCs/>
                        <w:sz w:val="13"/>
                        <w:szCs w:val="13"/>
                      </w:rPr>
                    </w:pPr>
                    <w:r w:rsidRPr="004C264D">
                      <w:rPr>
                        <w:b/>
                        <w:bCs/>
                        <w:sz w:val="13"/>
                        <w:szCs w:val="13"/>
                      </w:rPr>
                      <w:t>Uw referentie</w:t>
                    </w:r>
                    <w:r>
                      <w:rPr>
                        <w:b/>
                        <w:bCs/>
                        <w:sz w:val="13"/>
                        <w:szCs w:val="13"/>
                      </w:rPr>
                      <w:br/>
                    </w:r>
                    <w:r w:rsidRPr="004C264D">
                      <w:rPr>
                        <w:sz w:val="13"/>
                        <w:szCs w:val="13"/>
                      </w:rPr>
                      <w:t>2025Z14676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5D66F79" wp14:editId="4E7F3CE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D7631A" w14:textId="77777777" w:rsidR="001B3A27" w:rsidRDefault="001B3A27"/>
                      </w:txbxContent>
                    </wps:txbx>
                    <wps:bodyPr vert="horz" wrap="square" lIns="0" tIns="0" rIns="0" bIns="0" anchor="t" anchorCtr="0"/>
                  </wps:wsp>
                </a:graphicData>
              </a:graphic>
            </wp:anchor>
          </w:drawing>
        </mc:Choice>
        <mc:Fallback>
          <w:pict>
            <v:shape w14:anchorId="45D66F7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7D7631A" w14:textId="77777777" w:rsidR="001B3A27" w:rsidRDefault="001B3A2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24FB8B2" wp14:editId="476D2B2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7D7DD9" w14:textId="77777777" w:rsidR="005301D1" w:rsidRDefault="00D53358">
                          <w:pPr>
                            <w:pStyle w:val="Referentiegegevens"/>
                          </w:pPr>
                          <w:r>
                            <w:t xml:space="preserve">Pagina </w:t>
                          </w:r>
                          <w:r>
                            <w:fldChar w:fldCharType="begin"/>
                          </w:r>
                          <w:r>
                            <w:instrText>PAGE</w:instrText>
                          </w:r>
                          <w:r>
                            <w:fldChar w:fldCharType="separate"/>
                          </w:r>
                          <w:r w:rsidR="00176C12">
                            <w:rPr>
                              <w:noProof/>
                            </w:rPr>
                            <w:t>1</w:t>
                          </w:r>
                          <w:r>
                            <w:fldChar w:fldCharType="end"/>
                          </w:r>
                          <w:r>
                            <w:t xml:space="preserve"> van </w:t>
                          </w:r>
                          <w:r>
                            <w:fldChar w:fldCharType="begin"/>
                          </w:r>
                          <w:r>
                            <w:instrText>NUMPAGES</w:instrText>
                          </w:r>
                          <w:r>
                            <w:fldChar w:fldCharType="separate"/>
                          </w:r>
                          <w:r w:rsidR="00176C12">
                            <w:rPr>
                              <w:noProof/>
                            </w:rPr>
                            <w:t>1</w:t>
                          </w:r>
                          <w:r>
                            <w:fldChar w:fldCharType="end"/>
                          </w:r>
                        </w:p>
                      </w:txbxContent>
                    </wps:txbx>
                    <wps:bodyPr vert="horz" wrap="square" lIns="0" tIns="0" rIns="0" bIns="0" anchor="t" anchorCtr="0"/>
                  </wps:wsp>
                </a:graphicData>
              </a:graphic>
            </wp:anchor>
          </w:drawing>
        </mc:Choice>
        <mc:Fallback>
          <w:pict>
            <v:shape w14:anchorId="024FB8B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B7D7DD9" w14:textId="77777777" w:rsidR="005301D1" w:rsidRDefault="00D53358">
                    <w:pPr>
                      <w:pStyle w:val="Referentiegegevens"/>
                    </w:pPr>
                    <w:r>
                      <w:t xml:space="preserve">Pagina </w:t>
                    </w:r>
                    <w:r>
                      <w:fldChar w:fldCharType="begin"/>
                    </w:r>
                    <w:r>
                      <w:instrText>PAGE</w:instrText>
                    </w:r>
                    <w:r>
                      <w:fldChar w:fldCharType="separate"/>
                    </w:r>
                    <w:r w:rsidR="00176C12">
                      <w:rPr>
                        <w:noProof/>
                      </w:rPr>
                      <w:t>1</w:t>
                    </w:r>
                    <w:r>
                      <w:fldChar w:fldCharType="end"/>
                    </w:r>
                    <w:r>
                      <w:t xml:space="preserve"> van </w:t>
                    </w:r>
                    <w:r>
                      <w:fldChar w:fldCharType="begin"/>
                    </w:r>
                    <w:r>
                      <w:instrText>NUMPAGES</w:instrText>
                    </w:r>
                    <w:r>
                      <w:fldChar w:fldCharType="separate"/>
                    </w:r>
                    <w:r w:rsidR="00176C1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21E4520" wp14:editId="1E4EBD0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3B68B0B" w14:textId="77777777" w:rsidR="005301D1" w:rsidRDefault="00D53358">
                          <w:pPr>
                            <w:spacing w:line="240" w:lineRule="auto"/>
                          </w:pPr>
                          <w:r>
                            <w:rPr>
                              <w:noProof/>
                            </w:rPr>
                            <w:drawing>
                              <wp:inline distT="0" distB="0" distL="0" distR="0" wp14:anchorId="4E16B8FD" wp14:editId="58C3A7B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1E452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3B68B0B" w14:textId="77777777" w:rsidR="005301D1" w:rsidRDefault="00D53358">
                    <w:pPr>
                      <w:spacing w:line="240" w:lineRule="auto"/>
                    </w:pPr>
                    <w:r>
                      <w:rPr>
                        <w:noProof/>
                      </w:rPr>
                      <w:drawing>
                        <wp:inline distT="0" distB="0" distL="0" distR="0" wp14:anchorId="4E16B8FD" wp14:editId="58C3A7B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DB7B985" wp14:editId="1C5511B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5C4589" w14:textId="77777777" w:rsidR="005301D1" w:rsidRDefault="00D53358">
                          <w:pPr>
                            <w:spacing w:line="240" w:lineRule="auto"/>
                          </w:pPr>
                          <w:r>
                            <w:rPr>
                              <w:noProof/>
                            </w:rPr>
                            <w:drawing>
                              <wp:inline distT="0" distB="0" distL="0" distR="0" wp14:anchorId="6506D1BA" wp14:editId="51A8C52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B7B98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D5C4589" w14:textId="77777777" w:rsidR="005301D1" w:rsidRDefault="00D53358">
                    <w:pPr>
                      <w:spacing w:line="240" w:lineRule="auto"/>
                    </w:pPr>
                    <w:r>
                      <w:rPr>
                        <w:noProof/>
                      </w:rPr>
                      <w:drawing>
                        <wp:inline distT="0" distB="0" distL="0" distR="0" wp14:anchorId="6506D1BA" wp14:editId="51A8C52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69455C6" wp14:editId="03AB2F5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D0E80A" w14:textId="77777777" w:rsidR="005301D1" w:rsidRDefault="00D5335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69455C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3D0E80A" w14:textId="77777777" w:rsidR="005301D1" w:rsidRDefault="00D53358">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3CDE59"/>
    <w:multiLevelType w:val="multilevel"/>
    <w:tmpl w:val="D71661C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E9670A6"/>
    <w:multiLevelType w:val="multilevel"/>
    <w:tmpl w:val="AB623FD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EC94587"/>
    <w:multiLevelType w:val="multilevel"/>
    <w:tmpl w:val="A2FF2A1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8D966A0"/>
    <w:multiLevelType w:val="multilevel"/>
    <w:tmpl w:val="7E1AE34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2317551"/>
    <w:multiLevelType w:val="multilevel"/>
    <w:tmpl w:val="285508A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7ABCDD7"/>
    <w:multiLevelType w:val="multilevel"/>
    <w:tmpl w:val="BEF0FA9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15048321">
    <w:abstractNumId w:val="3"/>
  </w:num>
  <w:num w:numId="2" w16cid:durableId="487286909">
    <w:abstractNumId w:val="2"/>
  </w:num>
  <w:num w:numId="3" w16cid:durableId="1364594203">
    <w:abstractNumId w:val="1"/>
  </w:num>
  <w:num w:numId="4" w16cid:durableId="1949239558">
    <w:abstractNumId w:val="0"/>
  </w:num>
  <w:num w:numId="5" w16cid:durableId="1801804332">
    <w:abstractNumId w:val="4"/>
  </w:num>
  <w:num w:numId="6" w16cid:durableId="610823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12"/>
    <w:rsid w:val="00021D45"/>
    <w:rsid w:val="00037AA5"/>
    <w:rsid w:val="000566D9"/>
    <w:rsid w:val="00075C31"/>
    <w:rsid w:val="00083F05"/>
    <w:rsid w:val="000E5785"/>
    <w:rsid w:val="001272F6"/>
    <w:rsid w:val="00172DD9"/>
    <w:rsid w:val="00176C12"/>
    <w:rsid w:val="001A4259"/>
    <w:rsid w:val="001B3A27"/>
    <w:rsid w:val="002525D8"/>
    <w:rsid w:val="00257C44"/>
    <w:rsid w:val="0027084A"/>
    <w:rsid w:val="003858FA"/>
    <w:rsid w:val="00407D88"/>
    <w:rsid w:val="00422C65"/>
    <w:rsid w:val="00457ECB"/>
    <w:rsid w:val="00466E7D"/>
    <w:rsid w:val="0048360C"/>
    <w:rsid w:val="0048717A"/>
    <w:rsid w:val="004C264D"/>
    <w:rsid w:val="004F3E90"/>
    <w:rsid w:val="005301D1"/>
    <w:rsid w:val="00535F98"/>
    <w:rsid w:val="00543C7E"/>
    <w:rsid w:val="00555309"/>
    <w:rsid w:val="00560A43"/>
    <w:rsid w:val="0057090E"/>
    <w:rsid w:val="005712D2"/>
    <w:rsid w:val="00616599"/>
    <w:rsid w:val="00642DEA"/>
    <w:rsid w:val="006A64CC"/>
    <w:rsid w:val="006E4DE8"/>
    <w:rsid w:val="007367ED"/>
    <w:rsid w:val="00755636"/>
    <w:rsid w:val="007A06C2"/>
    <w:rsid w:val="007F65EE"/>
    <w:rsid w:val="00823A9A"/>
    <w:rsid w:val="00850753"/>
    <w:rsid w:val="008C6284"/>
    <w:rsid w:val="00902619"/>
    <w:rsid w:val="009501B6"/>
    <w:rsid w:val="009A3A0F"/>
    <w:rsid w:val="009E0E72"/>
    <w:rsid w:val="00A01698"/>
    <w:rsid w:val="00A52FC1"/>
    <w:rsid w:val="00A931C5"/>
    <w:rsid w:val="00AB3804"/>
    <w:rsid w:val="00AD77A1"/>
    <w:rsid w:val="00AE44E2"/>
    <w:rsid w:val="00AF2B51"/>
    <w:rsid w:val="00B00489"/>
    <w:rsid w:val="00B10599"/>
    <w:rsid w:val="00B13150"/>
    <w:rsid w:val="00B25355"/>
    <w:rsid w:val="00B63A9C"/>
    <w:rsid w:val="00B93864"/>
    <w:rsid w:val="00BB0484"/>
    <w:rsid w:val="00BC7575"/>
    <w:rsid w:val="00BF401B"/>
    <w:rsid w:val="00C1215B"/>
    <w:rsid w:val="00C257EC"/>
    <w:rsid w:val="00C3066C"/>
    <w:rsid w:val="00C76BC2"/>
    <w:rsid w:val="00C77B36"/>
    <w:rsid w:val="00C97E3D"/>
    <w:rsid w:val="00CA1DD0"/>
    <w:rsid w:val="00CE5C39"/>
    <w:rsid w:val="00D02B8B"/>
    <w:rsid w:val="00D16211"/>
    <w:rsid w:val="00D174AB"/>
    <w:rsid w:val="00D30841"/>
    <w:rsid w:val="00D53358"/>
    <w:rsid w:val="00D700D7"/>
    <w:rsid w:val="00DD0909"/>
    <w:rsid w:val="00DD7586"/>
    <w:rsid w:val="00E12F89"/>
    <w:rsid w:val="00EB6EA0"/>
    <w:rsid w:val="00EC5EB1"/>
    <w:rsid w:val="00EC6526"/>
    <w:rsid w:val="00ED09B9"/>
    <w:rsid w:val="00ED15D0"/>
    <w:rsid w:val="00EE71B9"/>
    <w:rsid w:val="00F432F8"/>
    <w:rsid w:val="00F66ED6"/>
    <w:rsid w:val="00F74A27"/>
    <w:rsid w:val="00F965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75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560A4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560A43"/>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560A43"/>
    <w:rPr>
      <w:vertAlign w:val="superscript"/>
    </w:rPr>
  </w:style>
  <w:style w:type="paragraph" w:styleId="Koptekst">
    <w:name w:val="header"/>
    <w:basedOn w:val="Standaard"/>
    <w:link w:val="KoptekstChar"/>
    <w:uiPriority w:val="99"/>
    <w:unhideWhenUsed/>
    <w:rsid w:val="00F74A2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4A27"/>
    <w:rPr>
      <w:rFonts w:ascii="Verdana" w:hAnsi="Verdana"/>
      <w:color w:val="000000"/>
      <w:sz w:val="18"/>
      <w:szCs w:val="18"/>
    </w:rPr>
  </w:style>
  <w:style w:type="paragraph" w:styleId="Revisie">
    <w:name w:val="Revision"/>
    <w:hidden/>
    <w:uiPriority w:val="99"/>
    <w:semiHidden/>
    <w:rsid w:val="00A931C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931C5"/>
    <w:rPr>
      <w:sz w:val="16"/>
      <w:szCs w:val="16"/>
    </w:rPr>
  </w:style>
  <w:style w:type="paragraph" w:styleId="Tekstopmerking">
    <w:name w:val="annotation text"/>
    <w:basedOn w:val="Standaard"/>
    <w:link w:val="TekstopmerkingChar"/>
    <w:uiPriority w:val="99"/>
    <w:unhideWhenUsed/>
    <w:rsid w:val="00A931C5"/>
    <w:pPr>
      <w:spacing w:line="240" w:lineRule="auto"/>
    </w:pPr>
    <w:rPr>
      <w:sz w:val="20"/>
      <w:szCs w:val="20"/>
    </w:rPr>
  </w:style>
  <w:style w:type="character" w:customStyle="1" w:styleId="TekstopmerkingChar">
    <w:name w:val="Tekst opmerking Char"/>
    <w:basedOn w:val="Standaardalinea-lettertype"/>
    <w:link w:val="Tekstopmerking"/>
    <w:uiPriority w:val="99"/>
    <w:rsid w:val="00A931C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931C5"/>
    <w:rPr>
      <w:b/>
      <w:bCs/>
    </w:rPr>
  </w:style>
  <w:style w:type="character" w:customStyle="1" w:styleId="OnderwerpvanopmerkingChar">
    <w:name w:val="Onderwerp van opmerking Char"/>
    <w:basedOn w:val="TekstopmerkingChar"/>
    <w:link w:val="Onderwerpvanopmerking"/>
    <w:uiPriority w:val="99"/>
    <w:semiHidden/>
    <w:rsid w:val="00A931C5"/>
    <w:rPr>
      <w:rFonts w:ascii="Verdana" w:hAnsi="Verdana"/>
      <w:b/>
      <w:bCs/>
      <w:color w:val="000000"/>
    </w:rPr>
  </w:style>
  <w:style w:type="character" w:styleId="Onopgelostemelding">
    <w:name w:val="Unresolved Mention"/>
    <w:basedOn w:val="Standaardalinea-lettertype"/>
    <w:uiPriority w:val="99"/>
    <w:semiHidden/>
    <w:unhideWhenUsed/>
    <w:rsid w:val="00A93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1190</ap:Words>
  <ap:Characters>6550</ap:Characters>
  <ap:DocSecurity>0</ap:DocSecurity>
  <ap:Lines>54</ap:Lines>
  <ap:Paragraphs>15</ap:Paragraphs>
  <ap:ScaleCrop>false</ap:ScaleCrop>
  <ap:LinksUpToDate>false</ap:LinksUpToDate>
  <ap:CharactersWithSpaces>7725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2025-08-14T08:15:00.0000000Z</dcterms:created>
  <dcterms:modified xsi:type="dcterms:W3CDTF">2025-08-14T08:15:00.0000000Z</dcterms:modified>
  <dc:description>------------------------</dc:description>
  <dc:subject/>
  <keywords/>
  <version/>
  <category/>
</coreProperties>
</file>