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2025Z15151</w:t>
        <w:br/>
      </w:r>
      <w:proofErr w:type="spellEnd"/>
    </w:p>
    <w:p>
      <w:pPr>
        <w:pStyle w:val="Normal"/>
        <w:rPr>
          <w:b w:val="1"/>
          <w:bCs w:val="1"/>
        </w:rPr>
      </w:pPr>
      <w:r w:rsidR="250AE766">
        <w:rPr>
          <w:b w:val="0"/>
          <w:bCs w:val="0"/>
        </w:rPr>
        <w:t>(ingezonden 14 augustus 2025)</w:t>
        <w:br/>
      </w:r>
    </w:p>
    <w:p>
      <w:r>
        <w:t xml:space="preserve">Vragen van het lid Joseph (BBB) aan de minister van Sociale Zaken en Werkgelegenheid over de rechtspositie van pensioendeelnemers bij informatieverstrekking en invaren</w:t>
      </w:r>
      <w:r>
        <w:br/>
      </w:r>
    </w:p>
    <w:p>
      <w:r>
        <w:t xml:space="preserve"> </w:t>
      </w:r>
      <w:r>
        <w:br/>
      </w:r>
    </w:p>
    <w:p>
      <w:pPr>
        <w:pStyle w:val="ListParagraph"/>
        <w:numPr>
          <w:ilvl w:val="0"/>
          <w:numId w:val="100484730"/>
        </w:numPr>
        <w:ind w:left="360"/>
      </w:pPr>
      <w:r>
        <w:t xml:space="preserve">Bent u bekend met de uitspraak van de rechtbank Den Haag van 25 mei 2025 waarin is geoordeeld dat geen rechten aan het Uniform Pensioen Overzicht (UPO) kunnen worden ontleend 1)?</w:t>
      </w:r>
      <w:r>
        <w:br/>
      </w:r>
    </w:p>
    <w:p>
      <w:pPr>
        <w:pStyle w:val="ListParagraph"/>
        <w:numPr>
          <w:ilvl w:val="0"/>
          <w:numId w:val="100484730"/>
        </w:numPr>
        <w:ind w:left="360"/>
      </w:pPr>
      <w:r>
        <w:t xml:space="preserve">Betekent deze uitspraak dat noch de Staat, noch pensioenfondsen aansprakelijk zijn voor het jarenlang verstrekken van onjuiste pensioeninformatie? Acht u dit maatschappelijk aanvaardbaar?</w:t>
      </w:r>
      <w:r>
        <w:br/>
      </w:r>
    </w:p>
    <w:p>
      <w:pPr>
        <w:pStyle w:val="ListParagraph"/>
        <w:numPr>
          <w:ilvl w:val="0"/>
          <w:numId w:val="100484730"/>
        </w:numPr>
        <w:ind w:left="360"/>
      </w:pPr>
      <w:r>
        <w:t xml:space="preserve">Kunt u bevestigen dat het voor deelnemers nagenoeg onmogelijk is om hun pensioenopbouw zelfstandig te berekenen, in lijn met antwoord 9 op eerdere kamervragen 2)? En zo niet, kunt u dit toelichten?</w:t>
      </w:r>
      <w:r>
        <w:br/>
      </w:r>
    </w:p>
    <w:p>
      <w:pPr>
        <w:pStyle w:val="ListParagraph"/>
        <w:numPr>
          <w:ilvl w:val="0"/>
          <w:numId w:val="100484730"/>
        </w:numPr>
        <w:ind w:left="360"/>
      </w:pPr>
      <w:r>
        <w:t xml:space="preserve">In hoeverre kunt u dit gebrek aan kenbaarheid en afdwingbaarheid van de pensioenopbouw rijmen met het recht op een eerlijk proces en effectieve rechtsbescherming?</w:t>
      </w:r>
      <w:r>
        <w:br/>
      </w:r>
    </w:p>
    <w:p>
      <w:pPr>
        <w:pStyle w:val="ListParagraph"/>
        <w:numPr>
          <w:ilvl w:val="0"/>
          <w:numId w:val="100484730"/>
        </w:numPr>
        <w:ind w:left="360"/>
      </w:pPr>
      <w:r>
        <w:t xml:space="preserve">Kunt u bevestigen dat een deelnemer altijd mag vragen om extra informatie, bijvoorbeeld een berekening of uitleg, bij pensioenfondsen, in lijn met de antwoorden op eerdere kamervragen 2) en 3)? En zo niet, kunt u dit toelichten?</w:t>
      </w:r>
      <w:r>
        <w:br/>
      </w:r>
    </w:p>
    <w:p>
      <w:pPr>
        <w:pStyle w:val="ListParagraph"/>
        <w:numPr>
          <w:ilvl w:val="0"/>
          <w:numId w:val="100484730"/>
        </w:numPr>
        <w:ind w:left="360"/>
      </w:pPr>
      <w:r>
        <w:t xml:space="preserve">Kunt u bevestigen dat een deelnemer bij het vragen om extra informatie, ter versterking van zijn rechtspositie, altijd kan vragen om een bevestiging van de juistheid van de ontvangen informatie, in lijn met antwoord 15 op eerdere kamervragen 3)? En zo niet, kunt u dit toelichten?</w:t>
      </w:r>
      <w:r>
        <w:br/>
      </w:r>
    </w:p>
    <w:p>
      <w:pPr>
        <w:pStyle w:val="ListParagraph"/>
        <w:numPr>
          <w:ilvl w:val="0"/>
          <w:numId w:val="100484730"/>
        </w:numPr>
        <w:ind w:left="360"/>
      </w:pPr>
      <w:r>
        <w:t xml:space="preserve">Bent u bekend met signalen, onder meer afkomstig van de actie “Cultuur onder Vuur” 4), dat verschillende pensioenfondsen verzoeken tot extra informatie waaronder onderliggende berekeningen en uitleg en de bevestiging van de juistheid van de informatie weigeren te verstrekken?</w:t>
      </w:r>
      <w:r>
        <w:br/>
      </w:r>
    </w:p>
    <w:p>
      <w:pPr>
        <w:pStyle w:val="ListParagraph"/>
        <w:numPr>
          <w:ilvl w:val="0"/>
          <w:numId w:val="100484730"/>
        </w:numPr>
        <w:ind w:left="360"/>
      </w:pPr>
      <w:r>
        <w:t xml:space="preserve">Hoe beoordeelt u deze handelwijze in het licht van de rechten van een deelnemer die de Pensioenwet hem of haar toekent?</w:t>
      </w:r>
      <w:r>
        <w:br/>
      </w:r>
    </w:p>
    <w:p>
      <w:pPr>
        <w:pStyle w:val="ListParagraph"/>
        <w:numPr>
          <w:ilvl w:val="0"/>
          <w:numId w:val="100484730"/>
        </w:numPr>
        <w:ind w:left="360"/>
      </w:pPr>
      <w:r>
        <w:t xml:space="preserve">Deelt u de mening dat het recht op extra informatie ter versterking van de rechtspositie in de praktijk onvoldoende afdwingbaar is, waardoor deelnemers geen effectieve bescherming genieten? Zo niet, kunt u dit toelichten?</w:t>
      </w:r>
      <w:r>
        <w:br/>
      </w:r>
    </w:p>
    <w:p>
      <w:pPr>
        <w:pStyle w:val="ListParagraph"/>
        <w:numPr>
          <w:ilvl w:val="0"/>
          <w:numId w:val="100484730"/>
        </w:numPr>
        <w:ind w:left="360"/>
      </w:pPr>
      <w:r>
        <w:t xml:space="preserve">Bent u bereid wettelijk te verankeren dat deelnemers op verzoek een rechtsgeldig, begrijpelijk en controleerbaar document (niet zijnde het UPO) kunnen ontvangen waarin hun aanspraak bindend wordt vastgesteld?</w:t>
      </w:r>
      <w:r>
        <w:br/>
      </w:r>
    </w:p>
    <w:p>
      <w:pPr>
        <w:pStyle w:val="ListParagraph"/>
        <w:numPr>
          <w:ilvl w:val="0"/>
          <w:numId w:val="100484730"/>
        </w:numPr>
        <w:ind w:left="360"/>
      </w:pPr>
      <w:r>
        <w:t xml:space="preserve">Hoe verhoudt de termijn van één maand vóór de transitie voor het verstrekken van de Transitie-UPO zich tot het recht op tijdige, correcte en controleerbare informatie, gezien de complexiteit en mogelijke foutmarges?</w:t>
      </w:r>
      <w:r>
        <w:br/>
      </w:r>
    </w:p>
    <w:p>
      <w:pPr>
        <w:pStyle w:val="ListParagraph"/>
        <w:numPr>
          <w:ilvl w:val="0"/>
          <w:numId w:val="100484730"/>
        </w:numPr>
        <w:ind w:left="360"/>
      </w:pPr>
      <w:r>
        <w:t xml:space="preserve">Bent u bereid deze termijn te verlengen en wettelijk te verankeren?</w:t>
      </w:r>
      <w:r>
        <w:br/>
      </w:r>
    </w:p>
    <w:p>
      <w:pPr>
        <w:pStyle w:val="ListParagraph"/>
        <w:numPr>
          <w:ilvl w:val="0"/>
          <w:numId w:val="100484730"/>
        </w:numPr>
        <w:ind w:left="360"/>
      </w:pPr>
      <w:r>
        <w:t xml:space="preserve">Bent u bekend met het feit dat het twee van de drie fondsen die zijn ingevaren per 1 januari 2025 niet lukte om een definitief transitieoverzicht te verstrekken per de door de Autoreit Financiële Markten (AFM) vereiste datum 1 juli 2025? In hoeverre vindt u dit acceptabel, tijdig en verantwoord 5)?</w:t>
      </w:r>
      <w:r>
        <w:br/>
      </w:r>
    </w:p>
    <w:p>
      <w:pPr>
        <w:pStyle w:val="ListParagraph"/>
        <w:numPr>
          <w:ilvl w:val="0"/>
          <w:numId w:val="100484730"/>
        </w:numPr>
        <w:ind w:left="360"/>
      </w:pPr>
      <w:r>
        <w:t xml:space="preserve">Bent u bereid te waarborgen dat de definitieve transitieoverzichten bindend zijn en dat deelnemers hier rechten aan kunnen ontlenen?</w:t>
      </w:r>
      <w:r>
        <w:br/>
      </w:r>
    </w:p>
    <w:p>
      <w:pPr>
        <w:pStyle w:val="ListParagraph"/>
        <w:numPr>
          <w:ilvl w:val="0"/>
          <w:numId w:val="100484730"/>
        </w:numPr>
        <w:ind w:left="360"/>
      </w:pPr>
      <w:r>
        <w:t xml:space="preserve">Bent u bereid bovengenoemde punten wettelijk te regelen, zodat deelnemers hun pensioenrechten kunnen kennen, controleren en afdwingen? Zo nee, waarom niet?</w:t>
      </w:r>
      <w:r>
        <w:br/>
      </w:r>
    </w:p>
    <w:p>
      <w:pPr>
        <w:pStyle w:val="ListParagraph"/>
        <w:numPr>
          <w:ilvl w:val="0"/>
          <w:numId w:val="100484730"/>
        </w:numPr>
        <w:ind w:left="360"/>
      </w:pPr>
      <w:r>
        <w:t xml:space="preserve">Hoe gaat u bewerkstelligen dat wat in de Pensioenwet in Artikel 48 lid 1 staat, namelijk dat "De informatie die de pensioenuitvoerder verstrekt of beschikbaar stelt is correct, duidelijk en evenwichtig. De informatie wordt tijdig verstrekt of beschikbaar gesteld.", ook daadwerkelijk in de praktijk op een dusdanige wijze wordt uitgevoerd dat deelnemers aan deze informatie rechten kunnen ontlenen?</w:t>
      </w:r>
      <w:r>
        <w:br/>
      </w:r>
    </w:p>
    <w:p>
      <w:r>
        <w:t xml:space="preserve"> </w:t>
      </w:r>
      <w:r>
        <w:br/>
      </w:r>
    </w:p>
    <w:p>
      <w:r>
        <w:t xml:space="preserve"> </w:t>
      </w:r>
      <w:r>
        <w:br/>
      </w:r>
    </w:p>
    <w:p>
      <w:r>
        <w:t xml:space="preserve">1) Rechtbank Den Haag, 25 mei 2025, ECLI:NL:RBDHA:2025:9694.</w:t>
      </w:r>
      <w:r>
        <w:br/>
      </w:r>
    </w:p>
    <w:p>
      <w:r>
        <w:t xml:space="preserve">2) Aanhangsel Handelingen II, vergaderjaar 2024-2025, nr. 2595. </w:t>
      </w:r>
      <w:r>
        <w:br/>
      </w:r>
    </w:p>
    <w:p>
      <w:r>
        <w:t xml:space="preserve">3) Aanhangsel Handelingen II, vergaderjaar 2018-2019, nr. 2168. </w:t>
      </w:r>
      <w:r>
        <w:br/>
      </w:r>
    </w:p>
    <w:p>
      <w:r>
        <w:t xml:space="preserve">4) Cultuur onder Vuur, 14 juni 2025, 'Cultuur onder Vuur lanceert nieuwe actie: vraag uw rechtsgeldig pensioenoverzicht aan – voor het te laat is!' (https://cultuurondervuur.nl/artikelen/cultuur-onder-vuur-lanceert-nieuwe-actie-vraag-uw-rechtsgeldig-pensioenoverzicht-aan-voor-het-te-laat-is) &amp; Cultuur onder Vuur, 3 juli 2025, 'Pensioenfondsen weigeren rechtsgeldig overzicht te geven aan deelnemers' (https://cultuurondervuur.nl/artikelen/pensioenfondsen-weigeren-rechtsgeldig-overzicht-te-geven-aan-deelnemers).</w:t>
      </w:r>
      <w:r>
        <w:br/>
      </w:r>
    </w:p>
    <w:p>
      <w:r>
        <w:t xml:space="preserve">5) PensioenPro, 25 juni 2025, 'Definitief transitieoverzicht is worsteling voor koplopers' (https://pensioenpro.nl/definitief-transitieoverzicht-is-worsteling-voor-de-koplopers/).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6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690">
    <w:abstractNumId w:val="1004846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