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2025Z15182</w:t>
        <w:br/>
      </w:r>
      <w:proofErr w:type="spellEnd"/>
    </w:p>
    <w:p>
      <w:pPr>
        <w:pStyle w:val="Normal"/>
        <w:rPr>
          <w:b w:val="1"/>
          <w:bCs w:val="1"/>
        </w:rPr>
      </w:pPr>
      <w:r w:rsidR="250AE766">
        <w:rPr>
          <w:b w:val="0"/>
          <w:bCs w:val="0"/>
        </w:rPr>
        <w:t>(ingezonden 18 augustus 2025)</w:t>
        <w:br/>
      </w:r>
    </w:p>
    <w:p>
      <w:r>
        <w:t xml:space="preserve">Vragen van het lid Van Houwelingen (FvD) aan de minister van Buitenlandse Zaken over de permanente vertegenwoordiging bij de Europese Unie </w:t>
      </w:r>
      <w:r>
        <w:br/>
      </w:r>
    </w:p>
    <w:p>
      <w:r>
        <w:t xml:space="preserve"> </w:t>
      </w:r>
      <w:r>
        <w:br/>
      </w:r>
    </w:p>
    <w:p>
      <w:pPr>
        <w:pStyle w:val="ListParagraph"/>
        <w:numPr>
          <w:ilvl w:val="0"/>
          <w:numId w:val="100484800"/>
        </w:numPr>
        <w:ind w:left="360"/>
      </w:pPr>
      <w:r>
        <w:t xml:space="preserve">Hoe vaak heeft, het afgelopen jaar, in de verschillende Vakraden, de Permanente Vertegenwoordiger een lid van het kabinet vervangen (en hoeveel Vakraden waren er in totaal gedurende deze periode)?</w:t>
      </w:r>
      <w:r>
        <w:br/>
      </w:r>
    </w:p>
    <w:p>
      <w:pPr>
        <w:pStyle w:val="ListParagraph"/>
        <w:numPr>
          <w:ilvl w:val="0"/>
          <w:numId w:val="100484800"/>
        </w:numPr>
        <w:ind w:left="360"/>
      </w:pPr>
      <w:r>
        <w:t xml:space="preserve">Onderhandelt de Permanente Vertegenwoordiger die een lid van het kabinet vervangt in een Vakraad ook namens Nederland (met kabinetsleden van andere landen)?</w:t>
      </w:r>
      <w:r>
        <w:br/>
      </w:r>
    </w:p>
    <w:p>
      <w:pPr>
        <w:pStyle w:val="ListParagraph"/>
        <w:numPr>
          <w:ilvl w:val="0"/>
          <w:numId w:val="100484800"/>
        </w:numPr>
        <w:ind w:left="360"/>
      </w:pPr>
      <w:r>
        <w:t xml:space="preserve">Kan de Tweede Kamer de correspondentie toegestuurd krijgen tussen de Permanente Vertegenwoordiger bij de Europese Unie en het kabinet en tussen de Permanente Vertegenwoordiger bij de Europese Unie en de Europese Raad (en Vakraden) over het ‘chat control’ voorstel , alsmede eerdere versies van dit voorstel, van de Europese Unie waarover 14 oktober gestemd zal gaan worden in de Europese Raad Justitie en Binnenlandse Zaken (JBZ-raad)?</w:t>
      </w:r>
      <w:r>
        <w:br/>
      </w:r>
    </w:p>
    <w:p>
      <w:pPr>
        <w:pStyle w:val="ListParagraph"/>
        <w:numPr>
          <w:ilvl w:val="0"/>
          <w:numId w:val="100484800"/>
        </w:numPr>
        <w:ind w:left="360"/>
      </w:pPr>
      <w:r>
        <w:t xml:space="preserve">Kan de Kamer deze correspondentie ontvangen voor een (eventueel) commissiedebat hierover (eind) volgende maand?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8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800">
    <w:abstractNumId w:val="1004848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