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16E7" w:rsidP="005E16E7" w:rsidRDefault="005E16E7" w14:paraId="41BDD9FF" w14:textId="7A094B2B">
      <w:pPr>
        <w:pStyle w:val="standaard-tekst"/>
      </w:pPr>
      <w:r>
        <w:t>AH 2844</w:t>
      </w:r>
    </w:p>
    <w:p w:rsidR="005E16E7" w:rsidP="005E16E7" w:rsidRDefault="005E16E7" w14:paraId="09743481" w14:textId="77777777">
      <w:pPr>
        <w:pStyle w:val="standaard-tekst"/>
      </w:pPr>
    </w:p>
    <w:p w:rsidR="005E16E7" w:rsidP="005E16E7" w:rsidRDefault="005E16E7" w14:paraId="3C173A0D" w14:textId="5A804AA0">
      <w:pPr>
        <w:pStyle w:val="standaard-tekst"/>
      </w:pPr>
      <w:r>
        <w:t>2025Z12000</w:t>
      </w:r>
    </w:p>
    <w:p w:rsidR="005E16E7" w:rsidP="005E16E7" w:rsidRDefault="005E16E7" w14:paraId="6E00AB34" w14:textId="77777777">
      <w:pPr>
        <w:pStyle w:val="standaard-tekst"/>
      </w:pPr>
    </w:p>
    <w:p w:rsidR="005E16E7" w:rsidP="005E16E7" w:rsidRDefault="005E16E7" w14:paraId="7A266538" w14:textId="47BFC3E7">
      <w:pPr>
        <w:pStyle w:val="standaard-tekst"/>
      </w:pPr>
      <w:r w:rsidRPr="009B5FE1">
        <w:rPr>
          <w:sz w:val="24"/>
          <w:szCs w:val="24"/>
        </w:rPr>
        <w:t>Antwoord van minister Bruins (Onderwijs, Cultuur en Wetenschap)</w:t>
      </w:r>
      <w:r w:rsidRPr="00ED42F6">
        <w:rPr>
          <w:sz w:val="24"/>
          <w:szCs w:val="24"/>
        </w:rPr>
        <w:t xml:space="preserve"> </w:t>
      </w:r>
      <w:r w:rsidRPr="009B5FE1">
        <w:rPr>
          <w:sz w:val="24"/>
          <w:szCs w:val="24"/>
        </w:rPr>
        <w:t>(ontvangen</w:t>
      </w:r>
      <w:r>
        <w:rPr>
          <w:sz w:val="24"/>
          <w:szCs w:val="24"/>
        </w:rPr>
        <w:t xml:space="preserve"> 18 augustus 2025)</w:t>
      </w:r>
    </w:p>
    <w:p w:rsidR="005E16E7" w:rsidP="005E16E7" w:rsidRDefault="005E16E7" w14:paraId="76EF7D7F" w14:textId="77777777">
      <w:pPr>
        <w:pStyle w:val="standaard-tekst"/>
      </w:pPr>
    </w:p>
    <w:p w:rsidR="005E16E7" w:rsidP="005E16E7" w:rsidRDefault="005E16E7" w14:paraId="2A8F9051" w14:textId="77777777">
      <w:pPr>
        <w:pStyle w:val="standaard-tekst"/>
      </w:pPr>
    </w:p>
    <w:p w:rsidR="005E16E7" w:rsidP="005E16E7" w:rsidRDefault="005E16E7" w14:paraId="003421B7" w14:textId="678802E9">
      <w:pPr>
        <w:pStyle w:val="standaard-tekst"/>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2633</w:t>
      </w:r>
    </w:p>
    <w:p w:rsidRPr="006539B4" w:rsidR="005E16E7" w:rsidP="005E16E7" w:rsidRDefault="005E16E7" w14:paraId="47674398" w14:textId="77777777">
      <w:pPr>
        <w:pStyle w:val="standaard-tekst"/>
      </w:pPr>
    </w:p>
    <w:p w:rsidR="005E16E7" w:rsidP="005E16E7" w:rsidRDefault="005E16E7" w14:paraId="2B60EA93" w14:textId="77777777">
      <w:pPr>
        <w:rPr>
          <w:szCs w:val="18"/>
        </w:rPr>
      </w:pPr>
      <w:r w:rsidRPr="006539B4">
        <w:rPr>
          <w:szCs w:val="18"/>
        </w:rPr>
        <w:t>Vraag 1</w:t>
      </w:r>
      <w:r w:rsidRPr="006539B4">
        <w:rPr>
          <w:szCs w:val="18"/>
        </w:rPr>
        <w:br/>
        <w:t>Hoe luidt uw reactie op het bericht ‘Radicalen vrijuit op universiteiten: gedragscodes blijken vooral papieren tijgers’?</w:t>
      </w:r>
    </w:p>
    <w:p w:rsidRPr="006539B4" w:rsidR="005E16E7" w:rsidP="005E16E7" w:rsidRDefault="005E16E7" w14:paraId="4013C233" w14:textId="77777777">
      <w:pPr>
        <w:rPr>
          <w:szCs w:val="18"/>
        </w:rPr>
      </w:pPr>
    </w:p>
    <w:p w:rsidR="005E16E7" w:rsidP="005E16E7" w:rsidRDefault="005E16E7" w14:paraId="510DEC3A" w14:textId="77777777">
      <w:pPr>
        <w:rPr>
          <w:szCs w:val="18"/>
        </w:rPr>
      </w:pPr>
      <w:r w:rsidRPr="006539B4">
        <w:rPr>
          <w:szCs w:val="18"/>
        </w:rPr>
        <w:t>Vraag 2</w:t>
      </w:r>
      <w:r w:rsidRPr="006539B4">
        <w:rPr>
          <w:szCs w:val="18"/>
        </w:rPr>
        <w:br/>
        <w:t>Herkent u het contrast dat in het artikel wordt geschetst tussen de gedragscodes van de universiteit en het intimiderende gedrag van studenten en medewerkers? Wat is uw reactie daarop?</w:t>
      </w:r>
    </w:p>
    <w:p w:rsidRPr="006539B4" w:rsidR="005E16E7" w:rsidP="005E16E7" w:rsidRDefault="005E16E7" w14:paraId="1E2C54C6" w14:textId="77777777">
      <w:pPr>
        <w:rPr>
          <w:szCs w:val="18"/>
        </w:rPr>
      </w:pPr>
    </w:p>
    <w:p w:rsidRPr="006539B4" w:rsidR="005E16E7" w:rsidP="005E16E7" w:rsidRDefault="005E16E7" w14:paraId="25BCF265" w14:textId="77777777">
      <w:pPr>
        <w:rPr>
          <w:szCs w:val="18"/>
        </w:rPr>
      </w:pPr>
      <w:r w:rsidRPr="006539B4">
        <w:rPr>
          <w:szCs w:val="18"/>
        </w:rPr>
        <w:t>Antwoord 1 en 2</w:t>
      </w:r>
    </w:p>
    <w:p w:rsidRPr="006539B4" w:rsidR="005E16E7" w:rsidP="005E16E7" w:rsidRDefault="005E16E7" w14:paraId="5CABC496" w14:textId="77777777">
      <w:pPr>
        <w:rPr>
          <w:rFonts w:eastAsia="Calibri"/>
          <w:szCs w:val="18"/>
        </w:rPr>
      </w:pPr>
      <w:r w:rsidRPr="006539B4">
        <w:rPr>
          <w:szCs w:val="18"/>
        </w:rPr>
        <w:t>Demonstraties moeten plaatsvinden binnen de grenzen van de wet, en op de campus ook binnen de huisregels en gedragscodes van de instelling. Ik verwacht van instellingen dat zij de naleving van hun huis- en gedragsregels bevorderen en ook handhaven, en wanneer dit niet lukt, maatregelen treffen. De inzet en proportionaliteit van de maatregelen hangt</w:t>
      </w:r>
      <w:r>
        <w:rPr>
          <w:szCs w:val="18"/>
        </w:rPr>
        <w:t xml:space="preserve"> af</w:t>
      </w:r>
      <w:r w:rsidRPr="006539B4">
        <w:rPr>
          <w:szCs w:val="18"/>
        </w:rPr>
        <w:t xml:space="preserve"> van de aard en ernst situatie en is ter beoordeling aan de instelling, ook vanuit hun rol als werkgever. Bij vermoedens van strafbare feiten doen de instellingen een beroep op de politie en doen zij aangifte.</w:t>
      </w:r>
      <w:r w:rsidRPr="006539B4">
        <w:rPr>
          <w:rFonts w:eastAsia="Calibri"/>
          <w:szCs w:val="18"/>
        </w:rPr>
        <w:t xml:space="preserve"> </w:t>
      </w:r>
      <w:r>
        <w:rPr>
          <w:rFonts w:eastAsia="Calibri"/>
          <w:szCs w:val="18"/>
        </w:rPr>
        <w:br/>
      </w:r>
      <w:r>
        <w:rPr>
          <w:rFonts w:eastAsia="Calibri"/>
          <w:szCs w:val="18"/>
        </w:rPr>
        <w:br/>
      </w:r>
      <w:r w:rsidRPr="006539B4">
        <w:rPr>
          <w:szCs w:val="18"/>
        </w:rPr>
        <w:t>Ik heb kennisgenomen van het bericht. Laat mij voorop stellen dat ik sta voor vrij en veilig onderwijs en onderzoek aan de universiteiten. De colleges van bestuur hebben de ingewikkelde taak om zowel de academische vrijheid, de vrijheid van meningsuiting en het demonstratierecht</w:t>
      </w:r>
      <w:r>
        <w:rPr>
          <w:szCs w:val="18"/>
        </w:rPr>
        <w:t>,</w:t>
      </w:r>
      <w:r w:rsidRPr="006539B4">
        <w:rPr>
          <w:szCs w:val="18"/>
        </w:rPr>
        <w:t xml:space="preserve"> als ook de veiligheid op de campus te waarborgen. De gedragscodes en huisregels van de instellingen beogen correct gedrag en de goede gang van zaken in de gebouwen en terreinen van de instelling. </w:t>
      </w:r>
      <w:r>
        <w:rPr>
          <w:szCs w:val="18"/>
        </w:rPr>
        <w:br/>
      </w:r>
    </w:p>
    <w:p w:rsidR="005E16E7" w:rsidP="005E16E7" w:rsidRDefault="005E16E7" w14:paraId="44A19BAA" w14:textId="77777777">
      <w:pPr>
        <w:rPr>
          <w:szCs w:val="18"/>
        </w:rPr>
      </w:pPr>
      <w:r w:rsidRPr="006539B4">
        <w:rPr>
          <w:szCs w:val="18"/>
        </w:rPr>
        <w:t>Vraag 3</w:t>
      </w:r>
      <w:r w:rsidRPr="006539B4">
        <w:rPr>
          <w:szCs w:val="18"/>
        </w:rPr>
        <w:br/>
        <w:t>Deelt u de typeringen van de universiteiten over incidenten als ‘het debat kan soms schuren’ en ‘demonstraties kunnen gepaard gaan met ongemak’?</w:t>
      </w:r>
    </w:p>
    <w:p w:rsidRPr="006539B4" w:rsidR="005E16E7" w:rsidP="005E16E7" w:rsidRDefault="005E16E7" w14:paraId="06DD9530" w14:textId="77777777">
      <w:pPr>
        <w:rPr>
          <w:szCs w:val="18"/>
        </w:rPr>
      </w:pPr>
    </w:p>
    <w:p w:rsidRPr="006539B4" w:rsidR="005E16E7" w:rsidP="005E16E7" w:rsidRDefault="005E16E7" w14:paraId="7DB11066" w14:textId="77777777">
      <w:pPr>
        <w:rPr>
          <w:szCs w:val="18"/>
        </w:rPr>
      </w:pPr>
      <w:r w:rsidRPr="006539B4">
        <w:rPr>
          <w:szCs w:val="18"/>
        </w:rPr>
        <w:lastRenderedPageBreak/>
        <w:t>Antwoord 3</w:t>
      </w:r>
      <w:r w:rsidRPr="006539B4">
        <w:rPr>
          <w:szCs w:val="18"/>
        </w:rPr>
        <w:br/>
        <w:t xml:space="preserve">In het onderwijs, onderzoek en bij verschillende activiteiten die op instellingen georganiseerd worden mag van docenten worden verwacht dat zij zich bewust zijn van hun voorbeeldfunctie en dat zij zorgen voor ruimte voor diversiteit aan inzichten. </w:t>
      </w:r>
      <w:r w:rsidRPr="006539B4">
        <w:rPr>
          <w:rFonts w:eastAsia="Calibri"/>
          <w:szCs w:val="18"/>
        </w:rPr>
        <w:t>Ik verwacht dat instellingen hun verantwoordelijkheid nemen in de zorg voor een veilige leer- en werkomgeving voor studenten en medewerkers en hierbij het</w:t>
      </w:r>
      <w:r>
        <w:rPr>
          <w:rFonts w:eastAsia="Calibri"/>
          <w:szCs w:val="18"/>
        </w:rPr>
        <w:t xml:space="preserve"> reguliere</w:t>
      </w:r>
      <w:r w:rsidRPr="006539B4">
        <w:rPr>
          <w:rFonts w:eastAsia="Calibri"/>
          <w:szCs w:val="18"/>
        </w:rPr>
        <w:t xml:space="preserve"> instrumentarium inzetten dat</w:t>
      </w:r>
      <w:r>
        <w:rPr>
          <w:rFonts w:eastAsia="Calibri"/>
          <w:szCs w:val="18"/>
        </w:rPr>
        <w:t xml:space="preserve"> zij</w:t>
      </w:r>
      <w:r w:rsidRPr="006539B4">
        <w:rPr>
          <w:rFonts w:eastAsia="Calibri"/>
          <w:szCs w:val="18"/>
        </w:rPr>
        <w:t xml:space="preserve"> hiervoor beschikbaar</w:t>
      </w:r>
      <w:r>
        <w:rPr>
          <w:rFonts w:eastAsia="Calibri"/>
          <w:szCs w:val="18"/>
        </w:rPr>
        <w:t xml:space="preserve"> hebben,</w:t>
      </w:r>
      <w:r w:rsidRPr="006539B4">
        <w:rPr>
          <w:rFonts w:eastAsia="Calibri"/>
          <w:szCs w:val="18"/>
        </w:rPr>
        <w:t xml:space="preserve"> variërend van aanspreken, berispen tot en met ontslag en aangifte. De inzet en proportionaliteit van de maatregelen hangt af van de aard en ernst van de situatie, dit ter beoordeling door de instelling als werkgever. </w:t>
      </w:r>
    </w:p>
    <w:p w:rsidRPr="006539B4" w:rsidR="005E16E7" w:rsidP="005E16E7" w:rsidRDefault="005E16E7" w14:paraId="0CCF2194" w14:textId="77777777">
      <w:pPr>
        <w:rPr>
          <w:szCs w:val="18"/>
        </w:rPr>
      </w:pPr>
      <w:r>
        <w:rPr>
          <w:szCs w:val="18"/>
        </w:rPr>
        <w:t>De uitspraak dat d</w:t>
      </w:r>
      <w:r w:rsidRPr="006539B4">
        <w:rPr>
          <w:szCs w:val="18"/>
        </w:rPr>
        <w:t>emonstraties gepaard kunnen gaan met ongemak</w:t>
      </w:r>
      <w:r>
        <w:rPr>
          <w:szCs w:val="18"/>
        </w:rPr>
        <w:t>,</w:t>
      </w:r>
      <w:r w:rsidRPr="006539B4">
        <w:rPr>
          <w:szCs w:val="18"/>
        </w:rPr>
        <w:t xml:space="preserve"> </w:t>
      </w:r>
      <w:r>
        <w:rPr>
          <w:szCs w:val="18"/>
        </w:rPr>
        <w:t xml:space="preserve">hangt samen met het feit dat </w:t>
      </w:r>
      <w:r w:rsidRPr="006539B4">
        <w:rPr>
          <w:szCs w:val="18"/>
        </w:rPr>
        <w:t xml:space="preserve">het demonstratierecht een grondrecht is en </w:t>
      </w:r>
      <w:r>
        <w:rPr>
          <w:szCs w:val="18"/>
        </w:rPr>
        <w:t xml:space="preserve">dat daaruit voortkomt dat </w:t>
      </w:r>
      <w:r w:rsidRPr="006539B4">
        <w:rPr>
          <w:szCs w:val="18"/>
        </w:rPr>
        <w:t>demonstraties enige overlast en hinder mogen veroorzaken</w:t>
      </w:r>
      <w:r>
        <w:rPr>
          <w:szCs w:val="18"/>
        </w:rPr>
        <w:t>. Ongemak en hinder zijn dus</w:t>
      </w:r>
      <w:r w:rsidRPr="006539B4">
        <w:rPr>
          <w:szCs w:val="18"/>
        </w:rPr>
        <w:t xml:space="preserve"> niet altijd volledig te voorkomen. De inhoud van een demonstratie doet er daarbij niet toe. Het demonstratierecht is echter niet onbegrensd. Demonstraties mogen niet uitmonden in geweld, intimidatie van studenten en medewerkers of in antisemitisme.</w:t>
      </w:r>
      <w:r w:rsidRPr="006539B4">
        <w:rPr>
          <w:rFonts w:eastAsia="Calibri"/>
          <w:szCs w:val="18"/>
        </w:rPr>
        <w:t xml:space="preserve"> Opruiing en (het aanzetten tot) discriminatie zijn bij wet strafbaar gesteld. </w:t>
      </w:r>
      <w:r w:rsidRPr="006539B4">
        <w:rPr>
          <w:szCs w:val="18"/>
        </w:rPr>
        <w:t>Bij vermoedens van strafbare feiten doen de instellingen een beroep op de politie en doen zij aangifte.</w:t>
      </w:r>
      <w:r w:rsidRPr="006539B4">
        <w:rPr>
          <w:rFonts w:eastAsia="Calibri"/>
          <w:szCs w:val="18"/>
        </w:rPr>
        <w:t xml:space="preserve"> </w:t>
      </w:r>
      <w:r w:rsidRPr="006539B4">
        <w:rPr>
          <w:rFonts w:eastAsia="Calibri"/>
          <w:szCs w:val="18"/>
        </w:rPr>
        <w:br/>
      </w:r>
    </w:p>
    <w:p w:rsidR="005E16E7" w:rsidP="005E16E7" w:rsidRDefault="005E16E7" w14:paraId="0147DC72" w14:textId="77777777">
      <w:pPr>
        <w:rPr>
          <w:szCs w:val="18"/>
        </w:rPr>
      </w:pPr>
      <w:r w:rsidRPr="006539B4">
        <w:rPr>
          <w:szCs w:val="18"/>
        </w:rPr>
        <w:t>Vraag 4</w:t>
      </w:r>
      <w:r w:rsidRPr="006539B4">
        <w:rPr>
          <w:szCs w:val="18"/>
        </w:rPr>
        <w:br/>
        <w:t>Kunt u toelichten in hoeverre de handhaving van gedragscodes door universiteiten door u wordt gevolgd of geëvalueerd?</w:t>
      </w:r>
    </w:p>
    <w:p w:rsidRPr="006539B4" w:rsidR="005E16E7" w:rsidP="005E16E7" w:rsidRDefault="005E16E7" w14:paraId="3CE0C54D" w14:textId="77777777">
      <w:pPr>
        <w:rPr>
          <w:szCs w:val="18"/>
        </w:rPr>
      </w:pPr>
    </w:p>
    <w:p w:rsidR="005E16E7" w:rsidP="005E16E7" w:rsidRDefault="005E16E7" w14:paraId="15FDE42F" w14:textId="77777777">
      <w:pPr>
        <w:rPr>
          <w:szCs w:val="18"/>
        </w:rPr>
      </w:pPr>
      <w:r w:rsidRPr="006539B4">
        <w:rPr>
          <w:szCs w:val="18"/>
        </w:rPr>
        <w:t>Antwoord 4</w:t>
      </w:r>
      <w:r w:rsidRPr="006539B4">
        <w:rPr>
          <w:szCs w:val="18"/>
        </w:rPr>
        <w:br/>
      </w:r>
      <w:r>
        <w:rPr>
          <w:szCs w:val="18"/>
        </w:rPr>
        <w:t xml:space="preserve">Instellingen gaan zelf over het opstellen van huisregels en gedragscodes en hun omgang daaromtrent. </w:t>
      </w:r>
      <w:r w:rsidRPr="006539B4">
        <w:rPr>
          <w:szCs w:val="18"/>
        </w:rPr>
        <w:t xml:space="preserve">Daarbij hoort ook het evalueren van de klachten over het niet naleven van deze </w:t>
      </w:r>
      <w:r>
        <w:rPr>
          <w:szCs w:val="18"/>
        </w:rPr>
        <w:t xml:space="preserve">huisregels en </w:t>
      </w:r>
      <w:r w:rsidRPr="006539B4">
        <w:rPr>
          <w:szCs w:val="18"/>
        </w:rPr>
        <w:t xml:space="preserve">gedragscodes. In het kader van de integrale aanpak sociale veiligheid doe ik momenteel onderzoek naar de werking van de klacht- en meldprocedures die instellingen hebben ingericht en waar deze kunnen worden verbeterd. Over de uitkomst hiervan wordt uw Kamer rond de zomer geïnformeerd. </w:t>
      </w:r>
    </w:p>
    <w:p w:rsidRPr="006539B4" w:rsidR="005E16E7" w:rsidP="005E16E7" w:rsidRDefault="005E16E7" w14:paraId="48278969" w14:textId="77777777">
      <w:pPr>
        <w:rPr>
          <w:szCs w:val="18"/>
        </w:rPr>
      </w:pPr>
    </w:p>
    <w:p w:rsidRPr="006539B4" w:rsidR="005E16E7" w:rsidP="005E16E7" w:rsidRDefault="005E16E7" w14:paraId="2FCF4CAC" w14:textId="77777777">
      <w:pPr>
        <w:rPr>
          <w:szCs w:val="18"/>
        </w:rPr>
      </w:pPr>
      <w:r w:rsidRPr="006539B4">
        <w:rPr>
          <w:szCs w:val="18"/>
        </w:rPr>
        <w:t xml:space="preserve">Ook spreek ik met bestuurders en koepelorganisaties over de borging van de veiligheid op de instellingen, onder meer in het kader van de moties en toezeggingen die voortkomen uit het plenair debat over veiligheid van 23 januari </w:t>
      </w:r>
      <w:r>
        <w:rPr>
          <w:szCs w:val="18"/>
        </w:rPr>
        <w:t>jongstleden</w:t>
      </w:r>
      <w:r w:rsidRPr="006539B4">
        <w:rPr>
          <w:szCs w:val="18"/>
        </w:rPr>
        <w:t xml:space="preserve">. </w:t>
      </w:r>
      <w:r>
        <w:rPr>
          <w:szCs w:val="18"/>
        </w:rPr>
        <w:t>Voor de zomer heb ik uw Kamer hierover geïnformeerd</w:t>
      </w:r>
      <w:r w:rsidRPr="006539B4">
        <w:rPr>
          <w:szCs w:val="18"/>
        </w:rPr>
        <w:t xml:space="preserve"> per brief</w:t>
      </w:r>
      <w:r>
        <w:rPr>
          <w:szCs w:val="18"/>
        </w:rPr>
        <w:t>.</w:t>
      </w:r>
      <w:r>
        <w:rPr>
          <w:rStyle w:val="Voetnootmarkering"/>
          <w:szCs w:val="18"/>
        </w:rPr>
        <w:footnoteReference w:id="1"/>
      </w:r>
      <w:r>
        <w:rPr>
          <w:szCs w:val="18"/>
        </w:rPr>
        <w:t xml:space="preserve"> In deze brief </w:t>
      </w:r>
      <w:r w:rsidRPr="006539B4">
        <w:rPr>
          <w:szCs w:val="18"/>
        </w:rPr>
        <w:t xml:space="preserve">ga ik in op de stappen </w:t>
      </w:r>
      <w:r>
        <w:rPr>
          <w:szCs w:val="18"/>
        </w:rPr>
        <w:t>die de</w:t>
      </w:r>
      <w:r w:rsidRPr="006539B4">
        <w:rPr>
          <w:szCs w:val="18"/>
        </w:rPr>
        <w:t xml:space="preserve"> instellingen </w:t>
      </w:r>
      <w:r>
        <w:rPr>
          <w:szCs w:val="18"/>
        </w:rPr>
        <w:t xml:space="preserve">en ik </w:t>
      </w:r>
      <w:r w:rsidRPr="006539B4">
        <w:rPr>
          <w:szCs w:val="18"/>
        </w:rPr>
        <w:t xml:space="preserve">ondernemen om de </w:t>
      </w:r>
      <w:r w:rsidRPr="006539B4">
        <w:rPr>
          <w:szCs w:val="18"/>
        </w:rPr>
        <w:lastRenderedPageBreak/>
        <w:t>veiligheid te borgen.</w:t>
      </w:r>
      <w:r w:rsidRPr="006539B4">
        <w:rPr>
          <w:szCs w:val="18"/>
        </w:rPr>
        <w:br/>
      </w:r>
    </w:p>
    <w:p w:rsidR="005E16E7" w:rsidP="005E16E7" w:rsidRDefault="005E16E7" w14:paraId="3EBD3FEC" w14:textId="77777777">
      <w:pPr>
        <w:rPr>
          <w:szCs w:val="18"/>
        </w:rPr>
      </w:pPr>
      <w:r w:rsidRPr="006539B4">
        <w:rPr>
          <w:szCs w:val="18"/>
        </w:rPr>
        <w:t>Vraag 5</w:t>
      </w:r>
      <w:r w:rsidRPr="006539B4">
        <w:rPr>
          <w:szCs w:val="18"/>
        </w:rPr>
        <w:br/>
        <w:t>Op welke manier spreekt u instellingen aan op eventuele nalatigheid ten aanzien van sociale veiligheid?</w:t>
      </w:r>
    </w:p>
    <w:p w:rsidRPr="006539B4" w:rsidR="005E16E7" w:rsidP="005E16E7" w:rsidRDefault="005E16E7" w14:paraId="7D4A079D" w14:textId="77777777">
      <w:pPr>
        <w:rPr>
          <w:szCs w:val="18"/>
        </w:rPr>
      </w:pPr>
    </w:p>
    <w:p w:rsidR="005E16E7" w:rsidP="005E16E7" w:rsidRDefault="005E16E7" w14:paraId="1C130BCC" w14:textId="77777777">
      <w:pPr>
        <w:rPr>
          <w:szCs w:val="18"/>
        </w:rPr>
      </w:pPr>
      <w:r w:rsidRPr="006539B4">
        <w:rPr>
          <w:szCs w:val="18"/>
        </w:rPr>
        <w:t>Antwoord 5</w:t>
      </w:r>
      <w:r w:rsidRPr="006539B4">
        <w:rPr>
          <w:szCs w:val="18"/>
        </w:rPr>
        <w:br/>
        <w:t>In de brief die ik</w:t>
      </w:r>
      <w:r>
        <w:rPr>
          <w:szCs w:val="18"/>
        </w:rPr>
        <w:t xml:space="preserve"> voor de zomer met uw Kamer heb gedeeld</w:t>
      </w:r>
      <w:r w:rsidRPr="006539B4">
        <w:rPr>
          <w:szCs w:val="18"/>
        </w:rPr>
        <w:t xml:space="preserve"> over de veiligheid op de universiteiten en hogescholen</w:t>
      </w:r>
      <w:r>
        <w:rPr>
          <w:rStyle w:val="Voetnootmarkering"/>
          <w:szCs w:val="18"/>
        </w:rPr>
        <w:footnoteReference w:id="2"/>
      </w:r>
      <w:r w:rsidRPr="006539B4">
        <w:rPr>
          <w:szCs w:val="18"/>
        </w:rPr>
        <w:t xml:space="preserve">, ga ik in op de interventiemogelijkheden wanneer de veiligheid op de instellingen in het geding komt. Ik licht dit hieronder tevens kort toe. </w:t>
      </w:r>
    </w:p>
    <w:p w:rsidRPr="006539B4" w:rsidR="005E16E7" w:rsidP="005E16E7" w:rsidRDefault="005E16E7" w14:paraId="21B84B08" w14:textId="77777777">
      <w:pPr>
        <w:rPr>
          <w:szCs w:val="18"/>
        </w:rPr>
      </w:pPr>
    </w:p>
    <w:p w:rsidRPr="006539B4" w:rsidR="005E16E7" w:rsidP="005E16E7" w:rsidRDefault="005E16E7" w14:paraId="3623350B" w14:textId="77777777">
      <w:pPr>
        <w:rPr>
          <w:szCs w:val="18"/>
        </w:rPr>
      </w:pPr>
      <w:r w:rsidRPr="006539B4">
        <w:rPr>
          <w:szCs w:val="18"/>
        </w:rPr>
        <w:t xml:space="preserve">Het is aan de instellingsbesturen om te zorgen voor een veilige leer- en werkomgeving voor studenten en medewerkers, als randvoorwaarde voor de continuïteit en kwaliteit van het onderwijs en onderzoek en in naleving van de branchecodes goed bestuur waaraan universiteiten en hogescholen zich gecommitteerd hebben. Het </w:t>
      </w:r>
      <w:r>
        <w:rPr>
          <w:szCs w:val="18"/>
        </w:rPr>
        <w:t>c</w:t>
      </w:r>
      <w:r w:rsidRPr="006539B4">
        <w:rPr>
          <w:szCs w:val="18"/>
        </w:rPr>
        <w:t xml:space="preserve">ollege van </w:t>
      </w:r>
      <w:r>
        <w:rPr>
          <w:szCs w:val="18"/>
        </w:rPr>
        <w:t>b</w:t>
      </w:r>
      <w:r w:rsidRPr="006539B4">
        <w:rPr>
          <w:szCs w:val="18"/>
        </w:rPr>
        <w:t xml:space="preserve">estuur moet zorgen dat het in staat is deze taak te vervullen en maakt hiervoor beleid. Vanuit haar verantwoordelijkheid als werkgever en toezichthouder op het </w:t>
      </w:r>
      <w:r>
        <w:rPr>
          <w:szCs w:val="18"/>
        </w:rPr>
        <w:t>c</w:t>
      </w:r>
      <w:r w:rsidRPr="006539B4">
        <w:rPr>
          <w:szCs w:val="18"/>
        </w:rPr>
        <w:t xml:space="preserve">ollege van </w:t>
      </w:r>
      <w:r>
        <w:rPr>
          <w:szCs w:val="18"/>
        </w:rPr>
        <w:t>b</w:t>
      </w:r>
      <w:r w:rsidRPr="006539B4">
        <w:rPr>
          <w:szCs w:val="18"/>
        </w:rPr>
        <w:t xml:space="preserve">estuur, dient de </w:t>
      </w:r>
      <w:r>
        <w:rPr>
          <w:szCs w:val="18"/>
        </w:rPr>
        <w:t>raad van toezicht</w:t>
      </w:r>
      <w:r w:rsidRPr="006539B4">
        <w:rPr>
          <w:szCs w:val="18"/>
        </w:rPr>
        <w:t xml:space="preserve"> op te treden in situaties dat het </w:t>
      </w:r>
      <w:r>
        <w:rPr>
          <w:szCs w:val="18"/>
        </w:rPr>
        <w:t>c</w:t>
      </w:r>
      <w:r w:rsidRPr="006539B4">
        <w:rPr>
          <w:szCs w:val="18"/>
        </w:rPr>
        <w:t xml:space="preserve">ollege van </w:t>
      </w:r>
      <w:r>
        <w:rPr>
          <w:szCs w:val="18"/>
        </w:rPr>
        <w:t>b</w:t>
      </w:r>
      <w:r w:rsidRPr="006539B4">
        <w:rPr>
          <w:szCs w:val="18"/>
        </w:rPr>
        <w:t xml:space="preserve">estuur de zorg voor een veilige leer- en werkomgeving niet naar behoren heeft ingevuld. Indien nodig voer ik het gesprek met een </w:t>
      </w:r>
      <w:r>
        <w:rPr>
          <w:szCs w:val="18"/>
        </w:rPr>
        <w:t>raad van toezicht</w:t>
      </w:r>
      <w:r w:rsidRPr="006539B4">
        <w:rPr>
          <w:szCs w:val="18"/>
        </w:rPr>
        <w:t xml:space="preserve"> om mij ervan te verzekeren dat zij haar verantwoordelijkheid neemt. De Inspectie van het Onderwijs (hierna: inspectie) kan op basis van signalen onderzoek doen en indien nodig herstelopdrachten geven aan het bestuur van een instelling. Wanneer de inspectie na gedegen onderzoek tot de conclusie komt dat er sprake is van wanbeheer in de zin van de WHW</w:t>
      </w:r>
      <w:r w:rsidRPr="006539B4">
        <w:rPr>
          <w:rStyle w:val="Voetnootmarkering"/>
          <w:szCs w:val="18"/>
        </w:rPr>
        <w:footnoteReference w:id="3"/>
      </w:r>
      <w:r w:rsidRPr="006539B4">
        <w:rPr>
          <w:szCs w:val="18"/>
        </w:rPr>
        <w:t xml:space="preserve">, kan ik overgaan tot het geven van een aanwijzing aan de </w:t>
      </w:r>
      <w:r>
        <w:rPr>
          <w:szCs w:val="18"/>
        </w:rPr>
        <w:t>raad van toezicht</w:t>
      </w:r>
      <w:r w:rsidRPr="006539B4">
        <w:rPr>
          <w:szCs w:val="18"/>
        </w:rPr>
        <w:t>.</w:t>
      </w:r>
      <w:r w:rsidRPr="006539B4">
        <w:rPr>
          <w:szCs w:val="18"/>
        </w:rPr>
        <w:br/>
      </w:r>
      <w:r w:rsidRPr="006539B4">
        <w:rPr>
          <w:szCs w:val="18"/>
        </w:rPr>
        <w:br/>
        <w:t xml:space="preserve">Ik werk momenteel aan een wetsvoorstel zorgplicht veiligheid in het vervolgonderwijs. Dit wetsvoorstel voorziet in versterking van toezicht op </w:t>
      </w:r>
      <w:r>
        <w:rPr>
          <w:szCs w:val="18"/>
        </w:rPr>
        <w:t xml:space="preserve">(sociale) </w:t>
      </w:r>
      <w:r w:rsidRPr="006539B4">
        <w:rPr>
          <w:szCs w:val="18"/>
        </w:rPr>
        <w:t xml:space="preserve">veiligheidsbeleid van instellingen. Doel van het beleid is dat er continu aandacht is voor een veilige leer- en werkomgeving. Het voorkomen van onveilige situaties en hoe daarbij te handelen als deze toch optreden, maakt hier onderdeel van uit. Bij een acute situatie blijft het </w:t>
      </w:r>
      <w:r>
        <w:rPr>
          <w:szCs w:val="18"/>
        </w:rPr>
        <w:t>c</w:t>
      </w:r>
      <w:r w:rsidRPr="006539B4">
        <w:rPr>
          <w:szCs w:val="18"/>
        </w:rPr>
        <w:t xml:space="preserve">ollege van </w:t>
      </w:r>
      <w:r>
        <w:rPr>
          <w:szCs w:val="18"/>
        </w:rPr>
        <w:t>b</w:t>
      </w:r>
      <w:r w:rsidRPr="006539B4">
        <w:rPr>
          <w:szCs w:val="18"/>
        </w:rPr>
        <w:t>estuur aan zet, maar op het veiligheidsbeleid, inclusief de monitoring en evaluatie ervan, is na de invoer</w:t>
      </w:r>
      <w:r>
        <w:rPr>
          <w:szCs w:val="18"/>
        </w:rPr>
        <w:t>ing</w:t>
      </w:r>
      <w:r w:rsidRPr="006539B4">
        <w:rPr>
          <w:szCs w:val="18"/>
        </w:rPr>
        <w:t xml:space="preserve"> van de wettelijke zorgplicht veiligheid steviger toezicht vanuit de </w:t>
      </w:r>
      <w:r>
        <w:rPr>
          <w:szCs w:val="18"/>
        </w:rPr>
        <w:t>raad van toezicht</w:t>
      </w:r>
      <w:r w:rsidRPr="006539B4">
        <w:rPr>
          <w:szCs w:val="18"/>
        </w:rPr>
        <w:t xml:space="preserve"> en de inspectie en stevigere </w:t>
      </w:r>
      <w:r w:rsidRPr="006539B4">
        <w:rPr>
          <w:i/>
          <w:iCs/>
          <w:szCs w:val="18"/>
        </w:rPr>
        <w:t>checks and balances</w:t>
      </w:r>
      <w:r w:rsidRPr="006539B4">
        <w:rPr>
          <w:szCs w:val="18"/>
        </w:rPr>
        <w:t xml:space="preserve"> door </w:t>
      </w:r>
      <w:r>
        <w:rPr>
          <w:szCs w:val="18"/>
        </w:rPr>
        <w:t xml:space="preserve">de </w:t>
      </w:r>
      <w:r w:rsidRPr="006539B4">
        <w:rPr>
          <w:szCs w:val="18"/>
        </w:rPr>
        <w:t xml:space="preserve">medezeggenschap. Het </w:t>
      </w:r>
      <w:r w:rsidRPr="006539B4">
        <w:rPr>
          <w:szCs w:val="18"/>
        </w:rPr>
        <w:lastRenderedPageBreak/>
        <w:t>wetsvoorstel gaat naar verwachting dit najaar in internetconsultatie.</w:t>
      </w:r>
      <w:r w:rsidRPr="006539B4">
        <w:rPr>
          <w:szCs w:val="18"/>
        </w:rPr>
        <w:br/>
      </w:r>
    </w:p>
    <w:p w:rsidR="005E16E7" w:rsidP="005E16E7" w:rsidRDefault="005E16E7" w14:paraId="7FB6B73E" w14:textId="77777777">
      <w:pPr>
        <w:rPr>
          <w:szCs w:val="18"/>
        </w:rPr>
      </w:pPr>
      <w:r w:rsidRPr="006539B4">
        <w:rPr>
          <w:szCs w:val="18"/>
        </w:rPr>
        <w:t>Vraag 6</w:t>
      </w:r>
      <w:r w:rsidRPr="006539B4">
        <w:rPr>
          <w:szCs w:val="18"/>
        </w:rPr>
        <w:br/>
        <w:t>Kunt u garanderen dat de universiteiten een veilige plek zijn om te werken en te studeren en welke acties onderneemt u?</w:t>
      </w:r>
    </w:p>
    <w:p w:rsidRPr="006539B4" w:rsidR="005E16E7" w:rsidP="005E16E7" w:rsidRDefault="005E16E7" w14:paraId="1FA0B3F8" w14:textId="77777777">
      <w:pPr>
        <w:rPr>
          <w:szCs w:val="18"/>
        </w:rPr>
      </w:pPr>
    </w:p>
    <w:p w:rsidR="005E16E7" w:rsidP="005E16E7" w:rsidRDefault="005E16E7" w14:paraId="7325010A" w14:textId="77777777">
      <w:pPr>
        <w:rPr>
          <w:szCs w:val="18"/>
        </w:rPr>
      </w:pPr>
      <w:r w:rsidRPr="006539B4">
        <w:rPr>
          <w:szCs w:val="18"/>
        </w:rPr>
        <w:t>Vraag 7</w:t>
      </w:r>
      <w:r w:rsidRPr="006539B4">
        <w:rPr>
          <w:szCs w:val="18"/>
        </w:rPr>
        <w:br/>
        <w:t>Welke concrete maatregelen zijn er getroffen of worden overwogen om de veiligheid van studenten en medewerkers beter te waarborgen op universiteiten?</w:t>
      </w:r>
    </w:p>
    <w:p w:rsidR="005E16E7" w:rsidP="005E16E7" w:rsidRDefault="005E16E7" w14:paraId="6DA5D591" w14:textId="77777777">
      <w:pPr>
        <w:rPr>
          <w:szCs w:val="18"/>
        </w:rPr>
      </w:pPr>
    </w:p>
    <w:p w:rsidRPr="006539B4" w:rsidR="005E16E7" w:rsidP="005E16E7" w:rsidRDefault="005E16E7" w14:paraId="0DFEFC1D" w14:textId="77777777">
      <w:pPr>
        <w:rPr>
          <w:szCs w:val="18"/>
        </w:rPr>
      </w:pPr>
      <w:r w:rsidRPr="006539B4">
        <w:rPr>
          <w:rFonts w:eastAsia="Calibri"/>
          <w:szCs w:val="18"/>
        </w:rPr>
        <w:t>Antwoord 6</w:t>
      </w:r>
      <w:r>
        <w:rPr>
          <w:rFonts w:eastAsia="Calibri"/>
          <w:szCs w:val="18"/>
        </w:rPr>
        <w:t xml:space="preserve"> en 7</w:t>
      </w:r>
      <w:r w:rsidRPr="006539B4">
        <w:rPr>
          <w:rFonts w:eastAsia="Calibri"/>
          <w:szCs w:val="18"/>
        </w:rPr>
        <w:br/>
        <w:t>Vanuit mijn stelselverantwoordelijkheid werk ik aan het bevorderen van een veilige leer- en werkomgeving op alle instellingen. Mijn rol als minister is om instellingen in staat te stellen hierop hun verantwoordelijkheid te nemen. Ik noch de instellingen kan daarbij volledig</w:t>
      </w:r>
      <w:r>
        <w:rPr>
          <w:rFonts w:eastAsia="Calibri"/>
          <w:szCs w:val="18"/>
        </w:rPr>
        <w:t>e</w:t>
      </w:r>
      <w:r w:rsidRPr="006539B4">
        <w:rPr>
          <w:rFonts w:eastAsia="Calibri"/>
          <w:szCs w:val="18"/>
        </w:rPr>
        <w:t xml:space="preserve"> veiligheid garanderen. Het gaat er om dat we zo goed mogelijk gesteld staan om de veiligheid voor iedereen die studeert of werkt op de instellingen te borgen</w:t>
      </w:r>
      <w:r>
        <w:rPr>
          <w:rFonts w:eastAsia="Calibri"/>
          <w:szCs w:val="18"/>
        </w:rPr>
        <w:t xml:space="preserve"> door veiligheidsrisico’s zoveel mogelijk te voorkomen. H</w:t>
      </w:r>
      <w:r w:rsidRPr="006539B4">
        <w:rPr>
          <w:rFonts w:eastAsia="Calibri"/>
          <w:szCs w:val="18"/>
        </w:rPr>
        <w:t xml:space="preserve">ier werken de instellingen </w:t>
      </w:r>
      <w:r>
        <w:rPr>
          <w:rFonts w:eastAsia="Calibri"/>
          <w:szCs w:val="18"/>
        </w:rPr>
        <w:t xml:space="preserve">en ik </w:t>
      </w:r>
      <w:r w:rsidRPr="006539B4">
        <w:rPr>
          <w:rFonts w:eastAsia="Calibri"/>
          <w:szCs w:val="18"/>
        </w:rPr>
        <w:t>blijvend aan.</w:t>
      </w:r>
      <w:r w:rsidRPr="006539B4">
        <w:rPr>
          <w:szCs w:val="18"/>
        </w:rPr>
        <w:t xml:space="preserve"> </w:t>
      </w:r>
    </w:p>
    <w:p w:rsidR="005E16E7" w:rsidP="005E16E7" w:rsidRDefault="005E16E7" w14:paraId="0A1A8F53" w14:textId="77777777">
      <w:pPr>
        <w:rPr>
          <w:rFonts w:eastAsia="Calibri"/>
          <w:szCs w:val="18"/>
        </w:rPr>
      </w:pPr>
    </w:p>
    <w:p w:rsidRPr="006539B4" w:rsidR="005E16E7" w:rsidP="005E16E7" w:rsidRDefault="005E16E7" w14:paraId="37F90BC4" w14:textId="77777777">
      <w:pPr>
        <w:rPr>
          <w:szCs w:val="18"/>
        </w:rPr>
      </w:pPr>
      <w:r w:rsidRPr="006539B4">
        <w:rPr>
          <w:rFonts w:eastAsia="Calibri"/>
          <w:szCs w:val="18"/>
        </w:rPr>
        <w:t xml:space="preserve">Ik zet daarbij op verschillende manieren in op het bevorderen van een veilige leer- en werkomgeving op de instellingen. Dit doe ik, samen met de sector, door </w:t>
      </w:r>
      <w:r>
        <w:rPr>
          <w:rFonts w:eastAsia="Calibri"/>
          <w:szCs w:val="18"/>
        </w:rPr>
        <w:t>de</w:t>
      </w:r>
      <w:r w:rsidRPr="006539B4">
        <w:rPr>
          <w:rFonts w:eastAsia="Calibri"/>
          <w:szCs w:val="18"/>
        </w:rPr>
        <w:t xml:space="preserve"> integrale aanpak sociale veiligheid en de nationale strategie antisemitismebestrijding. Zo loopt er momenteel een onderzoek naar de wijze waarop de klacht- en meldvoorzieningen kunnen worden verbeterd. Daarbij kijk ik ook naar het handelingsperspectief bij meldingen van antisemitisme. Daarnaast werk ik aan een handreiking voor vertrouwenspersonen over het herkennen van en omgaan met antisemitisme. Deze is voor de zomer klaar. In het kader van de Nationale Strategie Bestrijding Antisemitisme is de Taskforce antisemitismebestrijding </w:t>
      </w:r>
      <w:r w:rsidRPr="006539B4">
        <w:rPr>
          <w:szCs w:val="18"/>
        </w:rPr>
        <w:t xml:space="preserve">aan de slag met het doen van gerichte voorstellen voor de maatregelen ten behoeve van de veiligheid van Joden, in het bijzonder de veiligheid van Joodse studenten op hogescholen en universiteiten. Ook werk ik momenteel aan een wettelijke zorgplicht veiligheid in het </w:t>
      </w:r>
      <w:r w:rsidRPr="006539B4">
        <w:rPr>
          <w:rFonts w:eastAsia="Calibri"/>
          <w:szCs w:val="18"/>
        </w:rPr>
        <w:t>vervolgonderwijs. Daarnaast blijf ik</w:t>
      </w:r>
      <w:r w:rsidRPr="006539B4">
        <w:rPr>
          <w:szCs w:val="18"/>
        </w:rPr>
        <w:t xml:space="preserve"> in gesprek met bestuurders van instellingen en diverse partijen zoals de NCAB en de Moslim Studenten Associatie over de veiligheid van studenten en medewerkers. </w:t>
      </w:r>
      <w:r w:rsidRPr="006539B4">
        <w:rPr>
          <w:szCs w:val="18"/>
        </w:rPr>
        <w:br/>
      </w:r>
    </w:p>
    <w:p w:rsidRPr="006539B4" w:rsidR="005E16E7" w:rsidP="005E16E7" w:rsidRDefault="005E16E7" w14:paraId="684522E9" w14:textId="77777777">
      <w:pPr>
        <w:rPr>
          <w:szCs w:val="18"/>
        </w:rPr>
      </w:pPr>
      <w:r>
        <w:rPr>
          <w:rFonts w:eastAsia="Calibri"/>
          <w:szCs w:val="18"/>
        </w:rPr>
        <w:t xml:space="preserve">Voor de zomer heb ik uw Kamer per brief geïnformeerd </w:t>
      </w:r>
      <w:r w:rsidRPr="006539B4">
        <w:rPr>
          <w:rFonts w:eastAsia="Calibri"/>
          <w:szCs w:val="18"/>
        </w:rPr>
        <w:t xml:space="preserve">over de moties en toezeggingen voortkomend uit het plenair debat van 23 januari jl. over de veiligheid </w:t>
      </w:r>
      <w:r w:rsidRPr="006539B4">
        <w:rPr>
          <w:rFonts w:eastAsia="Calibri"/>
          <w:szCs w:val="18"/>
        </w:rPr>
        <w:lastRenderedPageBreak/>
        <w:t>op de instellingen en welke acties ik onderneem</w:t>
      </w:r>
      <w:r>
        <w:rPr>
          <w:rFonts w:eastAsia="Calibri"/>
          <w:szCs w:val="18"/>
        </w:rPr>
        <w:t>.</w:t>
      </w:r>
      <w:r>
        <w:rPr>
          <w:rStyle w:val="Voetnootmarkering"/>
          <w:rFonts w:eastAsia="Calibri"/>
          <w:szCs w:val="18"/>
        </w:rPr>
        <w:footnoteReference w:id="4"/>
      </w:r>
      <w:r w:rsidRPr="006539B4">
        <w:rPr>
          <w:rFonts w:eastAsia="Calibri"/>
          <w:szCs w:val="18"/>
        </w:rPr>
        <w:br/>
      </w:r>
    </w:p>
    <w:p w:rsidR="005E16E7" w:rsidP="005E16E7" w:rsidRDefault="005E16E7" w14:paraId="3F593423" w14:textId="77777777">
      <w:pPr>
        <w:rPr>
          <w:szCs w:val="18"/>
        </w:rPr>
      </w:pPr>
      <w:r w:rsidRPr="006539B4">
        <w:rPr>
          <w:szCs w:val="18"/>
        </w:rPr>
        <w:t>Vraag 8</w:t>
      </w:r>
      <w:r w:rsidRPr="006539B4">
        <w:rPr>
          <w:szCs w:val="18"/>
        </w:rPr>
        <w:br/>
        <w:t>Wat vindt u ervan dat de Tweede Kamer al meermaals aan de bel heeft getrokken over dergelijke incidenten, maar dat dit patroon van intimidatie en verstoring blijft bestaan en welke stappen gaat u nemen?</w:t>
      </w:r>
    </w:p>
    <w:p w:rsidRPr="006539B4" w:rsidR="005E16E7" w:rsidP="005E16E7" w:rsidRDefault="005E16E7" w14:paraId="5C320758" w14:textId="77777777">
      <w:pPr>
        <w:rPr>
          <w:szCs w:val="18"/>
        </w:rPr>
      </w:pPr>
    </w:p>
    <w:p w:rsidR="005E16E7" w:rsidP="005E16E7" w:rsidRDefault="005E16E7" w14:paraId="065092A4" w14:textId="77777777">
      <w:pPr>
        <w:rPr>
          <w:szCs w:val="18"/>
        </w:rPr>
      </w:pPr>
      <w:r w:rsidRPr="006539B4">
        <w:rPr>
          <w:szCs w:val="18"/>
        </w:rPr>
        <w:t>Antwoord 8</w:t>
      </w:r>
      <w:r w:rsidRPr="006539B4">
        <w:rPr>
          <w:szCs w:val="18"/>
        </w:rPr>
        <w:br/>
        <w:t xml:space="preserve">Het is onacceptabel waar demonstraties ontaarden in geweld, vernieling, discriminatie of haatzaaien. Ook is het onverteerbaar dat er studenten zijn die zich niet meer veilig voelen op hun instelling, in het bijzonder Joodse, Israëlische en moslimstudenten. De instellingen spannen zich dagelijks in om de veiligheid te borgen op hun instelling en dit heeft hun volle aandacht. Zij doen dit ook in nauwe samenspraak met de lokale driehoek waar daar aanleiding toe is. Ik vind het ook belangrijk dat die verantwoordelijkheid voor de veiligheid zoveel mogelijk lokaal wordt genomen waar de situatie ter plekke het beste kan worden ingeschat en kan worden besloten hoe hiermee om te gaan. Ik constateer dat de instellingen het afgelopen jaar hun weerbaarheid voor verstoringen hebben verhoogd, bijvoorbeeld door het stellen van (gezamenlijke) regels, het inzetten van risicogericht toegangsbeleid en de verbetering van de informatiedeling tussen instellingen en lokale driehoek. Ook vind ik het belangrijk dat instellingen van hun ervaringen op het gebied van veiligheid leren, ook gezamenlijk. Dit doen de universiteiten via hun netwerk van integrale veiligheidsadviseurs en als sector gezamenlijk via het Platform IV-HO. Zoals ik ook in mijn antwoord op vraag 6 toelicht, werk ik vanuit mijn stelselverantwoordelijkheid op verschillende manieren, samen met de sector, aan het bevorderen van een veilige leer- en werkomgeving. Over de stappen die </w:t>
      </w:r>
      <w:r>
        <w:rPr>
          <w:szCs w:val="18"/>
        </w:rPr>
        <w:t>de</w:t>
      </w:r>
      <w:r w:rsidRPr="006539B4">
        <w:rPr>
          <w:szCs w:val="18"/>
        </w:rPr>
        <w:t xml:space="preserve"> instellingen </w:t>
      </w:r>
      <w:r>
        <w:rPr>
          <w:szCs w:val="18"/>
        </w:rPr>
        <w:t xml:space="preserve">en ik </w:t>
      </w:r>
      <w:r w:rsidRPr="006539B4">
        <w:rPr>
          <w:szCs w:val="18"/>
        </w:rPr>
        <w:t xml:space="preserve">nemen om de veiligheid op de instellingen te borgen, </w:t>
      </w:r>
      <w:r>
        <w:rPr>
          <w:szCs w:val="18"/>
        </w:rPr>
        <w:t>heb ik uw Kamer voor de zomer per brief geïnformeerd.</w:t>
      </w:r>
      <w:r>
        <w:rPr>
          <w:rStyle w:val="Voetnootmarkering"/>
          <w:szCs w:val="18"/>
        </w:rPr>
        <w:footnoteReference w:id="5"/>
      </w:r>
      <w:r w:rsidRPr="006539B4">
        <w:rPr>
          <w:szCs w:val="18"/>
        </w:rPr>
        <w:t xml:space="preserve">  </w:t>
      </w:r>
      <w:r w:rsidRPr="006539B4">
        <w:rPr>
          <w:szCs w:val="18"/>
        </w:rPr>
        <w:br/>
      </w:r>
    </w:p>
    <w:p w:rsidR="005E16E7" w:rsidP="005E16E7" w:rsidRDefault="005E16E7" w14:paraId="5C163E9F" w14:textId="77777777">
      <w:pPr>
        <w:rPr>
          <w:szCs w:val="18"/>
        </w:rPr>
      </w:pPr>
    </w:p>
    <w:p w:rsidR="005E16E7" w:rsidP="005E16E7" w:rsidRDefault="005E16E7" w14:paraId="5C6D3792" w14:textId="77777777">
      <w:pPr>
        <w:rPr>
          <w:szCs w:val="18"/>
        </w:rPr>
      </w:pPr>
    </w:p>
    <w:p w:rsidRPr="00E00133" w:rsidR="005E16E7" w:rsidP="005E16E7" w:rsidRDefault="005E16E7" w14:paraId="64F9C5C3" w14:textId="77777777">
      <w:pPr>
        <w:rPr>
          <w:szCs w:val="18"/>
        </w:rPr>
      </w:pPr>
      <w:r w:rsidRPr="006539B4">
        <w:rPr>
          <w:szCs w:val="18"/>
        </w:rPr>
        <w:t>1) De Telegraaf, 10 juni 2025, ‘Radicalen vrijuit op universiteiten: gedragscodes blijken vooral papieren tijgers’, https://www.telegraaf.nl/binnenland/radicalen-vrijuit-op-universiteiten-gedragscodes-blijken-vooral-papieren-tijgers/70141450.html</w:t>
      </w:r>
      <w:r w:rsidRPr="00E00133">
        <w:rPr>
          <w:szCs w:val="18"/>
        </w:rPr>
        <w:br/>
      </w:r>
    </w:p>
    <w:p w:rsidRPr="00E00133" w:rsidR="005E16E7" w:rsidP="005E16E7" w:rsidRDefault="005E16E7" w14:paraId="5D24AEFE" w14:textId="77777777">
      <w:pPr>
        <w:rPr>
          <w:szCs w:val="18"/>
        </w:rPr>
      </w:pPr>
    </w:p>
    <w:p w:rsidRPr="00820DDA" w:rsidR="005E16E7" w:rsidP="005E16E7" w:rsidRDefault="005E16E7" w14:paraId="635A285A" w14:textId="77777777">
      <w:pPr>
        <w:pStyle w:val="standaard-tekst"/>
      </w:pPr>
    </w:p>
    <w:p w:rsidR="00A56E07" w:rsidRDefault="00A56E07" w14:paraId="14CAFBFC" w14:textId="77777777"/>
    <w:sectPr w:rsidR="00A56E07" w:rsidSect="005E16E7">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39026" w14:textId="77777777" w:rsidR="005E16E7" w:rsidRDefault="005E16E7" w:rsidP="005E16E7">
      <w:pPr>
        <w:spacing w:after="0" w:line="240" w:lineRule="auto"/>
      </w:pPr>
      <w:r>
        <w:separator/>
      </w:r>
    </w:p>
  </w:endnote>
  <w:endnote w:type="continuationSeparator" w:id="0">
    <w:p w14:paraId="4E6A5078" w14:textId="77777777" w:rsidR="005E16E7" w:rsidRDefault="005E16E7" w:rsidP="005E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F4F0" w14:textId="77777777" w:rsidR="005E16E7" w:rsidRPr="005E16E7" w:rsidRDefault="005E16E7" w:rsidP="005E16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8FE6" w14:textId="77777777" w:rsidR="005E16E7" w:rsidRPr="005E16E7" w:rsidRDefault="005E16E7" w:rsidP="005E16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997F" w14:textId="77777777" w:rsidR="005E16E7" w:rsidRPr="005E16E7" w:rsidRDefault="005E16E7" w:rsidP="005E16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2048D" w14:textId="77777777" w:rsidR="005E16E7" w:rsidRDefault="005E16E7" w:rsidP="005E16E7">
      <w:pPr>
        <w:spacing w:after="0" w:line="240" w:lineRule="auto"/>
      </w:pPr>
      <w:r>
        <w:separator/>
      </w:r>
    </w:p>
  </w:footnote>
  <w:footnote w:type="continuationSeparator" w:id="0">
    <w:p w14:paraId="6C97579E" w14:textId="77777777" w:rsidR="005E16E7" w:rsidRDefault="005E16E7" w:rsidP="005E16E7">
      <w:pPr>
        <w:spacing w:after="0" w:line="240" w:lineRule="auto"/>
      </w:pPr>
      <w:r>
        <w:continuationSeparator/>
      </w:r>
    </w:p>
  </w:footnote>
  <w:footnote w:id="1">
    <w:p w14:paraId="1F9CA17B" w14:textId="77777777" w:rsidR="005E16E7" w:rsidRPr="00F6374E" w:rsidRDefault="005E16E7" w:rsidP="005E16E7">
      <w:pPr>
        <w:pStyle w:val="Voetnoottekst"/>
        <w:rPr>
          <w:sz w:val="16"/>
          <w:szCs w:val="16"/>
        </w:rPr>
      </w:pPr>
      <w:r w:rsidRPr="00F6374E">
        <w:rPr>
          <w:rStyle w:val="Voetnootmarkering"/>
          <w:sz w:val="16"/>
          <w:szCs w:val="16"/>
        </w:rPr>
        <w:footnoteRef/>
      </w:r>
      <w:r w:rsidRPr="00F6374E">
        <w:rPr>
          <w:sz w:val="16"/>
          <w:szCs w:val="16"/>
        </w:rPr>
        <w:t xml:space="preserve"> Kamerstukken II, 29240-175 </w:t>
      </w:r>
    </w:p>
  </w:footnote>
  <w:footnote w:id="2">
    <w:p w14:paraId="56EBB20A" w14:textId="77777777" w:rsidR="005E16E7" w:rsidRDefault="005E16E7" w:rsidP="005E16E7">
      <w:pPr>
        <w:pStyle w:val="Voetnoottekst"/>
      </w:pPr>
      <w:r w:rsidRPr="00F6374E">
        <w:rPr>
          <w:rStyle w:val="Voetnootmarkering"/>
          <w:sz w:val="16"/>
          <w:szCs w:val="16"/>
        </w:rPr>
        <w:footnoteRef/>
      </w:r>
      <w:r w:rsidRPr="00F6374E">
        <w:rPr>
          <w:sz w:val="16"/>
          <w:szCs w:val="16"/>
        </w:rPr>
        <w:t xml:space="preserve"> Kamerstukken II, 29240-175</w:t>
      </w:r>
    </w:p>
  </w:footnote>
  <w:footnote w:id="3">
    <w:p w14:paraId="2B1A18FA" w14:textId="77777777" w:rsidR="005E16E7" w:rsidRDefault="005E16E7" w:rsidP="005E16E7">
      <w:pPr>
        <w:pStyle w:val="Voetnoottekst"/>
      </w:pPr>
      <w:r>
        <w:rPr>
          <w:rStyle w:val="Voetnootmarkering"/>
        </w:rPr>
        <w:footnoteRef/>
      </w:r>
      <w:r>
        <w:t xml:space="preserve"> </w:t>
      </w:r>
      <w:r>
        <w:rPr>
          <w:sz w:val="16"/>
          <w:szCs w:val="16"/>
        </w:rPr>
        <w:t>De</w:t>
      </w:r>
      <w:r w:rsidRPr="00200835">
        <w:rPr>
          <w:sz w:val="16"/>
          <w:szCs w:val="16"/>
        </w:rPr>
        <w:t xml:space="preserve"> Wet op het Hoger onderwijs en Wetenschappelijk onderzoek (WHW).</w:t>
      </w:r>
    </w:p>
  </w:footnote>
  <w:footnote w:id="4">
    <w:p w14:paraId="233D0584" w14:textId="77777777" w:rsidR="005E16E7" w:rsidRPr="00362389" w:rsidRDefault="005E16E7" w:rsidP="005E16E7">
      <w:pPr>
        <w:pStyle w:val="Voetnoottekst"/>
        <w:rPr>
          <w:sz w:val="16"/>
          <w:szCs w:val="16"/>
        </w:rPr>
      </w:pPr>
      <w:r w:rsidRPr="00362389">
        <w:rPr>
          <w:rStyle w:val="Voetnootmarkering"/>
          <w:sz w:val="16"/>
          <w:szCs w:val="16"/>
        </w:rPr>
        <w:footnoteRef/>
      </w:r>
      <w:r w:rsidRPr="00362389">
        <w:rPr>
          <w:sz w:val="16"/>
          <w:szCs w:val="16"/>
        </w:rPr>
        <w:t xml:space="preserve"> Kamerstukken II, 29240-175</w:t>
      </w:r>
    </w:p>
  </w:footnote>
  <w:footnote w:id="5">
    <w:p w14:paraId="7709527F" w14:textId="77777777" w:rsidR="005E16E7" w:rsidRDefault="005E16E7" w:rsidP="005E16E7">
      <w:pPr>
        <w:pStyle w:val="Voetnoottekst"/>
      </w:pPr>
      <w:r w:rsidRPr="00362389">
        <w:rPr>
          <w:rStyle w:val="Voetnootmarkering"/>
          <w:sz w:val="16"/>
          <w:szCs w:val="16"/>
        </w:rPr>
        <w:footnoteRef/>
      </w:r>
      <w:r w:rsidRPr="00362389">
        <w:rPr>
          <w:sz w:val="16"/>
          <w:szCs w:val="16"/>
        </w:rPr>
        <w:t xml:space="preserve"> Kamerstukken II, 29240-175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7B8E" w14:textId="77777777" w:rsidR="005E16E7" w:rsidRPr="005E16E7" w:rsidRDefault="005E16E7" w:rsidP="005E16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4D92" w14:textId="77777777" w:rsidR="005E16E7" w:rsidRPr="005E16E7" w:rsidRDefault="005E16E7" w:rsidP="005E16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9294" w14:textId="77777777" w:rsidR="005E16E7" w:rsidRPr="005E16E7" w:rsidRDefault="005E16E7" w:rsidP="005E16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E7"/>
    <w:rsid w:val="005E16E7"/>
    <w:rsid w:val="00A56E07"/>
    <w:rsid w:val="00BD03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4973"/>
  <w15:chartTrackingRefBased/>
  <w15:docId w15:val="{EA4B1E38-2B59-4893-A962-434264D6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16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E16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E16E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E16E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E16E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E16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16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16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16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16E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16E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16E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E16E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E16E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E16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16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16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16E7"/>
    <w:rPr>
      <w:rFonts w:eastAsiaTheme="majorEastAsia" w:cstheme="majorBidi"/>
      <w:color w:val="272727" w:themeColor="text1" w:themeTint="D8"/>
    </w:rPr>
  </w:style>
  <w:style w:type="paragraph" w:styleId="Titel">
    <w:name w:val="Title"/>
    <w:basedOn w:val="Standaard"/>
    <w:next w:val="Standaard"/>
    <w:link w:val="TitelChar"/>
    <w:uiPriority w:val="10"/>
    <w:qFormat/>
    <w:rsid w:val="005E1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16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16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16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16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16E7"/>
    <w:rPr>
      <w:i/>
      <w:iCs/>
      <w:color w:val="404040" w:themeColor="text1" w:themeTint="BF"/>
    </w:rPr>
  </w:style>
  <w:style w:type="paragraph" w:styleId="Lijstalinea">
    <w:name w:val="List Paragraph"/>
    <w:basedOn w:val="Standaard"/>
    <w:uiPriority w:val="34"/>
    <w:qFormat/>
    <w:rsid w:val="005E16E7"/>
    <w:pPr>
      <w:ind w:left="720"/>
      <w:contextualSpacing/>
    </w:pPr>
  </w:style>
  <w:style w:type="character" w:styleId="Intensievebenadrukking">
    <w:name w:val="Intense Emphasis"/>
    <w:basedOn w:val="Standaardalinea-lettertype"/>
    <w:uiPriority w:val="21"/>
    <w:qFormat/>
    <w:rsid w:val="005E16E7"/>
    <w:rPr>
      <w:i/>
      <w:iCs/>
      <w:color w:val="2F5496" w:themeColor="accent1" w:themeShade="BF"/>
    </w:rPr>
  </w:style>
  <w:style w:type="paragraph" w:styleId="Duidelijkcitaat">
    <w:name w:val="Intense Quote"/>
    <w:basedOn w:val="Standaard"/>
    <w:next w:val="Standaard"/>
    <w:link w:val="DuidelijkcitaatChar"/>
    <w:uiPriority w:val="30"/>
    <w:qFormat/>
    <w:rsid w:val="005E16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E16E7"/>
    <w:rPr>
      <w:i/>
      <w:iCs/>
      <w:color w:val="2F5496" w:themeColor="accent1" w:themeShade="BF"/>
    </w:rPr>
  </w:style>
  <w:style w:type="character" w:styleId="Intensieveverwijzing">
    <w:name w:val="Intense Reference"/>
    <w:basedOn w:val="Standaardalinea-lettertype"/>
    <w:uiPriority w:val="32"/>
    <w:qFormat/>
    <w:rsid w:val="005E16E7"/>
    <w:rPr>
      <w:b/>
      <w:bCs/>
      <w:smallCaps/>
      <w:color w:val="2F5496" w:themeColor="accent1" w:themeShade="BF"/>
      <w:spacing w:val="5"/>
    </w:rPr>
  </w:style>
  <w:style w:type="paragraph" w:styleId="Koptekst">
    <w:name w:val="header"/>
    <w:basedOn w:val="Standaard"/>
    <w:link w:val="KoptekstChar"/>
    <w:rsid w:val="005E16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E16E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E16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E16E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E16E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E16E7"/>
    <w:rPr>
      <w:rFonts w:ascii="Verdana" w:hAnsi="Verdana"/>
      <w:noProof/>
      <w:sz w:val="13"/>
      <w:szCs w:val="24"/>
      <w:lang w:eastAsia="nl-NL"/>
    </w:rPr>
  </w:style>
  <w:style w:type="paragraph" w:customStyle="1" w:styleId="Huisstijl-Gegeven">
    <w:name w:val="Huisstijl-Gegeven"/>
    <w:basedOn w:val="Standaard"/>
    <w:link w:val="Huisstijl-GegevenCharChar"/>
    <w:rsid w:val="005E16E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E16E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5E16E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E16E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5E16E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5E16E7"/>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5E16E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nhideWhenUsed/>
    <w:rsid w:val="005E16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1651</ap:Words>
  <ap:Characters>9083</ap:Characters>
  <ap:DocSecurity>0</ap:DocSecurity>
  <ap:Lines>75</ap:Lines>
  <ap:Paragraphs>21</ap:Paragraphs>
  <ap:ScaleCrop>false</ap:ScaleCrop>
  <ap:LinksUpToDate>false</ap:LinksUpToDate>
  <ap:CharactersWithSpaces>10713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2025-08-19T07:29:00.0000000Z</dcterms:created>
  <dcterms:modified xsi:type="dcterms:W3CDTF">2025-08-19T07:30:00.0000000Z</dcterms:modified>
  <version/>
  <category/>
</coreProperties>
</file>