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133" w:rsidP="00F61269" w:rsidRDefault="001F3363" w14:paraId="6E0ACA1E" w14:textId="77777777">
      <w:pPr>
        <w:pStyle w:val="StandaardAanhef"/>
      </w:pPr>
      <w:bookmarkStart w:name="_Hlk201149313" w:id="0"/>
      <w:r>
        <w:t>Geachte voorzitter,</w:t>
      </w:r>
    </w:p>
    <w:p w:rsidR="007C14F9" w:rsidP="00F61269" w:rsidRDefault="00F61269" w14:paraId="2EF8CBAC" w14:textId="77777777">
      <w:bookmarkStart w:name="_Hlk201657714" w:id="1"/>
      <w:r>
        <w:t>D</w:t>
      </w:r>
      <w:r w:rsidRPr="007C14F9" w:rsidR="007C14F9">
        <w:t xml:space="preserve">e participatie van de Nederlandse </w:t>
      </w:r>
      <w:r w:rsidR="005F7E0C">
        <w:t>S</w:t>
      </w:r>
      <w:r w:rsidRPr="007C14F9" w:rsidR="007C14F9">
        <w:t xml:space="preserve">taat in de Nederlandse Herverzekeringsmaatschappij voor Terrorismeschaden N.V. (NHT) </w:t>
      </w:r>
      <w:r>
        <w:t xml:space="preserve">wordt elke vijf jaar </w:t>
      </w:r>
      <w:r w:rsidRPr="007C14F9" w:rsidR="007C14F9">
        <w:t>geëvalueerd. Op basis van de evaluatie</w:t>
      </w:r>
      <w:r w:rsidR="002D6ABB">
        <w:t xml:space="preserve"> in 2018</w:t>
      </w:r>
      <w:r w:rsidRPr="007C14F9" w:rsidR="007C14F9">
        <w:t xml:space="preserve"> is destijds besloten om de participatie van de Staat in de NHT per 1</w:t>
      </w:r>
      <w:r w:rsidR="009131A4">
        <w:t xml:space="preserve"> januari </w:t>
      </w:r>
      <w:r w:rsidRPr="007C14F9" w:rsidR="007C14F9">
        <w:t>2019 door te laten lopen.</w:t>
      </w:r>
      <w:r w:rsidR="007C14F9">
        <w:t xml:space="preserve"> </w:t>
      </w:r>
      <w:bookmarkStart w:name="_Hlk201657697" w:id="2"/>
      <w:r>
        <w:t xml:space="preserve">Recent is </w:t>
      </w:r>
      <w:r w:rsidR="002D6ABB">
        <w:t>de</w:t>
      </w:r>
      <w:r w:rsidR="00DC76D3">
        <w:t xml:space="preserve"> participatie in de</w:t>
      </w:r>
      <w:r w:rsidR="002D6ABB">
        <w:t xml:space="preserve"> NHT opnieuw geëvalueer</w:t>
      </w:r>
      <w:r w:rsidR="009C201C">
        <w:t>d</w:t>
      </w:r>
      <w:bookmarkEnd w:id="2"/>
      <w:r w:rsidRPr="007C14F9" w:rsidR="007C14F9">
        <w:t>.</w:t>
      </w:r>
      <w:r w:rsidR="005F7E0C">
        <w:t xml:space="preserve"> </w:t>
      </w:r>
      <w:r w:rsidRPr="005F7E0C" w:rsidR="005F7E0C">
        <w:t>Met deze brief bied ik u de evaluatie</w:t>
      </w:r>
      <w:r w:rsidR="001F3363">
        <w:t xml:space="preserve"> en bijbehorend </w:t>
      </w:r>
      <w:r w:rsidR="006D5041">
        <w:t>toetsings</w:t>
      </w:r>
      <w:r w:rsidR="001F3363">
        <w:t>kader</w:t>
      </w:r>
      <w:r w:rsidRPr="005F7E0C" w:rsidR="005F7E0C">
        <w:t xml:space="preserve"> aan en geef ik mijn reactie daarop.</w:t>
      </w:r>
    </w:p>
    <w:bookmarkEnd w:id="1"/>
    <w:p w:rsidR="00B13133" w:rsidP="00F61269" w:rsidRDefault="00B13133" w14:paraId="19AA592F" w14:textId="77777777"/>
    <w:p w:rsidRPr="005F7E0C" w:rsidR="005F7E0C" w:rsidP="00F61269" w:rsidRDefault="005F7E0C" w14:paraId="372C0F6E" w14:textId="77777777">
      <w:pPr>
        <w:rPr>
          <w:u w:val="single"/>
        </w:rPr>
      </w:pPr>
      <w:bookmarkStart w:name="_Hlk201657756" w:id="3"/>
      <w:r w:rsidRPr="005F7E0C">
        <w:rPr>
          <w:u w:val="single"/>
        </w:rPr>
        <w:t>De NHT</w:t>
      </w:r>
    </w:p>
    <w:p w:rsidR="005F7E0C" w:rsidP="00F61269" w:rsidRDefault="005F7E0C" w14:paraId="3058C102" w14:textId="77777777">
      <w:r w:rsidRPr="005F7E0C">
        <w:t xml:space="preserve">De NHT is een herverzekeringspool die in 2003 is opgericht om schade door terroristische aanslagen te dekken. Via deze pool kunnen herverzekeraars en de overheid gezamenlijk tot maximaal </w:t>
      </w:r>
      <w:r w:rsidR="0097709F">
        <w:t>€</w:t>
      </w:r>
      <w:r w:rsidRPr="005F7E0C">
        <w:t xml:space="preserve">1 miljard per jaar aan terrorismeschade vergoeden aan verzekeraars. De oprichting van de NHT volgde direct op de wereldwijde stopzetting van terrorismeverzekeringen na de aanslagen van 9/11. </w:t>
      </w:r>
      <w:r w:rsidR="0086162F">
        <w:t xml:space="preserve">Deze aanslagen toonden aan dat één terroristische gebeurtenis enorme financiële gevolgen kan hebben, waardoor de kosten vooral bij een beperkt aantal (her)verzekeraars terecht </w:t>
      </w:r>
      <w:r w:rsidR="00126EC6">
        <w:t xml:space="preserve">kunnen </w:t>
      </w:r>
      <w:r w:rsidR="0086162F">
        <w:t>komen.</w:t>
      </w:r>
      <w:r w:rsidRPr="005F7E0C">
        <w:t xml:space="preserve"> De NHT is daarom in het leven geroepen om de verzekerbaarheid van terrorismeschade in Nederland te </w:t>
      </w:r>
      <w:proofErr w:type="gramStart"/>
      <w:r w:rsidRPr="005F7E0C">
        <w:t>garanderen</w:t>
      </w:r>
      <w:proofErr w:type="gramEnd"/>
      <w:r w:rsidRPr="005F7E0C">
        <w:t>, door het risico te spreiden en zo de financiële lasten voor verzekeraars beheersbaar te houden.</w:t>
      </w:r>
    </w:p>
    <w:bookmarkEnd w:id="3"/>
    <w:p w:rsidR="005F7E0C" w:rsidP="00F61269" w:rsidRDefault="00126EC6" w14:paraId="57F13F98" w14:textId="77777777">
      <w:r>
        <w:t xml:space="preserve"> </w:t>
      </w:r>
    </w:p>
    <w:p w:rsidRPr="005F7E0C" w:rsidR="005F7E0C" w:rsidP="00F61269" w:rsidRDefault="005F7E0C" w14:paraId="5D218A33" w14:textId="77777777">
      <w:pPr>
        <w:rPr>
          <w:u w:val="single"/>
        </w:rPr>
      </w:pPr>
      <w:bookmarkStart w:name="_Hlk201657778" w:id="4"/>
      <w:r w:rsidRPr="005F7E0C">
        <w:rPr>
          <w:u w:val="single"/>
        </w:rPr>
        <w:t>Overheidsdeelname in de NHT</w:t>
      </w:r>
    </w:p>
    <w:p w:rsidR="005F7E0C" w:rsidP="00F61269" w:rsidRDefault="005F7E0C" w14:paraId="6ABFBA84" w14:textId="77777777">
      <w:r>
        <w:t>De Staat was vanaf het begin betrokken bij de oprichting van de NHT. Gezien de mogelijke omvang van de schade en de bereidheid van (her)verzekeraars om aanzienlijke dekking te bieden, leverde de overheid ook een belangrijke bijdrage via een garantiestelling.</w:t>
      </w:r>
      <w:r>
        <w:rPr>
          <w:rStyle w:val="Voetnootmarkering"/>
        </w:rPr>
        <w:footnoteReference w:id="1"/>
      </w:r>
    </w:p>
    <w:p w:rsidR="005F7E0C" w:rsidP="00F61269" w:rsidRDefault="005F7E0C" w14:paraId="58633AAF" w14:textId="77777777"/>
    <w:p w:rsidR="005F7E0C" w:rsidP="00F61269" w:rsidRDefault="005F7E0C" w14:paraId="71CF3884" w14:textId="77777777">
      <w:r>
        <w:t>Een andere belangrijke beleidsafweging was dat een gezamenlijke verzekeringspool een grotere capaciteit zou bieden aan de NHT en slachtoffers van terroristische aanslagen. Door deel te nemen kon een risico worden afgedekt dat anders onverzekerbaar zou zijn, waarmee een maatschappelijk probleem werd opgelost.</w:t>
      </w:r>
      <w:r w:rsidRPr="00A76FCD">
        <w:rPr>
          <w:rStyle w:val="Voetnootmarkering"/>
        </w:rPr>
        <w:footnoteReference w:id="2"/>
      </w:r>
      <w:r w:rsidR="00F96964">
        <w:t xml:space="preserve"> </w:t>
      </w:r>
      <w:bookmarkStart w:name="_Hlk201657821" w:id="5"/>
      <w:bookmarkEnd w:id="4"/>
      <w:r w:rsidR="00F96964">
        <w:t xml:space="preserve">In het geval van onverzekerbaarheid en zonder participatie van </w:t>
      </w:r>
      <w:r w:rsidR="00F96964">
        <w:lastRenderedPageBreak/>
        <w:t xml:space="preserve">de verzekeringsmarkt zou de Staat </w:t>
      </w:r>
      <w:r w:rsidR="009C201C">
        <w:t>op grond van</w:t>
      </w:r>
      <w:r w:rsidR="00F96964">
        <w:t xml:space="preserve"> </w:t>
      </w:r>
      <w:r w:rsidR="00A61894">
        <w:t xml:space="preserve">de maatschappelijke verwachting </w:t>
      </w:r>
      <w:r w:rsidRPr="00F96964" w:rsidR="00F96964">
        <w:t>mogelijk een groter of het gehele aandeel in de schadevergoeding als gevolg van een terroristische aanslag moeten drage</w:t>
      </w:r>
      <w:r w:rsidR="00F96964">
        <w:t>n.</w:t>
      </w:r>
      <w:r w:rsidRPr="00A76FCD" w:rsidR="00F96964">
        <w:rPr>
          <w:rStyle w:val="Voetnootmarkering"/>
        </w:rPr>
        <w:footnoteReference w:id="3"/>
      </w:r>
      <w:r>
        <w:t xml:space="preserve"> </w:t>
      </w:r>
      <w:bookmarkEnd w:id="5"/>
    </w:p>
    <w:p w:rsidR="0086162F" w:rsidP="00F61269" w:rsidRDefault="0086162F" w14:paraId="35B82434" w14:textId="77777777"/>
    <w:p w:rsidR="0086162F" w:rsidP="00F61269" w:rsidRDefault="0086162F" w14:paraId="7451A94B" w14:textId="77777777">
      <w:bookmarkStart w:name="_Hlk201657855" w:id="6"/>
      <w:r w:rsidRPr="0086162F">
        <w:t xml:space="preserve">De vergoeding via de NHT kent een gelaagde structuur: schade tot €950 miljoen wordt gedragen door de (her)verzekeraars. Pas wanneer dit bedrag is uitgeput, kan de staatsgarantie van €50 miljoen worden aangesproken. </w:t>
      </w:r>
      <w:r>
        <w:t xml:space="preserve">Deze garantiestelling wordt jaarlijks (sinds 2023 tweejaarlijks) verlengd via een herverzekeringsovereenkomst met de NHT. Op basis van de herverzekeringsovereenkomst ontvangt de Staat jaarlijks een marktconforme premie van de NHT als compensatie voor de door de Staat verstrekte garantiestelling. </w:t>
      </w:r>
    </w:p>
    <w:bookmarkEnd w:id="6"/>
    <w:p w:rsidR="005F7E0C" w:rsidP="00F61269" w:rsidRDefault="005F7E0C" w14:paraId="7BD88A3E" w14:textId="77777777"/>
    <w:p w:rsidR="0086162F" w:rsidP="00F61269" w:rsidRDefault="005F7E0C" w14:paraId="3D3C7139" w14:textId="77777777">
      <w:bookmarkStart w:name="_Hlk201657866" w:id="7"/>
      <w:r>
        <w:t>Aanvankelijk was de staatsdeelname bedoeld als tijdelijk, met de verwachting dat de Staat na verloop van tijd uit de constructie zou stappen. Dit omdat de Staat in principe geen risico’s dekt die commerciële verzekeraars kunnen verzekeren.</w:t>
      </w:r>
      <w:r w:rsidRPr="00A76FCD">
        <w:rPr>
          <w:rStyle w:val="Voetnootmarkering"/>
        </w:rPr>
        <w:footnoteReference w:id="4"/>
      </w:r>
      <w:r>
        <w:t xml:space="preserve"> </w:t>
      </w:r>
      <w:r w:rsidRPr="00AC7229" w:rsidR="00AC7229">
        <w:t xml:space="preserve">Daarom is afgesproken dat de Staat regelmatig evalueert of de betrokkenheid in vorm, omvang en voorwaarden nog gerechtvaardigd is. </w:t>
      </w:r>
      <w:bookmarkStart w:name="_Hlk201658212" w:id="8"/>
      <w:r w:rsidRPr="00820178" w:rsidR="00820178">
        <w:t>Op basis van de evaluatie in 2018 werd geconcludeerd dat staatsdeelname een belangrijke doelmatigheidswinst biedt ten opzichte van alternatieven, en dat de verzekeringsmarkt het belang hiervan onderschrijft.</w:t>
      </w:r>
      <w:bookmarkEnd w:id="8"/>
      <w:r w:rsidR="009C201C">
        <w:t xml:space="preserve"> </w:t>
      </w:r>
      <w:bookmarkStart w:name="_Hlk201658227" w:id="9"/>
      <w:r w:rsidRPr="00AC7229" w:rsidR="00AC7229">
        <w:t>Bovendien maakt staatsdeelname het makkelijker en goedkoper om dekking te verkrijgen bij internationale herverzekeraars, die waarde hechten aan de signaalfunctie van overheidsdeelname.</w:t>
      </w:r>
      <w:bookmarkEnd w:id="9"/>
    </w:p>
    <w:bookmarkEnd w:id="7"/>
    <w:p w:rsidR="00AC7229" w:rsidP="00F61269" w:rsidRDefault="009C201C" w14:paraId="52D0658F" w14:textId="77777777">
      <w:r>
        <w:t xml:space="preserve"> </w:t>
      </w:r>
    </w:p>
    <w:p w:rsidRPr="00AC7229" w:rsidR="0086162F" w:rsidP="00F61269" w:rsidRDefault="00AC7229" w14:paraId="1FD4EE3A" w14:textId="77777777">
      <w:pPr>
        <w:rPr>
          <w:u w:val="single"/>
        </w:rPr>
      </w:pPr>
      <w:r w:rsidRPr="00AC7229">
        <w:rPr>
          <w:u w:val="single"/>
        </w:rPr>
        <w:t>Uitkomsten evaluatie</w:t>
      </w:r>
    </w:p>
    <w:p w:rsidR="0086162F" w:rsidP="00F61269" w:rsidRDefault="00AC7229" w14:paraId="46C3E14A" w14:textId="77777777">
      <w:bookmarkStart w:name="_Hlk201658241" w:id="10"/>
      <w:r w:rsidRPr="00AC7229">
        <w:t xml:space="preserve">Uit de </w:t>
      </w:r>
      <w:r w:rsidR="00126EC6">
        <w:t xml:space="preserve">nieuwe </w:t>
      </w:r>
      <w:r w:rsidRPr="00AC7229">
        <w:t xml:space="preserve">evaluatie blijkt dat de NHT-regeling een waardevolle oplossing biedt voor het probleem van onverzekerbaarheid van terrorismeschade. </w:t>
      </w:r>
      <w:bookmarkStart w:name="_Hlk201658420" w:id="11"/>
      <w:bookmarkEnd w:id="10"/>
      <w:r w:rsidRPr="00A61894" w:rsidR="00A61894">
        <w:t xml:space="preserve">De evaluatie is </w:t>
      </w:r>
      <w:r w:rsidRPr="00A61894" w:rsidR="009C201C">
        <w:t xml:space="preserve">uitgevoerd </w:t>
      </w:r>
      <w:r w:rsidRPr="00A61894" w:rsidR="00A61894">
        <w:t xml:space="preserve">door het ministerie van Financiën, mede </w:t>
      </w:r>
      <w:r w:rsidR="00820178">
        <w:t>aan de hand</w:t>
      </w:r>
      <w:r w:rsidRPr="00A61894" w:rsidR="00A61894">
        <w:t xml:space="preserve"> van het bijgevoegde toetsingskader. </w:t>
      </w:r>
      <w:r w:rsidR="00820178">
        <w:t>In de evaluatie</w:t>
      </w:r>
      <w:r w:rsidRPr="00A61894" w:rsidR="00A61894">
        <w:t xml:space="preserve"> zijn verklarende onderzoeksvragen gesteld en beantwoord aan de hand van gesprekken met stakeholders en aanvullend onderzoek, waaronder een doeltreffendheid</w:t>
      </w:r>
      <w:r w:rsidR="00820178">
        <w:t>s-</w:t>
      </w:r>
      <w:r w:rsidRPr="00A61894" w:rsidR="00A61894">
        <w:t xml:space="preserve"> en doelmatigheid</w:t>
      </w:r>
      <w:r w:rsidR="00820178">
        <w:t>stoetsing van de garantie</w:t>
      </w:r>
      <w:r w:rsidRPr="00A61894" w:rsidR="00A61894">
        <w:t>.</w:t>
      </w:r>
      <w:r w:rsidR="00A61894">
        <w:t xml:space="preserve"> </w:t>
      </w:r>
      <w:bookmarkStart w:name="_Hlk201658443" w:id="12"/>
      <w:bookmarkEnd w:id="11"/>
      <w:r w:rsidR="00375258">
        <w:t xml:space="preserve">Ter beantwoording van de onderzoeksvragen </w:t>
      </w:r>
      <w:r w:rsidR="005F567B">
        <w:t xml:space="preserve">is </w:t>
      </w:r>
      <w:r w:rsidR="009C201C">
        <w:t>onder andere</w:t>
      </w:r>
      <w:r w:rsidR="005F567B">
        <w:t xml:space="preserve"> gesproken met de NHT, het Verbond van Verzekeraars en verschillende verzekeraars.</w:t>
      </w:r>
      <w:bookmarkEnd w:id="12"/>
      <w:r w:rsidR="005F567B">
        <w:t xml:space="preserve"> </w:t>
      </w:r>
      <w:r w:rsidRPr="00AC7229">
        <w:t>Daarbij zijn ook alternatieve scenario’s en de gevolgen van het wegvallen van de NHT en staatsdeelname onderzocht, zodat de voor- en nadelen goed konden worden afgewogen</w:t>
      </w:r>
      <w:r>
        <w:t xml:space="preserve">. </w:t>
      </w:r>
      <w:r w:rsidR="006F1648">
        <w:t>Ook</w:t>
      </w:r>
      <w:r w:rsidR="0068032E">
        <w:t xml:space="preserve"> is de NHT vergeleken met vergelijkbare poolingconstructies in andere lidstaten. </w:t>
      </w:r>
    </w:p>
    <w:p w:rsidR="00AC7229" w:rsidP="00F61269" w:rsidRDefault="00AC7229" w14:paraId="63A6B2E4" w14:textId="77777777"/>
    <w:p w:rsidR="00AC7229" w:rsidP="00F61269" w:rsidRDefault="00AC7229" w14:paraId="0D29BAF5" w14:textId="77777777">
      <w:r>
        <w:t>De belangrijkste bevindingen van de evaluatie zijn:</w:t>
      </w:r>
    </w:p>
    <w:p w:rsidR="0068032E" w:rsidP="00F61269" w:rsidRDefault="00244A27" w14:paraId="14F61296" w14:textId="77777777">
      <w:pPr>
        <w:pStyle w:val="Lijstalinea"/>
        <w:numPr>
          <w:ilvl w:val="0"/>
          <w:numId w:val="9"/>
        </w:numPr>
      </w:pPr>
      <w:bookmarkStart w:name="_Hlk201658473" w:id="13"/>
      <w:r w:rsidRPr="00244A27">
        <w:t>De NHT biedt een belangrijk voordeel: door risico’s te bundelen in een gezamenlijke pool, kunnen verzekeraars dekking bieden tegen betaalbare premies. Deze risicospreiding vergroot de uitkeringscapaciteit aanzienlijk ten opzichte van wat individuele verzekeraars kunnen bieden, mede dankzij de deelname van de overheid</w:t>
      </w:r>
      <w:r w:rsidR="0068032E">
        <w:t>.</w:t>
      </w:r>
    </w:p>
    <w:p w:rsidR="0068032E" w:rsidP="00F61269" w:rsidRDefault="0068032E" w14:paraId="3F33C634" w14:textId="77777777">
      <w:pPr>
        <w:pStyle w:val="Lijstalinea"/>
        <w:numPr>
          <w:ilvl w:val="0"/>
          <w:numId w:val="9"/>
        </w:numPr>
      </w:pPr>
      <w:r>
        <w:t xml:space="preserve">De </w:t>
      </w:r>
      <w:r w:rsidR="00C55730">
        <w:t>s</w:t>
      </w:r>
      <w:r>
        <w:t>taatsdeelname is belangrijk vanwege de signaalfunctie: de overheid toont verantwoordelijkheid voor financiële stabiliteit en bescherming van burgers, en voldoet aan de maatschappelijke verwachting om bij grootschalige schade in te grijpen.</w:t>
      </w:r>
    </w:p>
    <w:p w:rsidR="00820178" w:rsidP="00820178" w:rsidRDefault="00820178" w14:paraId="40479E32" w14:textId="77777777">
      <w:pPr>
        <w:pStyle w:val="Lijstalinea"/>
        <w:numPr>
          <w:ilvl w:val="0"/>
          <w:numId w:val="9"/>
        </w:numPr>
      </w:pPr>
      <w:r>
        <w:lastRenderedPageBreak/>
        <w:t>Staatsdeelname vergroot het vertrouwen van internationale herverzekeraars, waardoor dekking goedkoper wordt. Zowel de NHT als het Verbond van Verzekeraars pleiten voor voortzetting.</w:t>
      </w:r>
    </w:p>
    <w:p w:rsidR="005F567B" w:rsidP="00F61269" w:rsidRDefault="00A61894" w14:paraId="168CADD2" w14:textId="77777777">
      <w:pPr>
        <w:pStyle w:val="Lijstalinea"/>
        <w:numPr>
          <w:ilvl w:val="0"/>
          <w:numId w:val="9"/>
        </w:numPr>
      </w:pPr>
      <w:bookmarkStart w:name="_Hlk201658486" w:id="14"/>
      <w:bookmarkEnd w:id="13"/>
      <w:r w:rsidRPr="00A61894">
        <w:t xml:space="preserve">De </w:t>
      </w:r>
      <w:r>
        <w:t>NHT</w:t>
      </w:r>
      <w:r w:rsidRPr="00A61894">
        <w:t xml:space="preserve"> zorgt voor een efficiënte schadeafhandeling van claims door middel van centrale coördinatie en gespecialiseerde expertise.</w:t>
      </w:r>
      <w:bookmarkEnd w:id="14"/>
      <w:r w:rsidR="0068032E">
        <w:t xml:space="preserve"> </w:t>
      </w:r>
    </w:p>
    <w:p w:rsidR="0068032E" w:rsidP="00F61269" w:rsidRDefault="0068032E" w14:paraId="2DF519F9" w14:textId="77777777">
      <w:pPr>
        <w:pStyle w:val="Lijstalinea"/>
        <w:numPr>
          <w:ilvl w:val="0"/>
          <w:numId w:val="9"/>
        </w:numPr>
      </w:pPr>
      <w:bookmarkStart w:name="_Hlk201658718" w:id="15"/>
      <w:r>
        <w:t>Het wegvallen van de NHT vergroot het risico op overheidsclaims via de Wet tegemoetkoming schade bij rampen (Wts). Zolang de NHT bestaat,</w:t>
      </w:r>
      <w:r w:rsidR="00820178">
        <w:t xml:space="preserve"> kan de Wts niet van toepassing worden verklaard op schadeclaims als gevolg van </w:t>
      </w:r>
      <w:r w:rsidR="004161A3">
        <w:t>terrorisme</w:t>
      </w:r>
      <w:r w:rsidR="007E7EBD">
        <w:t xml:space="preserve">. Zodoende worden </w:t>
      </w:r>
      <w:r w:rsidR="004161A3">
        <w:t>onverwachte kosten voor de Staat voorkomen</w:t>
      </w:r>
      <w:r w:rsidR="00820178">
        <w:t>.</w:t>
      </w:r>
      <w:r>
        <w:t xml:space="preserve"> Voortzetting van</w:t>
      </w:r>
      <w:r w:rsidR="00BE5C0C">
        <w:t xml:space="preserve"> </w:t>
      </w:r>
      <w:r w:rsidR="00375258">
        <w:t>staats</w:t>
      </w:r>
      <w:r>
        <w:t>deelname garandeert het voortbestaan van de pool en behoudt staatsinvloed</w:t>
      </w:r>
      <w:r w:rsidR="004161A3">
        <w:t xml:space="preserve"> op de NHT</w:t>
      </w:r>
      <w:r>
        <w:t>.</w:t>
      </w:r>
    </w:p>
    <w:p w:rsidR="0068032E" w:rsidP="00F61269" w:rsidRDefault="0068032E" w14:paraId="2EF22047" w14:textId="77777777">
      <w:pPr>
        <w:pStyle w:val="Lijstalinea"/>
        <w:numPr>
          <w:ilvl w:val="0"/>
          <w:numId w:val="9"/>
        </w:numPr>
      </w:pPr>
      <w:bookmarkStart w:name="_Hlk201658759" w:id="16"/>
      <w:bookmarkEnd w:id="15"/>
      <w:r>
        <w:t xml:space="preserve">De Nederlandse regeling biedt een bredere dekking dan </w:t>
      </w:r>
      <w:r w:rsidR="00126EC6">
        <w:t xml:space="preserve">de </w:t>
      </w:r>
      <w:r w:rsidR="00244A27">
        <w:t xml:space="preserve">meeste </w:t>
      </w:r>
      <w:r>
        <w:t xml:space="preserve">buitenlandse </w:t>
      </w:r>
      <w:r w:rsidR="00FA010A">
        <w:t>terrorismepools</w:t>
      </w:r>
      <w:r>
        <w:t xml:space="preserve">, terwijl de rol van de Staat beperkt blijft. Voor de garantie van €50 miljoen ontvangt de Staat een marktconforme premie met een kleine kans op aanspraak. </w:t>
      </w:r>
    </w:p>
    <w:bookmarkEnd w:id="16"/>
    <w:p w:rsidR="0068032E" w:rsidP="00F61269" w:rsidRDefault="0068032E" w14:paraId="19CD0DD3" w14:textId="77777777"/>
    <w:p w:rsidR="00FA010A" w:rsidP="00F61269" w:rsidRDefault="00FA010A" w14:paraId="6A981CCF" w14:textId="77777777">
      <w:pPr>
        <w:rPr>
          <w:u w:val="single"/>
        </w:rPr>
      </w:pPr>
      <w:r w:rsidRPr="00FA010A">
        <w:rPr>
          <w:u w:val="single"/>
        </w:rPr>
        <w:t>Reactie op het onderzoek</w:t>
      </w:r>
    </w:p>
    <w:p w:rsidRPr="00FF255C" w:rsidR="00FF255C" w:rsidP="00F61269" w:rsidRDefault="00FF255C" w14:paraId="68962423" w14:textId="77777777">
      <w:bookmarkStart w:name="_Hlk201658802" w:id="17"/>
      <w:r w:rsidRPr="00FF255C">
        <w:t>De evaluatie laat zien dat de NHT effectief terrorismeschade verzekerbaar houdt door publieke en private verantwoordelijkheden zorgvuldig te combineren. Hierdoor wordt een risico dat commercieel onverzekerbaar leek, toch gedekt, wat marktfalen voorkomt en dekking voor burgers waarborgt.</w:t>
      </w:r>
      <w:r>
        <w:t xml:space="preserve"> </w:t>
      </w:r>
      <w:r w:rsidRPr="00FF255C">
        <w:t xml:space="preserve">De Staat stelt met een plafond van €50 miljoen duidelijke financiële grenzen aan </w:t>
      </w:r>
      <w:r w:rsidR="00C118BD">
        <w:t>zijn</w:t>
      </w:r>
      <w:r w:rsidRPr="00FF255C" w:rsidR="00C118BD">
        <w:t xml:space="preserve"> </w:t>
      </w:r>
      <w:r w:rsidRPr="00FF255C">
        <w:t xml:space="preserve">aansprakelijkheid, terwijl de commerciële markt tot €950 miljoen draagt. Zo neemt de Staat </w:t>
      </w:r>
      <w:r w:rsidR="00C118BD">
        <w:t>zijn</w:t>
      </w:r>
      <w:r w:rsidRPr="00FF255C" w:rsidR="00C118BD">
        <w:t xml:space="preserve"> </w:t>
      </w:r>
      <w:r w:rsidRPr="00FF255C">
        <w:t>maatschappelijke verantwoordelijkheid zonder onaanvaardbare risico’s te lopen.</w:t>
      </w:r>
    </w:p>
    <w:p w:rsidRPr="00FF255C" w:rsidR="00FF255C" w:rsidP="00F61269" w:rsidRDefault="00FF255C" w14:paraId="62F544FB" w14:textId="77777777">
      <w:r w:rsidRPr="00FF255C">
        <w:t>De uitbesteding aan de gespecialiseerde NHT, gefinancierd door de verzekeringsmarkt, zorgt voor een efficiënte uitvoering met marktconforme premies. De evaluatie bevestigt dat de NHT een passende, efficiënte en maatschappelijk verantwoorde oplossing is om terrorismeschade verzekerbaar te houden.</w:t>
      </w:r>
    </w:p>
    <w:bookmarkEnd w:id="17"/>
    <w:p w:rsidR="00FF255C" w:rsidP="00F61269" w:rsidRDefault="00FF255C" w14:paraId="76642B18" w14:textId="77777777"/>
    <w:p w:rsidRPr="00DC3E9C" w:rsidR="00244A27" w:rsidP="00F61269" w:rsidRDefault="00244A27" w14:paraId="7BD636B8" w14:textId="77777777">
      <w:pPr>
        <w:rPr>
          <w:u w:val="single"/>
        </w:rPr>
      </w:pPr>
      <w:r w:rsidRPr="00765C8C">
        <w:rPr>
          <w:u w:val="single"/>
        </w:rPr>
        <w:t>Voortzetting van de garantie</w:t>
      </w:r>
    </w:p>
    <w:p w:rsidRPr="00FF255C" w:rsidR="00FF255C" w:rsidP="00F61269" w:rsidRDefault="004F3252" w14:paraId="63FE2C8C" w14:textId="77777777">
      <w:bookmarkStart w:name="_Hlk201218754" w:id="18"/>
      <w:r>
        <w:t>Het kabinet</w:t>
      </w:r>
      <w:r w:rsidR="00244A27">
        <w:t xml:space="preserve"> heeft besloten</w:t>
      </w:r>
      <w:r w:rsidRPr="00FF255C" w:rsidR="00FF255C">
        <w:t xml:space="preserve"> om de staatsdeelname voort te zetten</w:t>
      </w:r>
      <w:r w:rsidR="00244A27">
        <w:t>. D</w:t>
      </w:r>
      <w:r w:rsidRPr="00FF255C" w:rsidR="00FF255C">
        <w:t xml:space="preserve">e aanbeveling </w:t>
      </w:r>
      <w:r w:rsidR="00CC6956">
        <w:t xml:space="preserve">in de evaluatie </w:t>
      </w:r>
      <w:r w:rsidRPr="00FF255C" w:rsidR="00FF255C">
        <w:t>om de</w:t>
      </w:r>
      <w:r w:rsidR="00244A27">
        <w:t xml:space="preserve"> participatie van de Staat</w:t>
      </w:r>
      <w:r w:rsidRPr="00FF255C" w:rsidR="00FF255C">
        <w:t xml:space="preserve"> over vijf jaar opnieuw te evalueren</w:t>
      </w:r>
      <w:r w:rsidR="00244A27">
        <w:t xml:space="preserve"> wordt </w:t>
      </w:r>
      <w:r w:rsidR="00CC6956">
        <w:t>dus</w:t>
      </w:r>
      <w:r w:rsidR="00244A27">
        <w:t xml:space="preserve"> overgenomen</w:t>
      </w:r>
      <w:r w:rsidRPr="00FF255C" w:rsidR="00FF255C">
        <w:t>. Bij d</w:t>
      </w:r>
      <w:r w:rsidR="00244A27">
        <w:t xml:space="preserve">e volgende </w:t>
      </w:r>
      <w:r w:rsidRPr="00FF255C" w:rsidR="00FF255C">
        <w:t xml:space="preserve">evaluatie kan </w:t>
      </w:r>
      <w:r w:rsidR="009131A4">
        <w:t xml:space="preserve">opnieuw </w:t>
      </w:r>
      <w:r w:rsidRPr="00FF255C" w:rsidR="00FF255C">
        <w:t xml:space="preserve">worden beoordeeld of </w:t>
      </w:r>
      <w:r w:rsidR="00DC3E9C">
        <w:t xml:space="preserve">verdere </w:t>
      </w:r>
      <w:r w:rsidRPr="00FF255C" w:rsidR="00FF255C">
        <w:t>voortzetting van de participatie wenselijk en passend is.</w:t>
      </w:r>
    </w:p>
    <w:bookmarkEnd w:id="0"/>
    <w:bookmarkEnd w:id="18"/>
    <w:p w:rsidR="00FF255C" w:rsidP="00F61269" w:rsidRDefault="00FF255C" w14:paraId="28FFF2DE" w14:textId="77777777"/>
    <w:p w:rsidR="00B13133" w:rsidP="00F61269" w:rsidRDefault="001F3363" w14:paraId="7E14F9B9" w14:textId="77777777">
      <w:pPr>
        <w:pStyle w:val="StandaardSlotzin"/>
      </w:pPr>
      <w:r>
        <w:t>Hoogachtend,</w:t>
      </w:r>
    </w:p>
    <w:p w:rsidR="00B13133" w:rsidP="00F61269" w:rsidRDefault="00B13133" w14:paraId="05BD2E9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13133" w14:paraId="608B35F2" w14:textId="77777777">
        <w:tc>
          <w:tcPr>
            <w:tcW w:w="3592" w:type="dxa"/>
          </w:tcPr>
          <w:p w:rsidR="00B13133" w:rsidP="00F61269" w:rsidRDefault="001F3363" w14:paraId="45B003A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B13133" w:rsidP="00F61269" w:rsidRDefault="00B13133" w14:paraId="0C8835F8" w14:textId="77777777"/>
        </w:tc>
      </w:tr>
      <w:tr w:rsidR="00B13133" w14:paraId="781EA3B6" w14:textId="77777777">
        <w:tc>
          <w:tcPr>
            <w:tcW w:w="3592" w:type="dxa"/>
          </w:tcPr>
          <w:p w:rsidR="00B13133" w:rsidP="00F61269" w:rsidRDefault="00B13133" w14:paraId="57A1705C" w14:textId="77777777"/>
        </w:tc>
        <w:tc>
          <w:tcPr>
            <w:tcW w:w="3892" w:type="dxa"/>
          </w:tcPr>
          <w:p w:rsidR="00B13133" w:rsidP="00F61269" w:rsidRDefault="00B13133" w14:paraId="67606564" w14:textId="77777777"/>
        </w:tc>
      </w:tr>
      <w:tr w:rsidR="00B13133" w14:paraId="5D66B490" w14:textId="77777777">
        <w:tc>
          <w:tcPr>
            <w:tcW w:w="3592" w:type="dxa"/>
          </w:tcPr>
          <w:p w:rsidR="00B13133" w:rsidP="00F61269" w:rsidRDefault="00B13133" w14:paraId="4A7B7D05" w14:textId="77777777"/>
        </w:tc>
        <w:tc>
          <w:tcPr>
            <w:tcW w:w="3892" w:type="dxa"/>
          </w:tcPr>
          <w:p w:rsidR="00B13133" w:rsidP="00F61269" w:rsidRDefault="00B13133" w14:paraId="7E78050D" w14:textId="77777777"/>
        </w:tc>
      </w:tr>
      <w:tr w:rsidR="00B13133" w14:paraId="4307D172" w14:textId="77777777">
        <w:tc>
          <w:tcPr>
            <w:tcW w:w="3592" w:type="dxa"/>
          </w:tcPr>
          <w:p w:rsidR="00B13133" w:rsidP="00F61269" w:rsidRDefault="00B13133" w14:paraId="4829E76E" w14:textId="77777777"/>
        </w:tc>
        <w:tc>
          <w:tcPr>
            <w:tcW w:w="3892" w:type="dxa"/>
          </w:tcPr>
          <w:p w:rsidR="00B13133" w:rsidP="00F61269" w:rsidRDefault="00B13133" w14:paraId="0AA04F1D" w14:textId="77777777"/>
        </w:tc>
      </w:tr>
      <w:tr w:rsidR="00B13133" w14:paraId="715C6089" w14:textId="77777777">
        <w:tc>
          <w:tcPr>
            <w:tcW w:w="3592" w:type="dxa"/>
          </w:tcPr>
          <w:p w:rsidR="00B13133" w:rsidP="00F61269" w:rsidRDefault="00B13133" w14:paraId="1DFAC7F3" w14:textId="77777777"/>
        </w:tc>
        <w:tc>
          <w:tcPr>
            <w:tcW w:w="3892" w:type="dxa"/>
          </w:tcPr>
          <w:p w:rsidR="00B13133" w:rsidP="00F61269" w:rsidRDefault="00B13133" w14:paraId="38D57E55" w14:textId="77777777"/>
        </w:tc>
      </w:tr>
    </w:tbl>
    <w:p w:rsidRPr="00FF255C" w:rsidR="00FF255C" w:rsidP="00F61269" w:rsidRDefault="00FF255C" w14:paraId="7FF069EB" w14:textId="77777777">
      <w:pPr>
        <w:tabs>
          <w:tab w:val="left" w:pos="3150"/>
        </w:tabs>
      </w:pPr>
    </w:p>
    <w:sectPr w:rsidRPr="00FF255C" w:rsidR="00FF255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A504" w14:textId="77777777" w:rsidR="004568AC" w:rsidRDefault="004568AC">
      <w:pPr>
        <w:spacing w:line="240" w:lineRule="auto"/>
      </w:pPr>
      <w:r>
        <w:separator/>
      </w:r>
    </w:p>
  </w:endnote>
  <w:endnote w:type="continuationSeparator" w:id="0">
    <w:p w14:paraId="496841F0" w14:textId="77777777" w:rsidR="004568AC" w:rsidRDefault="00456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7282" w14:textId="77777777" w:rsidR="004568AC" w:rsidRDefault="004568AC">
      <w:pPr>
        <w:spacing w:line="240" w:lineRule="auto"/>
      </w:pPr>
      <w:r>
        <w:separator/>
      </w:r>
    </w:p>
  </w:footnote>
  <w:footnote w:type="continuationSeparator" w:id="0">
    <w:p w14:paraId="15B5FCF9" w14:textId="77777777" w:rsidR="004568AC" w:rsidRDefault="004568AC">
      <w:pPr>
        <w:spacing w:line="240" w:lineRule="auto"/>
      </w:pPr>
      <w:r>
        <w:continuationSeparator/>
      </w:r>
    </w:p>
  </w:footnote>
  <w:footnote w:id="1">
    <w:p w14:paraId="2BBB7C6F" w14:textId="77777777" w:rsidR="005F7E0C" w:rsidRDefault="005F7E0C">
      <w:pPr>
        <w:pStyle w:val="Voetnoottekst"/>
      </w:pPr>
      <w:r>
        <w:rPr>
          <w:rStyle w:val="Voetnootmarkering"/>
        </w:rPr>
        <w:footnoteRef/>
      </w:r>
      <w:r>
        <w:t xml:space="preserve"> </w:t>
      </w:r>
      <w:r w:rsidRPr="00ED3600">
        <w:rPr>
          <w:i/>
          <w:iCs/>
          <w:sz w:val="16"/>
          <w:szCs w:val="16"/>
        </w:rPr>
        <w:t>Kamerstukken II</w:t>
      </w:r>
      <w:r w:rsidRPr="00ED3600">
        <w:rPr>
          <w:sz w:val="16"/>
          <w:szCs w:val="16"/>
        </w:rPr>
        <w:t> 2002/03, 28915, nr. 3, p. 3.</w:t>
      </w:r>
    </w:p>
  </w:footnote>
  <w:footnote w:id="2">
    <w:p w14:paraId="52A16F49" w14:textId="77777777" w:rsidR="005F7E0C" w:rsidRPr="0097709F" w:rsidRDefault="005F7E0C" w:rsidP="005F7E0C">
      <w:pPr>
        <w:pStyle w:val="Voetnoottekst"/>
        <w:rPr>
          <w:sz w:val="16"/>
          <w:szCs w:val="16"/>
        </w:rPr>
      </w:pPr>
      <w:r w:rsidRPr="0097709F">
        <w:rPr>
          <w:rStyle w:val="Voetnootmarkering"/>
          <w:sz w:val="16"/>
          <w:szCs w:val="16"/>
        </w:rPr>
        <w:footnoteRef/>
      </w:r>
      <w:r w:rsidRPr="0097709F">
        <w:rPr>
          <w:sz w:val="16"/>
          <w:szCs w:val="16"/>
        </w:rPr>
        <w:t xml:space="preserve"> </w:t>
      </w:r>
      <w:r w:rsidRPr="006F1648">
        <w:rPr>
          <w:i/>
          <w:iCs/>
          <w:sz w:val="16"/>
          <w:szCs w:val="16"/>
        </w:rPr>
        <w:t>Kamerstukken II</w:t>
      </w:r>
      <w:r w:rsidRPr="006F1648">
        <w:rPr>
          <w:sz w:val="16"/>
          <w:szCs w:val="16"/>
        </w:rPr>
        <w:t xml:space="preserve"> 2002-2003, 28668, nr. 2, p. 2.</w:t>
      </w:r>
    </w:p>
  </w:footnote>
  <w:footnote w:id="3">
    <w:p w14:paraId="16372FDE" w14:textId="77777777" w:rsidR="00F96964" w:rsidRPr="006F1648" w:rsidRDefault="00F96964" w:rsidP="00F96964">
      <w:pPr>
        <w:pStyle w:val="Voetnoottekst"/>
        <w:rPr>
          <w:sz w:val="16"/>
          <w:szCs w:val="16"/>
        </w:rPr>
      </w:pPr>
      <w:r w:rsidRPr="0097709F">
        <w:rPr>
          <w:rStyle w:val="Voetnootmarkering"/>
          <w:sz w:val="16"/>
          <w:szCs w:val="16"/>
        </w:rPr>
        <w:footnoteRef/>
      </w:r>
      <w:r w:rsidRPr="0097709F">
        <w:rPr>
          <w:sz w:val="16"/>
          <w:szCs w:val="16"/>
        </w:rPr>
        <w:t xml:space="preserve"> </w:t>
      </w:r>
      <w:r w:rsidRPr="006F1648">
        <w:rPr>
          <w:sz w:val="16"/>
          <w:szCs w:val="16"/>
        </w:rPr>
        <w:t>Bulletin “de verzekerbaarheid van terrorisme”, Verbond van Verzekeraars (Juni 2003).</w:t>
      </w:r>
    </w:p>
  </w:footnote>
  <w:footnote w:id="4">
    <w:p w14:paraId="5E342426" w14:textId="77777777" w:rsidR="005F7E0C" w:rsidRDefault="005F7E0C" w:rsidP="005F7E0C">
      <w:pPr>
        <w:pStyle w:val="Voetnoottekst"/>
      </w:pPr>
      <w:r w:rsidRPr="0097709F">
        <w:rPr>
          <w:rStyle w:val="Voetnootmarkering"/>
          <w:sz w:val="16"/>
          <w:szCs w:val="16"/>
        </w:rPr>
        <w:footnoteRef/>
      </w:r>
      <w:r w:rsidRPr="0097709F">
        <w:rPr>
          <w:sz w:val="16"/>
          <w:szCs w:val="16"/>
        </w:rPr>
        <w:t xml:space="preserve"> </w:t>
      </w:r>
      <w:r w:rsidRPr="006F1648">
        <w:rPr>
          <w:i/>
          <w:iCs/>
          <w:sz w:val="16"/>
          <w:szCs w:val="16"/>
        </w:rPr>
        <w:t>Kamerstukken II</w:t>
      </w:r>
      <w:r w:rsidRPr="006F1648">
        <w:rPr>
          <w:sz w:val="16"/>
          <w:szCs w:val="16"/>
        </w:rPr>
        <w:t> 2002/03, 28915, nr. 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3E0A" w14:textId="77777777" w:rsidR="00B13133" w:rsidRDefault="001F3363">
    <w:r>
      <w:rPr>
        <w:noProof/>
      </w:rPr>
      <mc:AlternateContent>
        <mc:Choice Requires="wps">
          <w:drawing>
            <wp:anchor distT="0" distB="0" distL="0" distR="0" simplePos="0" relativeHeight="251652096" behindDoc="0" locked="1" layoutInCell="1" allowOverlap="1" wp14:anchorId="319417D9" wp14:editId="1963B19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A6107C" w14:textId="77777777" w:rsidR="00B13133" w:rsidRDefault="001F3363">
                          <w:pPr>
                            <w:pStyle w:val="StandaardReferentiegegevensKop"/>
                          </w:pPr>
                          <w:r>
                            <w:t>Directie Financiële Markten</w:t>
                          </w:r>
                        </w:p>
                        <w:p w14:paraId="4ED316F3" w14:textId="77777777" w:rsidR="00B13133" w:rsidRDefault="00B13133">
                          <w:pPr>
                            <w:pStyle w:val="WitregelW1"/>
                          </w:pPr>
                        </w:p>
                        <w:p w14:paraId="13244112" w14:textId="77777777" w:rsidR="00B13133" w:rsidRDefault="001F3363">
                          <w:pPr>
                            <w:pStyle w:val="StandaardReferentiegegevensKop"/>
                          </w:pPr>
                          <w:r>
                            <w:t>Ons kenmerk</w:t>
                          </w:r>
                        </w:p>
                        <w:p w14:paraId="70E10C61" w14:textId="0A887303" w:rsidR="00D76FDE" w:rsidRDefault="008D1BFC">
                          <w:pPr>
                            <w:pStyle w:val="StandaardReferentiegegevens"/>
                          </w:pPr>
                          <w:r>
                            <w:fldChar w:fldCharType="begin"/>
                          </w:r>
                          <w:r>
                            <w:instrText xml:space="preserve"> DOCPROPERTY  "Kenmerk"  \* MERGEFORMAT </w:instrText>
                          </w:r>
                          <w:r>
                            <w:fldChar w:fldCharType="separate"/>
                          </w:r>
                          <w:r>
                            <w:t>2025-0000159107</w:t>
                          </w:r>
                          <w:r>
                            <w:fldChar w:fldCharType="end"/>
                          </w:r>
                        </w:p>
                      </w:txbxContent>
                    </wps:txbx>
                    <wps:bodyPr vert="horz" wrap="square" lIns="0" tIns="0" rIns="0" bIns="0" anchor="t" anchorCtr="0"/>
                  </wps:wsp>
                </a:graphicData>
              </a:graphic>
            </wp:anchor>
          </w:drawing>
        </mc:Choice>
        <mc:Fallback>
          <w:pict>
            <v:shapetype w14:anchorId="319417D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A6107C" w14:textId="77777777" w:rsidR="00B13133" w:rsidRDefault="001F3363">
                    <w:pPr>
                      <w:pStyle w:val="StandaardReferentiegegevensKop"/>
                    </w:pPr>
                    <w:r>
                      <w:t>Directie Financiële Markten</w:t>
                    </w:r>
                  </w:p>
                  <w:p w14:paraId="4ED316F3" w14:textId="77777777" w:rsidR="00B13133" w:rsidRDefault="00B13133">
                    <w:pPr>
                      <w:pStyle w:val="WitregelW1"/>
                    </w:pPr>
                  </w:p>
                  <w:p w14:paraId="13244112" w14:textId="77777777" w:rsidR="00B13133" w:rsidRDefault="001F3363">
                    <w:pPr>
                      <w:pStyle w:val="StandaardReferentiegegevensKop"/>
                    </w:pPr>
                    <w:r>
                      <w:t>Ons kenmerk</w:t>
                    </w:r>
                  </w:p>
                  <w:p w14:paraId="70E10C61" w14:textId="0A887303" w:rsidR="00D76FDE" w:rsidRDefault="008D1BFC">
                    <w:pPr>
                      <w:pStyle w:val="StandaardReferentiegegevens"/>
                    </w:pPr>
                    <w:r>
                      <w:fldChar w:fldCharType="begin"/>
                    </w:r>
                    <w:r>
                      <w:instrText xml:space="preserve"> DOCPROPERTY  "Kenmerk"  \* MERGEFORMAT </w:instrText>
                    </w:r>
                    <w:r>
                      <w:fldChar w:fldCharType="separate"/>
                    </w:r>
                    <w:r>
                      <w:t>2025-0000159107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0A05B20" wp14:editId="42D4A4B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17936C" w14:textId="77777777" w:rsidR="00D76FDE" w:rsidRDefault="008D1BF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0A05B2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217936C" w14:textId="77777777" w:rsidR="00D76FDE" w:rsidRDefault="008D1BF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2C0660F" wp14:editId="5A183C4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D8DF3FB" w14:textId="31548853" w:rsidR="00D76FDE" w:rsidRDefault="008D1BF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2C0660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D8DF3FB" w14:textId="31548853" w:rsidR="00D76FDE" w:rsidRDefault="008D1BF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DE41" w14:textId="77777777" w:rsidR="00B13133" w:rsidRDefault="001F3363">
    <w:pPr>
      <w:spacing w:after="7029" w:line="14" w:lineRule="exact"/>
    </w:pPr>
    <w:r>
      <w:rPr>
        <w:noProof/>
      </w:rPr>
      <mc:AlternateContent>
        <mc:Choice Requires="wps">
          <w:drawing>
            <wp:anchor distT="0" distB="0" distL="0" distR="0" simplePos="0" relativeHeight="251655168" behindDoc="0" locked="1" layoutInCell="1" allowOverlap="1" wp14:anchorId="6ECCEF6A" wp14:editId="4709B93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5163E4F" w14:textId="77777777" w:rsidR="00B13133" w:rsidRDefault="001F3363">
                          <w:pPr>
                            <w:spacing w:line="240" w:lineRule="auto"/>
                          </w:pPr>
                          <w:r>
                            <w:rPr>
                              <w:noProof/>
                            </w:rPr>
                            <w:drawing>
                              <wp:inline distT="0" distB="0" distL="0" distR="0" wp14:anchorId="0981534A" wp14:editId="4164FC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CCEF6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5163E4F" w14:textId="77777777" w:rsidR="00B13133" w:rsidRDefault="001F3363">
                    <w:pPr>
                      <w:spacing w:line="240" w:lineRule="auto"/>
                    </w:pPr>
                    <w:r>
                      <w:rPr>
                        <w:noProof/>
                      </w:rPr>
                      <w:drawing>
                        <wp:inline distT="0" distB="0" distL="0" distR="0" wp14:anchorId="0981534A" wp14:editId="4164FC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B13F2DC" wp14:editId="2758C76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EEDFED3" w14:textId="77777777" w:rsidR="001F3363" w:rsidRDefault="001F3363"/>
                      </w:txbxContent>
                    </wps:txbx>
                    <wps:bodyPr vert="horz" wrap="square" lIns="0" tIns="0" rIns="0" bIns="0" anchor="t" anchorCtr="0"/>
                  </wps:wsp>
                </a:graphicData>
              </a:graphic>
            </wp:anchor>
          </w:drawing>
        </mc:Choice>
        <mc:Fallback>
          <w:pict>
            <v:shape w14:anchorId="5B13F2D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EEDFED3" w14:textId="77777777" w:rsidR="001F3363" w:rsidRDefault="001F336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E58578" wp14:editId="673E0D0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199AF0B" w14:textId="77777777" w:rsidR="00B13133" w:rsidRDefault="001F3363">
                          <w:pPr>
                            <w:pStyle w:val="StandaardReferentiegegevensKop"/>
                          </w:pPr>
                          <w:r>
                            <w:t>Directie Financiële Markten</w:t>
                          </w:r>
                        </w:p>
                        <w:p w14:paraId="1FDD1024" w14:textId="77777777" w:rsidR="00B13133" w:rsidRDefault="00B13133">
                          <w:pPr>
                            <w:pStyle w:val="WitregelW1"/>
                          </w:pPr>
                        </w:p>
                        <w:p w14:paraId="7EC0F211" w14:textId="77777777" w:rsidR="00B13133" w:rsidRDefault="001F3363">
                          <w:pPr>
                            <w:pStyle w:val="StandaardReferentiegegevens"/>
                          </w:pPr>
                          <w:r>
                            <w:t>Korte Voorhout 7</w:t>
                          </w:r>
                        </w:p>
                        <w:p w14:paraId="4B1370D5" w14:textId="77777777" w:rsidR="00B13133" w:rsidRDefault="001F3363">
                          <w:pPr>
                            <w:pStyle w:val="StandaardReferentiegegevens"/>
                          </w:pPr>
                          <w:r>
                            <w:t>2511 CW  'S-GRAVENHAGE</w:t>
                          </w:r>
                        </w:p>
                        <w:p w14:paraId="43DC828E" w14:textId="77777777" w:rsidR="00B13133" w:rsidRDefault="001F3363">
                          <w:pPr>
                            <w:pStyle w:val="StandaardReferentiegegevens"/>
                          </w:pPr>
                          <w:r>
                            <w:t>POSTBUS 20201</w:t>
                          </w:r>
                        </w:p>
                        <w:p w14:paraId="7D895FFE" w14:textId="77777777" w:rsidR="00B13133" w:rsidRDefault="001F3363">
                          <w:pPr>
                            <w:pStyle w:val="StandaardReferentiegegevens"/>
                          </w:pPr>
                          <w:r>
                            <w:t>2500 EE  'S-GRAVENHAGE</w:t>
                          </w:r>
                        </w:p>
                        <w:p w14:paraId="1A348E62" w14:textId="77777777" w:rsidR="00B13133" w:rsidRDefault="001F3363">
                          <w:pPr>
                            <w:pStyle w:val="StandaardReferentiegegevens"/>
                          </w:pPr>
                          <w:proofErr w:type="gramStart"/>
                          <w:r>
                            <w:t>www.rijksoverheid.nl/fin</w:t>
                          </w:r>
                          <w:proofErr w:type="gramEnd"/>
                        </w:p>
                        <w:p w14:paraId="6D4709DC" w14:textId="77777777" w:rsidR="00B13133" w:rsidRDefault="00B13133">
                          <w:pPr>
                            <w:pStyle w:val="WitregelW2"/>
                          </w:pPr>
                        </w:p>
                        <w:p w14:paraId="595228F8" w14:textId="77777777" w:rsidR="00B13133" w:rsidRDefault="001F3363">
                          <w:pPr>
                            <w:pStyle w:val="StandaardReferentiegegevensKop"/>
                          </w:pPr>
                          <w:r>
                            <w:t>Ons kenmerk</w:t>
                          </w:r>
                        </w:p>
                        <w:p w14:paraId="3FFA893C" w14:textId="4CE2F2C5" w:rsidR="00D76FDE" w:rsidRDefault="008D1BFC">
                          <w:pPr>
                            <w:pStyle w:val="StandaardReferentiegegevens"/>
                          </w:pPr>
                          <w:r>
                            <w:fldChar w:fldCharType="begin"/>
                          </w:r>
                          <w:r>
                            <w:instrText xml:space="preserve"> DOCPROPERTY  "Kenmerk"  \* MERGEFORMAT </w:instrText>
                          </w:r>
                          <w:r>
                            <w:fldChar w:fldCharType="separate"/>
                          </w:r>
                          <w:r>
                            <w:t>2025-0000159107</w:t>
                          </w:r>
                          <w:r>
                            <w:fldChar w:fldCharType="end"/>
                          </w:r>
                        </w:p>
                        <w:p w14:paraId="096FA628" w14:textId="77777777" w:rsidR="00B13133" w:rsidRDefault="00B13133">
                          <w:pPr>
                            <w:pStyle w:val="WitregelW1"/>
                          </w:pPr>
                        </w:p>
                        <w:p w14:paraId="1B45FA77" w14:textId="77777777" w:rsidR="00B13133" w:rsidRDefault="001F3363">
                          <w:pPr>
                            <w:pStyle w:val="StandaardReferentiegegevensKop"/>
                          </w:pPr>
                          <w:r>
                            <w:t>Uw brief (kenmerk)</w:t>
                          </w:r>
                        </w:p>
                        <w:p w14:paraId="66A667F7" w14:textId="3AFC5D65" w:rsidR="00D76FDE" w:rsidRDefault="008D1BFC">
                          <w:pPr>
                            <w:pStyle w:val="StandaardReferentiegegevens"/>
                          </w:pPr>
                          <w:r>
                            <w:fldChar w:fldCharType="begin"/>
                          </w:r>
                          <w:r>
                            <w:instrText xml:space="preserve"> DOCPROPERTY  "UwKenmerk"  \* MERGEFORMAT </w:instrText>
                          </w:r>
                          <w:r>
                            <w:fldChar w:fldCharType="end"/>
                          </w:r>
                        </w:p>
                        <w:p w14:paraId="18EF6C8A" w14:textId="77777777" w:rsidR="00B13133" w:rsidRDefault="00B13133">
                          <w:pPr>
                            <w:pStyle w:val="WitregelW1"/>
                          </w:pPr>
                        </w:p>
                        <w:p w14:paraId="34239CA3" w14:textId="77777777" w:rsidR="00B13133" w:rsidRDefault="001F3363">
                          <w:pPr>
                            <w:pStyle w:val="StandaardReferentiegegevensKop"/>
                          </w:pPr>
                          <w:r>
                            <w:t>Bijlagen</w:t>
                          </w:r>
                        </w:p>
                        <w:p w14:paraId="553CDD06" w14:textId="77777777" w:rsidR="00B13133" w:rsidRDefault="001F3363">
                          <w:pPr>
                            <w:pStyle w:val="StandaardReferentiegegevens"/>
                          </w:pPr>
                          <w:r>
                            <w:t>1. Evaluatie NHT</w:t>
                          </w:r>
                        </w:p>
                        <w:p w14:paraId="1AF817C8" w14:textId="77777777" w:rsidR="00B13133" w:rsidRDefault="001F3363">
                          <w:pPr>
                            <w:pStyle w:val="StandaardReferentiegegevens"/>
                          </w:pPr>
                          <w:r>
                            <w:t xml:space="preserve">2. </w:t>
                          </w:r>
                          <w:r w:rsidR="004E3CCC">
                            <w:t>Toetsingskader</w:t>
                          </w:r>
                          <w:r>
                            <w:t xml:space="preserve"> NHT</w:t>
                          </w:r>
                        </w:p>
                      </w:txbxContent>
                    </wps:txbx>
                    <wps:bodyPr vert="horz" wrap="square" lIns="0" tIns="0" rIns="0" bIns="0" anchor="t" anchorCtr="0"/>
                  </wps:wsp>
                </a:graphicData>
              </a:graphic>
            </wp:anchor>
          </w:drawing>
        </mc:Choice>
        <mc:Fallback>
          <w:pict>
            <v:shape w14:anchorId="13E5857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199AF0B" w14:textId="77777777" w:rsidR="00B13133" w:rsidRDefault="001F3363">
                    <w:pPr>
                      <w:pStyle w:val="StandaardReferentiegegevensKop"/>
                    </w:pPr>
                    <w:r>
                      <w:t>Directie Financiële Markten</w:t>
                    </w:r>
                  </w:p>
                  <w:p w14:paraId="1FDD1024" w14:textId="77777777" w:rsidR="00B13133" w:rsidRDefault="00B13133">
                    <w:pPr>
                      <w:pStyle w:val="WitregelW1"/>
                    </w:pPr>
                  </w:p>
                  <w:p w14:paraId="7EC0F211" w14:textId="77777777" w:rsidR="00B13133" w:rsidRDefault="001F3363">
                    <w:pPr>
                      <w:pStyle w:val="StandaardReferentiegegevens"/>
                    </w:pPr>
                    <w:r>
                      <w:t>Korte Voorhout 7</w:t>
                    </w:r>
                  </w:p>
                  <w:p w14:paraId="4B1370D5" w14:textId="77777777" w:rsidR="00B13133" w:rsidRDefault="001F3363">
                    <w:pPr>
                      <w:pStyle w:val="StandaardReferentiegegevens"/>
                    </w:pPr>
                    <w:r>
                      <w:t>2511 CW  'S-GRAVENHAGE</w:t>
                    </w:r>
                  </w:p>
                  <w:p w14:paraId="43DC828E" w14:textId="77777777" w:rsidR="00B13133" w:rsidRDefault="001F3363">
                    <w:pPr>
                      <w:pStyle w:val="StandaardReferentiegegevens"/>
                    </w:pPr>
                    <w:r>
                      <w:t>POSTBUS 20201</w:t>
                    </w:r>
                  </w:p>
                  <w:p w14:paraId="7D895FFE" w14:textId="77777777" w:rsidR="00B13133" w:rsidRDefault="001F3363">
                    <w:pPr>
                      <w:pStyle w:val="StandaardReferentiegegevens"/>
                    </w:pPr>
                    <w:r>
                      <w:t>2500 EE  'S-GRAVENHAGE</w:t>
                    </w:r>
                  </w:p>
                  <w:p w14:paraId="1A348E62" w14:textId="77777777" w:rsidR="00B13133" w:rsidRDefault="001F3363">
                    <w:pPr>
                      <w:pStyle w:val="StandaardReferentiegegevens"/>
                    </w:pPr>
                    <w:proofErr w:type="gramStart"/>
                    <w:r>
                      <w:t>www.rijksoverheid.nl/fin</w:t>
                    </w:r>
                    <w:proofErr w:type="gramEnd"/>
                  </w:p>
                  <w:p w14:paraId="6D4709DC" w14:textId="77777777" w:rsidR="00B13133" w:rsidRDefault="00B13133">
                    <w:pPr>
                      <w:pStyle w:val="WitregelW2"/>
                    </w:pPr>
                  </w:p>
                  <w:p w14:paraId="595228F8" w14:textId="77777777" w:rsidR="00B13133" w:rsidRDefault="001F3363">
                    <w:pPr>
                      <w:pStyle w:val="StandaardReferentiegegevensKop"/>
                    </w:pPr>
                    <w:r>
                      <w:t>Ons kenmerk</w:t>
                    </w:r>
                  </w:p>
                  <w:p w14:paraId="3FFA893C" w14:textId="4CE2F2C5" w:rsidR="00D76FDE" w:rsidRDefault="008D1BFC">
                    <w:pPr>
                      <w:pStyle w:val="StandaardReferentiegegevens"/>
                    </w:pPr>
                    <w:r>
                      <w:fldChar w:fldCharType="begin"/>
                    </w:r>
                    <w:r>
                      <w:instrText xml:space="preserve"> DOCPROPERTY  "Kenmerk"  \* MERGEFORMAT </w:instrText>
                    </w:r>
                    <w:r>
                      <w:fldChar w:fldCharType="separate"/>
                    </w:r>
                    <w:r>
                      <w:t>2025-0000159107</w:t>
                    </w:r>
                    <w:r>
                      <w:fldChar w:fldCharType="end"/>
                    </w:r>
                  </w:p>
                  <w:p w14:paraId="096FA628" w14:textId="77777777" w:rsidR="00B13133" w:rsidRDefault="00B13133">
                    <w:pPr>
                      <w:pStyle w:val="WitregelW1"/>
                    </w:pPr>
                  </w:p>
                  <w:p w14:paraId="1B45FA77" w14:textId="77777777" w:rsidR="00B13133" w:rsidRDefault="001F3363">
                    <w:pPr>
                      <w:pStyle w:val="StandaardReferentiegegevensKop"/>
                    </w:pPr>
                    <w:r>
                      <w:t>Uw brief (kenmerk)</w:t>
                    </w:r>
                  </w:p>
                  <w:p w14:paraId="66A667F7" w14:textId="3AFC5D65" w:rsidR="00D76FDE" w:rsidRDefault="008D1BFC">
                    <w:pPr>
                      <w:pStyle w:val="StandaardReferentiegegevens"/>
                    </w:pPr>
                    <w:r>
                      <w:fldChar w:fldCharType="begin"/>
                    </w:r>
                    <w:r>
                      <w:instrText xml:space="preserve"> DOCPROPERTY  "UwKenmerk"  \* MERGEFORMAT </w:instrText>
                    </w:r>
                    <w:r>
                      <w:fldChar w:fldCharType="end"/>
                    </w:r>
                  </w:p>
                  <w:p w14:paraId="18EF6C8A" w14:textId="77777777" w:rsidR="00B13133" w:rsidRDefault="00B13133">
                    <w:pPr>
                      <w:pStyle w:val="WitregelW1"/>
                    </w:pPr>
                  </w:p>
                  <w:p w14:paraId="34239CA3" w14:textId="77777777" w:rsidR="00B13133" w:rsidRDefault="001F3363">
                    <w:pPr>
                      <w:pStyle w:val="StandaardReferentiegegevensKop"/>
                    </w:pPr>
                    <w:r>
                      <w:t>Bijlagen</w:t>
                    </w:r>
                  </w:p>
                  <w:p w14:paraId="553CDD06" w14:textId="77777777" w:rsidR="00B13133" w:rsidRDefault="001F3363">
                    <w:pPr>
                      <w:pStyle w:val="StandaardReferentiegegevens"/>
                    </w:pPr>
                    <w:r>
                      <w:t>1. Evaluatie NHT</w:t>
                    </w:r>
                  </w:p>
                  <w:p w14:paraId="1AF817C8" w14:textId="77777777" w:rsidR="00B13133" w:rsidRDefault="001F3363">
                    <w:pPr>
                      <w:pStyle w:val="StandaardReferentiegegevens"/>
                    </w:pPr>
                    <w:r>
                      <w:t xml:space="preserve">2. </w:t>
                    </w:r>
                    <w:r w:rsidR="004E3CCC">
                      <w:t>Toetsingskader</w:t>
                    </w:r>
                    <w:r>
                      <w:t xml:space="preserve"> NHT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86CDD6" wp14:editId="1893741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26CF42" w14:textId="77777777" w:rsidR="00B13133" w:rsidRDefault="001F336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286CDD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26CF42" w14:textId="77777777" w:rsidR="00B13133" w:rsidRDefault="001F336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D97F07" wp14:editId="11EB263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55A6A79" w14:textId="1FDAE012" w:rsidR="00D76FDE" w:rsidRDefault="008D1BFC">
                          <w:pPr>
                            <w:pStyle w:val="Rubricering"/>
                          </w:pPr>
                          <w:r>
                            <w:fldChar w:fldCharType="begin"/>
                          </w:r>
                          <w:r>
                            <w:instrText xml:space="preserve"> DOCPROPERTY  "Rubricering"  \* MERGEFORMAT </w:instrText>
                          </w:r>
                          <w:r>
                            <w:fldChar w:fldCharType="end"/>
                          </w:r>
                        </w:p>
                        <w:p w14:paraId="18B37735" w14:textId="77777777" w:rsidR="00B13133" w:rsidRDefault="001F336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BD97F0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55A6A79" w14:textId="1FDAE012" w:rsidR="00D76FDE" w:rsidRDefault="008D1BFC">
                    <w:pPr>
                      <w:pStyle w:val="Rubricering"/>
                    </w:pPr>
                    <w:r>
                      <w:fldChar w:fldCharType="begin"/>
                    </w:r>
                    <w:r>
                      <w:instrText xml:space="preserve"> DOCPROPERTY  "Rubricering"  \* MERGEFORMAT </w:instrText>
                    </w:r>
                    <w:r>
                      <w:fldChar w:fldCharType="end"/>
                    </w:r>
                  </w:p>
                  <w:p w14:paraId="18B37735" w14:textId="77777777" w:rsidR="00B13133" w:rsidRDefault="001F336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26747D" wp14:editId="2F4F84B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DA187AB" w14:textId="77777777" w:rsidR="00D76FDE" w:rsidRDefault="008D1BF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26747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DA187AB" w14:textId="77777777" w:rsidR="00D76FDE" w:rsidRDefault="008D1BF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A39895" wp14:editId="57214AC5">
              <wp:simplePos x="0" y="0"/>
              <wp:positionH relativeFrom="margin">
                <wp:align>left</wp:align>
              </wp:positionH>
              <wp:positionV relativeFrom="page">
                <wp:posOffset>3637915</wp:posOffset>
              </wp:positionV>
              <wp:extent cx="4105275" cy="8191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81915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B13133" w14:paraId="076A03BB" w14:textId="77777777" w:rsidTr="0097709F">
                            <w:trPr>
                              <w:trHeight w:val="200"/>
                            </w:trPr>
                            <w:tc>
                              <w:tcPr>
                                <w:tcW w:w="1140" w:type="dxa"/>
                              </w:tcPr>
                              <w:p w14:paraId="7AB10DC5" w14:textId="77777777" w:rsidR="00B13133" w:rsidRDefault="00B13133"/>
                            </w:tc>
                            <w:tc>
                              <w:tcPr>
                                <w:tcW w:w="5400" w:type="dxa"/>
                              </w:tcPr>
                              <w:p w14:paraId="756A3B18" w14:textId="77777777" w:rsidR="00B13133" w:rsidRDefault="00B13133"/>
                            </w:tc>
                          </w:tr>
                          <w:tr w:rsidR="00B13133" w14:paraId="1700CF1A" w14:textId="77777777" w:rsidTr="0094751F">
                            <w:trPr>
                              <w:trHeight w:val="240"/>
                            </w:trPr>
                            <w:tc>
                              <w:tcPr>
                                <w:tcW w:w="1140" w:type="dxa"/>
                              </w:tcPr>
                              <w:p w14:paraId="364FA38B" w14:textId="101234F2" w:rsidR="008D1BFC" w:rsidRDefault="008D1BFC">
                                <w:r>
                                  <w:t>Datum</w:t>
                                </w:r>
                              </w:p>
                              <w:p w14:paraId="1E88A1BF" w14:textId="697B3290" w:rsidR="00B13133" w:rsidRDefault="001F3363">
                                <w:r>
                                  <w:t>Betreft</w:t>
                                </w:r>
                              </w:p>
                            </w:tc>
                            <w:tc>
                              <w:tcPr>
                                <w:tcW w:w="5400" w:type="dxa"/>
                              </w:tcPr>
                              <w:p w14:paraId="7F8FADDF" w14:textId="647A2761" w:rsidR="008D1BFC" w:rsidRDefault="008D1BFC">
                                <w:r>
                                  <w:t>19 augustus 2025</w:t>
                                </w:r>
                              </w:p>
                              <w:p w14:paraId="7AB1EDE8" w14:textId="2841CE2F" w:rsidR="00237929" w:rsidRDefault="000532C5">
                                <w:r>
                                  <w:t xml:space="preserve">Aanbiedingsbrief </w:t>
                                </w:r>
                                <w:r w:rsidR="0097709F">
                                  <w:t xml:space="preserve">evaluatie NHT en voortzetting </w:t>
                                </w:r>
                                <w:r w:rsidR="00C55730">
                                  <w:t>s</w:t>
                                </w:r>
                                <w:r w:rsidR="0097709F">
                                  <w:t xml:space="preserve">taatsdeelname NHT </w:t>
                                </w:r>
                              </w:p>
                            </w:tc>
                          </w:tr>
                          <w:tr w:rsidR="00B13133" w14:paraId="4878B1FB" w14:textId="77777777" w:rsidTr="0097709F">
                            <w:trPr>
                              <w:trHeight w:val="200"/>
                            </w:trPr>
                            <w:tc>
                              <w:tcPr>
                                <w:tcW w:w="1140" w:type="dxa"/>
                              </w:tcPr>
                              <w:p w14:paraId="1515C8A1" w14:textId="77777777" w:rsidR="00B13133" w:rsidRDefault="00B13133"/>
                            </w:tc>
                            <w:tc>
                              <w:tcPr>
                                <w:tcW w:w="5400" w:type="dxa"/>
                              </w:tcPr>
                              <w:p w14:paraId="7FBE7418" w14:textId="77777777" w:rsidR="00B13133" w:rsidRDefault="00B13133"/>
                            </w:tc>
                          </w:tr>
                        </w:tbl>
                        <w:p w14:paraId="5950CE5D" w14:textId="77777777" w:rsidR="001F3363" w:rsidRDefault="001F336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A39895" id="bd4aaf7a-03a6-11ee-8f29-0242ac130005" o:spid="_x0000_s1035" type="#_x0000_t202" style="position:absolute;margin-left:0;margin-top:286.45pt;width:323.25pt;height:64.5pt;z-index:25166131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" filled="f" stroked="f">
              <v:textbox inset="0,0,0,0">
                <w:txbxContent>
                  <w:tbl>
                    <w:tblPr>
                      <w:tblW w:w="6540" w:type="dxa"/>
                      <w:tblLayout w:type="fixed"/>
                      <w:tblLook w:val="07E0" w:firstRow="1" w:lastRow="1" w:firstColumn="1" w:lastColumn="1" w:noHBand="1" w:noVBand="1"/>
                    </w:tblPr>
                    <w:tblGrid>
                      <w:gridCol w:w="1140"/>
                      <w:gridCol w:w="5400"/>
                    </w:tblGrid>
                    <w:tr w:rsidR="00B13133" w14:paraId="076A03BB" w14:textId="77777777" w:rsidTr="0097709F">
                      <w:trPr>
                        <w:trHeight w:val="200"/>
                      </w:trPr>
                      <w:tc>
                        <w:tcPr>
                          <w:tcW w:w="1140" w:type="dxa"/>
                        </w:tcPr>
                        <w:p w14:paraId="7AB10DC5" w14:textId="77777777" w:rsidR="00B13133" w:rsidRDefault="00B13133"/>
                      </w:tc>
                      <w:tc>
                        <w:tcPr>
                          <w:tcW w:w="5400" w:type="dxa"/>
                        </w:tcPr>
                        <w:p w14:paraId="756A3B18" w14:textId="77777777" w:rsidR="00B13133" w:rsidRDefault="00B13133"/>
                      </w:tc>
                    </w:tr>
                    <w:tr w:rsidR="00B13133" w14:paraId="1700CF1A" w14:textId="77777777" w:rsidTr="0094751F">
                      <w:trPr>
                        <w:trHeight w:val="240"/>
                      </w:trPr>
                      <w:tc>
                        <w:tcPr>
                          <w:tcW w:w="1140" w:type="dxa"/>
                        </w:tcPr>
                        <w:p w14:paraId="364FA38B" w14:textId="101234F2" w:rsidR="008D1BFC" w:rsidRDefault="008D1BFC">
                          <w:r>
                            <w:t>Datum</w:t>
                          </w:r>
                        </w:p>
                        <w:p w14:paraId="1E88A1BF" w14:textId="697B3290" w:rsidR="00B13133" w:rsidRDefault="001F3363">
                          <w:r>
                            <w:t>Betreft</w:t>
                          </w:r>
                        </w:p>
                      </w:tc>
                      <w:tc>
                        <w:tcPr>
                          <w:tcW w:w="5400" w:type="dxa"/>
                        </w:tcPr>
                        <w:p w14:paraId="7F8FADDF" w14:textId="647A2761" w:rsidR="008D1BFC" w:rsidRDefault="008D1BFC">
                          <w:r>
                            <w:t>19 augustus 2025</w:t>
                          </w:r>
                        </w:p>
                        <w:p w14:paraId="7AB1EDE8" w14:textId="2841CE2F" w:rsidR="00237929" w:rsidRDefault="000532C5">
                          <w:r>
                            <w:t xml:space="preserve">Aanbiedingsbrief </w:t>
                          </w:r>
                          <w:r w:rsidR="0097709F">
                            <w:t xml:space="preserve">evaluatie NHT en voortzetting </w:t>
                          </w:r>
                          <w:r w:rsidR="00C55730">
                            <w:t>s</w:t>
                          </w:r>
                          <w:r w:rsidR="0097709F">
                            <w:t xml:space="preserve">taatsdeelname NHT </w:t>
                          </w:r>
                        </w:p>
                      </w:tc>
                    </w:tr>
                    <w:tr w:rsidR="00B13133" w14:paraId="4878B1FB" w14:textId="77777777" w:rsidTr="0097709F">
                      <w:trPr>
                        <w:trHeight w:val="200"/>
                      </w:trPr>
                      <w:tc>
                        <w:tcPr>
                          <w:tcW w:w="1140" w:type="dxa"/>
                        </w:tcPr>
                        <w:p w14:paraId="1515C8A1" w14:textId="77777777" w:rsidR="00B13133" w:rsidRDefault="00B13133"/>
                      </w:tc>
                      <w:tc>
                        <w:tcPr>
                          <w:tcW w:w="5400" w:type="dxa"/>
                        </w:tcPr>
                        <w:p w14:paraId="7FBE7418" w14:textId="77777777" w:rsidR="00B13133" w:rsidRDefault="00B13133"/>
                      </w:tc>
                    </w:tr>
                  </w:tbl>
                  <w:p w14:paraId="5950CE5D" w14:textId="77777777" w:rsidR="001F3363" w:rsidRDefault="001F3363"/>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333E3BB6" wp14:editId="75858E4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765F87F" w14:textId="77777777" w:rsidR="00D76FDE" w:rsidRDefault="008D1BF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3E3BB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765F87F" w14:textId="77777777" w:rsidR="00D76FDE" w:rsidRDefault="008D1BF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B03FD8" wp14:editId="478DF34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096DA85" w14:textId="77777777" w:rsidR="001F3363" w:rsidRDefault="001F3363"/>
                      </w:txbxContent>
                    </wps:txbx>
                    <wps:bodyPr vert="horz" wrap="square" lIns="0" tIns="0" rIns="0" bIns="0" anchor="t" anchorCtr="0"/>
                  </wps:wsp>
                </a:graphicData>
              </a:graphic>
            </wp:anchor>
          </w:drawing>
        </mc:Choice>
        <mc:Fallback>
          <w:pict>
            <v:shape w14:anchorId="1FB03F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096DA85" w14:textId="77777777" w:rsidR="001F3363" w:rsidRDefault="001F33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D283C"/>
    <w:multiLevelType w:val="multilevel"/>
    <w:tmpl w:val="25F1F4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6F047F0"/>
    <w:multiLevelType w:val="multilevel"/>
    <w:tmpl w:val="E23FE7F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5D7E38"/>
    <w:multiLevelType w:val="multilevel"/>
    <w:tmpl w:val="87688A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BBF53E"/>
    <w:multiLevelType w:val="multilevel"/>
    <w:tmpl w:val="FDF8ED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F888DA4"/>
    <w:multiLevelType w:val="multilevel"/>
    <w:tmpl w:val="413B8E3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738EA"/>
    <w:multiLevelType w:val="hybridMultilevel"/>
    <w:tmpl w:val="303A7772"/>
    <w:lvl w:ilvl="0" w:tplc="A876609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0A04C1"/>
    <w:multiLevelType w:val="hybridMultilevel"/>
    <w:tmpl w:val="9C9EC7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95328D"/>
    <w:multiLevelType w:val="hybridMultilevel"/>
    <w:tmpl w:val="18FCF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CBEFA8"/>
    <w:multiLevelType w:val="multilevel"/>
    <w:tmpl w:val="9857825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C4C51"/>
    <w:multiLevelType w:val="hybridMultilevel"/>
    <w:tmpl w:val="B5FAD8B8"/>
    <w:lvl w:ilvl="0" w:tplc="A876609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2250775">
    <w:abstractNumId w:val="8"/>
  </w:num>
  <w:num w:numId="2" w16cid:durableId="520356783">
    <w:abstractNumId w:val="1"/>
  </w:num>
  <w:num w:numId="3" w16cid:durableId="269095331">
    <w:abstractNumId w:val="0"/>
  </w:num>
  <w:num w:numId="4" w16cid:durableId="443888410">
    <w:abstractNumId w:val="3"/>
  </w:num>
  <w:num w:numId="5" w16cid:durableId="1482699783">
    <w:abstractNumId w:val="4"/>
  </w:num>
  <w:num w:numId="6" w16cid:durableId="1526552772">
    <w:abstractNumId w:val="2"/>
  </w:num>
  <w:num w:numId="7" w16cid:durableId="1850677081">
    <w:abstractNumId w:val="9"/>
  </w:num>
  <w:num w:numId="8" w16cid:durableId="1285311170">
    <w:abstractNumId w:val="5"/>
  </w:num>
  <w:num w:numId="9" w16cid:durableId="41441060">
    <w:abstractNumId w:val="6"/>
  </w:num>
  <w:num w:numId="10" w16cid:durableId="177840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33"/>
    <w:rsid w:val="00023B26"/>
    <w:rsid w:val="00033437"/>
    <w:rsid w:val="00034D27"/>
    <w:rsid w:val="000532C5"/>
    <w:rsid w:val="00057BEE"/>
    <w:rsid w:val="000D1C61"/>
    <w:rsid w:val="00126EC6"/>
    <w:rsid w:val="0014607F"/>
    <w:rsid w:val="001D6DC4"/>
    <w:rsid w:val="001F3363"/>
    <w:rsid w:val="00237929"/>
    <w:rsid w:val="00244A27"/>
    <w:rsid w:val="002743EA"/>
    <w:rsid w:val="002D22E5"/>
    <w:rsid w:val="002D6ABB"/>
    <w:rsid w:val="00375258"/>
    <w:rsid w:val="003A301F"/>
    <w:rsid w:val="004161A3"/>
    <w:rsid w:val="004568AC"/>
    <w:rsid w:val="004E3CCC"/>
    <w:rsid w:val="004F3252"/>
    <w:rsid w:val="00517A62"/>
    <w:rsid w:val="00520F72"/>
    <w:rsid w:val="00594121"/>
    <w:rsid w:val="005D088D"/>
    <w:rsid w:val="005F567B"/>
    <w:rsid w:val="005F7D68"/>
    <w:rsid w:val="005F7E0C"/>
    <w:rsid w:val="00602F2E"/>
    <w:rsid w:val="00646C9D"/>
    <w:rsid w:val="00647A2F"/>
    <w:rsid w:val="006636EA"/>
    <w:rsid w:val="0068032E"/>
    <w:rsid w:val="006B541A"/>
    <w:rsid w:val="006D5041"/>
    <w:rsid w:val="006F1648"/>
    <w:rsid w:val="00703229"/>
    <w:rsid w:val="00717BAB"/>
    <w:rsid w:val="007C14F9"/>
    <w:rsid w:val="007C7E88"/>
    <w:rsid w:val="007E7EBD"/>
    <w:rsid w:val="00813416"/>
    <w:rsid w:val="00817F48"/>
    <w:rsid w:val="00820178"/>
    <w:rsid w:val="0086125C"/>
    <w:rsid w:val="0086162F"/>
    <w:rsid w:val="008B43D2"/>
    <w:rsid w:val="008D1BFC"/>
    <w:rsid w:val="008F6ACE"/>
    <w:rsid w:val="009131A4"/>
    <w:rsid w:val="009300BE"/>
    <w:rsid w:val="0093418C"/>
    <w:rsid w:val="0094751F"/>
    <w:rsid w:val="009747E3"/>
    <w:rsid w:val="0097709F"/>
    <w:rsid w:val="009C201C"/>
    <w:rsid w:val="009E5253"/>
    <w:rsid w:val="00A61894"/>
    <w:rsid w:val="00AC7229"/>
    <w:rsid w:val="00B05191"/>
    <w:rsid w:val="00B13133"/>
    <w:rsid w:val="00B71B38"/>
    <w:rsid w:val="00BE5C0C"/>
    <w:rsid w:val="00C118BD"/>
    <w:rsid w:val="00C55730"/>
    <w:rsid w:val="00C93DF8"/>
    <w:rsid w:val="00CA26BC"/>
    <w:rsid w:val="00CC6956"/>
    <w:rsid w:val="00D679C1"/>
    <w:rsid w:val="00D76FDE"/>
    <w:rsid w:val="00D90A8F"/>
    <w:rsid w:val="00DC3E9C"/>
    <w:rsid w:val="00DC76D3"/>
    <w:rsid w:val="00E47E15"/>
    <w:rsid w:val="00E50758"/>
    <w:rsid w:val="00EE1427"/>
    <w:rsid w:val="00EF7E59"/>
    <w:rsid w:val="00F61269"/>
    <w:rsid w:val="00F63B8C"/>
    <w:rsid w:val="00F96964"/>
    <w:rsid w:val="00FA010A"/>
    <w:rsid w:val="00FC3349"/>
    <w:rsid w:val="00FF2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3069"/>
  <w15:docId w15:val="{78A43DBF-DFBD-435F-933F-B939E074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14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14F9"/>
    <w:rPr>
      <w:rFonts w:ascii="Verdana" w:hAnsi="Verdana"/>
      <w:color w:val="000000"/>
      <w:sz w:val="18"/>
      <w:szCs w:val="18"/>
    </w:rPr>
  </w:style>
  <w:style w:type="paragraph" w:styleId="Voettekst">
    <w:name w:val="footer"/>
    <w:basedOn w:val="Standaard"/>
    <w:link w:val="VoettekstChar"/>
    <w:uiPriority w:val="99"/>
    <w:unhideWhenUsed/>
    <w:rsid w:val="007C14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14F9"/>
    <w:rPr>
      <w:rFonts w:ascii="Verdana" w:hAnsi="Verdana"/>
      <w:color w:val="000000"/>
      <w:sz w:val="18"/>
      <w:szCs w:val="18"/>
    </w:rPr>
  </w:style>
  <w:style w:type="paragraph" w:styleId="Voetnoottekst">
    <w:name w:val="footnote text"/>
    <w:basedOn w:val="Standaard"/>
    <w:link w:val="VoetnoottekstChar"/>
    <w:uiPriority w:val="99"/>
    <w:semiHidden/>
    <w:unhideWhenUsed/>
    <w:rsid w:val="005F7E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7E0C"/>
    <w:rPr>
      <w:rFonts w:ascii="Verdana" w:hAnsi="Verdana"/>
      <w:color w:val="000000"/>
    </w:rPr>
  </w:style>
  <w:style w:type="character" w:styleId="Voetnootmarkering">
    <w:name w:val="footnote reference"/>
    <w:basedOn w:val="Standaardalinea-lettertype"/>
    <w:uiPriority w:val="99"/>
    <w:semiHidden/>
    <w:unhideWhenUsed/>
    <w:rsid w:val="005F7E0C"/>
    <w:rPr>
      <w:vertAlign w:val="superscript"/>
    </w:rPr>
  </w:style>
  <w:style w:type="paragraph" w:styleId="Lijstalinea">
    <w:name w:val="List Paragraph"/>
    <w:basedOn w:val="Standaard"/>
    <w:uiPriority w:val="34"/>
    <w:semiHidden/>
    <w:rsid w:val="00AC7229"/>
    <w:pPr>
      <w:ind w:left="720"/>
      <w:contextualSpacing/>
    </w:pPr>
  </w:style>
  <w:style w:type="paragraph" w:styleId="Revisie">
    <w:name w:val="Revision"/>
    <w:hidden/>
    <w:uiPriority w:val="99"/>
    <w:semiHidden/>
    <w:rsid w:val="006D504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D5041"/>
    <w:rPr>
      <w:sz w:val="16"/>
      <w:szCs w:val="16"/>
    </w:rPr>
  </w:style>
  <w:style w:type="paragraph" w:styleId="Tekstopmerking">
    <w:name w:val="annotation text"/>
    <w:basedOn w:val="Standaard"/>
    <w:link w:val="TekstopmerkingChar"/>
    <w:uiPriority w:val="99"/>
    <w:unhideWhenUsed/>
    <w:rsid w:val="006D5041"/>
    <w:pPr>
      <w:spacing w:line="240" w:lineRule="auto"/>
    </w:pPr>
    <w:rPr>
      <w:sz w:val="20"/>
      <w:szCs w:val="20"/>
    </w:rPr>
  </w:style>
  <w:style w:type="character" w:customStyle="1" w:styleId="TekstopmerkingChar">
    <w:name w:val="Tekst opmerking Char"/>
    <w:basedOn w:val="Standaardalinea-lettertype"/>
    <w:link w:val="Tekstopmerking"/>
    <w:uiPriority w:val="99"/>
    <w:rsid w:val="006D504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D5041"/>
    <w:rPr>
      <w:b/>
      <w:bCs/>
    </w:rPr>
  </w:style>
  <w:style w:type="character" w:customStyle="1" w:styleId="OnderwerpvanopmerkingChar">
    <w:name w:val="Onderwerp van opmerking Char"/>
    <w:basedOn w:val="TekstopmerkingChar"/>
    <w:link w:val="Onderwerpvanopmerking"/>
    <w:uiPriority w:val="99"/>
    <w:semiHidden/>
    <w:rsid w:val="006D504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6020">
      <w:bodyDiv w:val="1"/>
      <w:marLeft w:val="0"/>
      <w:marRight w:val="0"/>
      <w:marTop w:val="0"/>
      <w:marBottom w:val="0"/>
      <w:divBdr>
        <w:top w:val="none" w:sz="0" w:space="0" w:color="auto"/>
        <w:left w:val="none" w:sz="0" w:space="0" w:color="auto"/>
        <w:bottom w:val="none" w:sz="0" w:space="0" w:color="auto"/>
        <w:right w:val="none" w:sz="0" w:space="0" w:color="auto"/>
      </w:divBdr>
    </w:div>
    <w:div w:id="51123107">
      <w:bodyDiv w:val="1"/>
      <w:marLeft w:val="0"/>
      <w:marRight w:val="0"/>
      <w:marTop w:val="0"/>
      <w:marBottom w:val="0"/>
      <w:divBdr>
        <w:top w:val="none" w:sz="0" w:space="0" w:color="auto"/>
        <w:left w:val="none" w:sz="0" w:space="0" w:color="auto"/>
        <w:bottom w:val="none" w:sz="0" w:space="0" w:color="auto"/>
        <w:right w:val="none" w:sz="0" w:space="0" w:color="auto"/>
      </w:divBdr>
    </w:div>
    <w:div w:id="725645758">
      <w:bodyDiv w:val="1"/>
      <w:marLeft w:val="0"/>
      <w:marRight w:val="0"/>
      <w:marTop w:val="0"/>
      <w:marBottom w:val="0"/>
      <w:divBdr>
        <w:top w:val="none" w:sz="0" w:space="0" w:color="auto"/>
        <w:left w:val="none" w:sz="0" w:space="0" w:color="auto"/>
        <w:bottom w:val="none" w:sz="0" w:space="0" w:color="auto"/>
        <w:right w:val="none" w:sz="0" w:space="0" w:color="auto"/>
      </w:divBdr>
      <w:divsChild>
        <w:div w:id="481386871">
          <w:marLeft w:val="0"/>
          <w:marRight w:val="0"/>
          <w:marTop w:val="0"/>
          <w:marBottom w:val="0"/>
          <w:divBdr>
            <w:top w:val="none" w:sz="0" w:space="0" w:color="auto"/>
            <w:left w:val="none" w:sz="0" w:space="0" w:color="auto"/>
            <w:bottom w:val="none" w:sz="0" w:space="0" w:color="auto"/>
            <w:right w:val="none" w:sz="0" w:space="0" w:color="auto"/>
          </w:divBdr>
          <w:divsChild>
            <w:div w:id="57175028">
              <w:marLeft w:val="0"/>
              <w:marRight w:val="0"/>
              <w:marTop w:val="0"/>
              <w:marBottom w:val="0"/>
              <w:divBdr>
                <w:top w:val="none" w:sz="0" w:space="0" w:color="auto"/>
                <w:left w:val="none" w:sz="0" w:space="0" w:color="auto"/>
                <w:bottom w:val="none" w:sz="0" w:space="0" w:color="auto"/>
                <w:right w:val="none" w:sz="0" w:space="0" w:color="auto"/>
              </w:divBdr>
              <w:divsChild>
                <w:div w:id="570313813">
                  <w:marLeft w:val="0"/>
                  <w:marRight w:val="0"/>
                  <w:marTop w:val="0"/>
                  <w:marBottom w:val="0"/>
                  <w:divBdr>
                    <w:top w:val="none" w:sz="0" w:space="0" w:color="auto"/>
                    <w:left w:val="none" w:sz="0" w:space="0" w:color="auto"/>
                    <w:bottom w:val="none" w:sz="0" w:space="0" w:color="auto"/>
                    <w:right w:val="none" w:sz="0" w:space="0" w:color="auto"/>
                  </w:divBdr>
                  <w:divsChild>
                    <w:div w:id="353043540">
                      <w:marLeft w:val="0"/>
                      <w:marRight w:val="0"/>
                      <w:marTop w:val="0"/>
                      <w:marBottom w:val="0"/>
                      <w:divBdr>
                        <w:top w:val="none" w:sz="0" w:space="0" w:color="auto"/>
                        <w:left w:val="none" w:sz="0" w:space="0" w:color="auto"/>
                        <w:bottom w:val="none" w:sz="0" w:space="0" w:color="auto"/>
                        <w:right w:val="none" w:sz="0" w:space="0" w:color="auto"/>
                      </w:divBdr>
                      <w:divsChild>
                        <w:div w:id="1132559549">
                          <w:marLeft w:val="0"/>
                          <w:marRight w:val="0"/>
                          <w:marTop w:val="0"/>
                          <w:marBottom w:val="0"/>
                          <w:divBdr>
                            <w:top w:val="none" w:sz="0" w:space="0" w:color="auto"/>
                            <w:left w:val="none" w:sz="0" w:space="0" w:color="auto"/>
                            <w:bottom w:val="none" w:sz="0" w:space="0" w:color="auto"/>
                            <w:right w:val="none" w:sz="0" w:space="0" w:color="auto"/>
                          </w:divBdr>
                          <w:divsChild>
                            <w:div w:id="1782601432">
                              <w:marLeft w:val="0"/>
                              <w:marRight w:val="0"/>
                              <w:marTop w:val="0"/>
                              <w:marBottom w:val="0"/>
                              <w:divBdr>
                                <w:top w:val="none" w:sz="0" w:space="0" w:color="auto"/>
                                <w:left w:val="none" w:sz="0" w:space="0" w:color="auto"/>
                                <w:bottom w:val="none" w:sz="0" w:space="0" w:color="auto"/>
                                <w:right w:val="none" w:sz="0" w:space="0" w:color="auto"/>
                              </w:divBdr>
                              <w:divsChild>
                                <w:div w:id="1543438365">
                                  <w:marLeft w:val="0"/>
                                  <w:marRight w:val="0"/>
                                  <w:marTop w:val="0"/>
                                  <w:marBottom w:val="0"/>
                                  <w:divBdr>
                                    <w:top w:val="none" w:sz="0" w:space="0" w:color="auto"/>
                                    <w:left w:val="none" w:sz="0" w:space="0" w:color="auto"/>
                                    <w:bottom w:val="none" w:sz="0" w:space="0" w:color="auto"/>
                                    <w:right w:val="none" w:sz="0" w:space="0" w:color="auto"/>
                                  </w:divBdr>
                                  <w:divsChild>
                                    <w:div w:id="1132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64750">
      <w:bodyDiv w:val="1"/>
      <w:marLeft w:val="0"/>
      <w:marRight w:val="0"/>
      <w:marTop w:val="0"/>
      <w:marBottom w:val="0"/>
      <w:divBdr>
        <w:top w:val="none" w:sz="0" w:space="0" w:color="auto"/>
        <w:left w:val="none" w:sz="0" w:space="0" w:color="auto"/>
        <w:bottom w:val="none" w:sz="0" w:space="0" w:color="auto"/>
        <w:right w:val="none" w:sz="0" w:space="0" w:color="auto"/>
      </w:divBdr>
    </w:div>
    <w:div w:id="1253204616">
      <w:bodyDiv w:val="1"/>
      <w:marLeft w:val="0"/>
      <w:marRight w:val="0"/>
      <w:marTop w:val="0"/>
      <w:marBottom w:val="0"/>
      <w:divBdr>
        <w:top w:val="none" w:sz="0" w:space="0" w:color="auto"/>
        <w:left w:val="none" w:sz="0" w:space="0" w:color="auto"/>
        <w:bottom w:val="none" w:sz="0" w:space="0" w:color="auto"/>
        <w:right w:val="none" w:sz="0" w:space="0" w:color="auto"/>
      </w:divBdr>
    </w:div>
    <w:div w:id="1480001858">
      <w:bodyDiv w:val="1"/>
      <w:marLeft w:val="0"/>
      <w:marRight w:val="0"/>
      <w:marTop w:val="0"/>
      <w:marBottom w:val="0"/>
      <w:divBdr>
        <w:top w:val="none" w:sz="0" w:space="0" w:color="auto"/>
        <w:left w:val="none" w:sz="0" w:space="0" w:color="auto"/>
        <w:bottom w:val="none" w:sz="0" w:space="0" w:color="auto"/>
        <w:right w:val="none" w:sz="0" w:space="0" w:color="auto"/>
      </w:divBdr>
    </w:div>
    <w:div w:id="1693873229">
      <w:bodyDiv w:val="1"/>
      <w:marLeft w:val="0"/>
      <w:marRight w:val="0"/>
      <w:marTop w:val="0"/>
      <w:marBottom w:val="0"/>
      <w:divBdr>
        <w:top w:val="none" w:sz="0" w:space="0" w:color="auto"/>
        <w:left w:val="none" w:sz="0" w:space="0" w:color="auto"/>
        <w:bottom w:val="none" w:sz="0" w:space="0" w:color="auto"/>
        <w:right w:val="none" w:sz="0" w:space="0" w:color="auto"/>
      </w:divBdr>
    </w:div>
    <w:div w:id="1722318493">
      <w:bodyDiv w:val="1"/>
      <w:marLeft w:val="0"/>
      <w:marRight w:val="0"/>
      <w:marTop w:val="0"/>
      <w:marBottom w:val="0"/>
      <w:divBdr>
        <w:top w:val="none" w:sz="0" w:space="0" w:color="auto"/>
        <w:left w:val="none" w:sz="0" w:space="0" w:color="auto"/>
        <w:bottom w:val="none" w:sz="0" w:space="0" w:color="auto"/>
        <w:right w:val="none" w:sz="0" w:space="0" w:color="auto"/>
      </w:divBdr>
    </w:div>
    <w:div w:id="1874146907">
      <w:bodyDiv w:val="1"/>
      <w:marLeft w:val="0"/>
      <w:marRight w:val="0"/>
      <w:marTop w:val="0"/>
      <w:marBottom w:val="0"/>
      <w:divBdr>
        <w:top w:val="none" w:sz="0" w:space="0" w:color="auto"/>
        <w:left w:val="none" w:sz="0" w:space="0" w:color="auto"/>
        <w:bottom w:val="none" w:sz="0" w:space="0" w:color="auto"/>
        <w:right w:val="none" w:sz="0" w:space="0" w:color="auto"/>
      </w:divBdr>
    </w:div>
    <w:div w:id="1980498182">
      <w:bodyDiv w:val="1"/>
      <w:marLeft w:val="0"/>
      <w:marRight w:val="0"/>
      <w:marTop w:val="0"/>
      <w:marBottom w:val="0"/>
      <w:divBdr>
        <w:top w:val="none" w:sz="0" w:space="0" w:color="auto"/>
        <w:left w:val="none" w:sz="0" w:space="0" w:color="auto"/>
        <w:bottom w:val="none" w:sz="0" w:space="0" w:color="auto"/>
        <w:right w:val="none" w:sz="0" w:space="0" w:color="auto"/>
      </w:divBdr>
      <w:divsChild>
        <w:div w:id="2069644389">
          <w:marLeft w:val="0"/>
          <w:marRight w:val="0"/>
          <w:marTop w:val="0"/>
          <w:marBottom w:val="0"/>
          <w:divBdr>
            <w:top w:val="none" w:sz="0" w:space="0" w:color="auto"/>
            <w:left w:val="none" w:sz="0" w:space="0" w:color="auto"/>
            <w:bottom w:val="none" w:sz="0" w:space="0" w:color="auto"/>
            <w:right w:val="none" w:sz="0" w:space="0" w:color="auto"/>
          </w:divBdr>
          <w:divsChild>
            <w:div w:id="980967314">
              <w:marLeft w:val="0"/>
              <w:marRight w:val="0"/>
              <w:marTop w:val="0"/>
              <w:marBottom w:val="0"/>
              <w:divBdr>
                <w:top w:val="none" w:sz="0" w:space="0" w:color="auto"/>
                <w:left w:val="none" w:sz="0" w:space="0" w:color="auto"/>
                <w:bottom w:val="none" w:sz="0" w:space="0" w:color="auto"/>
                <w:right w:val="none" w:sz="0" w:space="0" w:color="auto"/>
              </w:divBdr>
              <w:divsChild>
                <w:div w:id="548536748">
                  <w:marLeft w:val="0"/>
                  <w:marRight w:val="0"/>
                  <w:marTop w:val="0"/>
                  <w:marBottom w:val="0"/>
                  <w:divBdr>
                    <w:top w:val="none" w:sz="0" w:space="0" w:color="auto"/>
                    <w:left w:val="none" w:sz="0" w:space="0" w:color="auto"/>
                    <w:bottom w:val="none" w:sz="0" w:space="0" w:color="auto"/>
                    <w:right w:val="none" w:sz="0" w:space="0" w:color="auto"/>
                  </w:divBdr>
                  <w:divsChild>
                    <w:div w:id="823400540">
                      <w:marLeft w:val="0"/>
                      <w:marRight w:val="0"/>
                      <w:marTop w:val="0"/>
                      <w:marBottom w:val="0"/>
                      <w:divBdr>
                        <w:top w:val="none" w:sz="0" w:space="0" w:color="auto"/>
                        <w:left w:val="none" w:sz="0" w:space="0" w:color="auto"/>
                        <w:bottom w:val="none" w:sz="0" w:space="0" w:color="auto"/>
                        <w:right w:val="none" w:sz="0" w:space="0" w:color="auto"/>
                      </w:divBdr>
                      <w:divsChild>
                        <w:div w:id="1868980399">
                          <w:marLeft w:val="0"/>
                          <w:marRight w:val="0"/>
                          <w:marTop w:val="0"/>
                          <w:marBottom w:val="0"/>
                          <w:divBdr>
                            <w:top w:val="none" w:sz="0" w:space="0" w:color="auto"/>
                            <w:left w:val="none" w:sz="0" w:space="0" w:color="auto"/>
                            <w:bottom w:val="none" w:sz="0" w:space="0" w:color="auto"/>
                            <w:right w:val="none" w:sz="0" w:space="0" w:color="auto"/>
                          </w:divBdr>
                          <w:divsChild>
                            <w:div w:id="634289981">
                              <w:marLeft w:val="0"/>
                              <w:marRight w:val="0"/>
                              <w:marTop w:val="0"/>
                              <w:marBottom w:val="0"/>
                              <w:divBdr>
                                <w:top w:val="none" w:sz="0" w:space="0" w:color="auto"/>
                                <w:left w:val="none" w:sz="0" w:space="0" w:color="auto"/>
                                <w:bottom w:val="none" w:sz="0" w:space="0" w:color="auto"/>
                                <w:right w:val="none" w:sz="0" w:space="0" w:color="auto"/>
                              </w:divBdr>
                              <w:divsChild>
                                <w:div w:id="619145951">
                                  <w:marLeft w:val="0"/>
                                  <w:marRight w:val="0"/>
                                  <w:marTop w:val="0"/>
                                  <w:marBottom w:val="0"/>
                                  <w:divBdr>
                                    <w:top w:val="none" w:sz="0" w:space="0" w:color="auto"/>
                                    <w:left w:val="none" w:sz="0" w:space="0" w:color="auto"/>
                                    <w:bottom w:val="none" w:sz="0" w:space="0" w:color="auto"/>
                                    <w:right w:val="none" w:sz="0" w:space="0" w:color="auto"/>
                                  </w:divBdr>
                                  <w:divsChild>
                                    <w:div w:id="4288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1102</ap:Words>
  <ap:Characters>6064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Evaluatie en voortzetting NHT</vt:lpstr>
    </vt:vector>
  </ap:TitlesOfParts>
  <ap:LinksUpToDate>false</ap:LinksUpToDate>
  <ap:CharactersWithSpaces>7152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2025-08-19T10:38:00.0000000Z</dcterms:created>
  <dcterms:modified xsi:type="dcterms:W3CDTF">2025-08-19T10:38:00.0000000Z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Evaluatie en voortzetting NHT</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2025-0000159107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en voortzetting NHT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2025-06-05T09:35:40Z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eb993fbe-7298-4941-8c93-9f6a6c0ce80a</vt:lpwstr>
  </property>
  <property fmtid="{D5CDD505-2E9C-101B-9397-08002B2CF9AE}" pid="37" name="MSIP_Label_6800fede-0e59-47ad-af95-4e63bbdb932d_ContentBits">
    <vt:lpwstr>0</vt:lpwstr>
  </property>
</Properties>
</file>